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5906"/>
        <w:gridCol w:w="2400"/>
      </w:tblGrid>
      <w:tr w:rsidR="002227D1" w:rsidRPr="002227D1" w:rsidTr="002227D1">
        <w:trPr>
          <w:tblCellSpacing w:w="0" w:type="dxa"/>
          <w:jc w:val="center"/>
        </w:trPr>
        <w:tc>
          <w:tcPr>
            <w:tcW w:w="0" w:type="auto"/>
            <w:vAlign w:val="center"/>
            <w:hideMark/>
          </w:tcPr>
          <w:p w:rsidR="002227D1" w:rsidRPr="002227D1" w:rsidRDefault="002227D1" w:rsidP="002227D1">
            <w:pPr>
              <w:widowControl/>
              <w:spacing w:before="100" w:beforeAutospacing="1" w:after="100" w:afterAutospacing="1" w:line="1040" w:lineRule="atLeast"/>
              <w:jc w:val="distribute"/>
              <w:rPr>
                <w:rFonts w:ascii="宋体" w:eastAsia="宋体" w:hAnsi="宋体" w:cs="宋体"/>
                <w:b/>
                <w:bCs/>
                <w:color w:val="FF0000"/>
                <w:kern w:val="0"/>
                <w:sz w:val="100"/>
                <w:szCs w:val="100"/>
              </w:rPr>
            </w:pPr>
            <w:r w:rsidRPr="002227D1">
              <w:rPr>
                <w:rFonts w:ascii="宋体" w:eastAsia="宋体" w:hAnsi="宋体" w:cs="宋体" w:hint="eastAsia"/>
                <w:b/>
                <w:bCs/>
                <w:color w:val="FF0000"/>
                <w:kern w:val="0"/>
                <w:sz w:val="100"/>
                <w:szCs w:val="100"/>
              </w:rPr>
              <w:t>江苏省物价局</w:t>
            </w:r>
          </w:p>
        </w:tc>
        <w:tc>
          <w:tcPr>
            <w:tcW w:w="2400" w:type="dxa"/>
            <w:vAlign w:val="center"/>
            <w:hideMark/>
          </w:tcPr>
          <w:p w:rsidR="002227D1" w:rsidRPr="002227D1" w:rsidRDefault="002227D1" w:rsidP="002227D1">
            <w:pPr>
              <w:widowControl/>
              <w:spacing w:line="1040" w:lineRule="atLeast"/>
              <w:jc w:val="left"/>
              <w:rPr>
                <w:rFonts w:ascii="宋体" w:eastAsia="宋体" w:hAnsi="宋体" w:cs="宋体"/>
                <w:b/>
                <w:bCs/>
                <w:color w:val="FF0000"/>
                <w:kern w:val="0"/>
                <w:sz w:val="100"/>
                <w:szCs w:val="100"/>
              </w:rPr>
            </w:pPr>
            <w:r w:rsidRPr="002227D1">
              <w:rPr>
                <w:rFonts w:ascii="宋体" w:eastAsia="宋体" w:hAnsi="宋体" w:cs="宋体" w:hint="eastAsia"/>
                <w:b/>
                <w:bCs/>
                <w:color w:val="FF0000"/>
                <w:kern w:val="0"/>
                <w:sz w:val="100"/>
                <w:szCs w:val="100"/>
              </w:rPr>
              <w:t>文件</w:t>
            </w:r>
          </w:p>
        </w:tc>
      </w:tr>
    </w:tbl>
    <w:p w:rsidR="002227D1" w:rsidRPr="002227D1" w:rsidRDefault="002227D1" w:rsidP="002227D1">
      <w:pPr>
        <w:widowControl/>
        <w:wordWrap w:val="0"/>
        <w:spacing w:after="320" w:line="400" w:lineRule="atLeast"/>
        <w:jc w:val="center"/>
        <w:rPr>
          <w:rFonts w:ascii="仿宋_GB2312" w:eastAsia="仿宋_GB2312" w:hAnsi="宋体" w:cs="宋体" w:hint="eastAsia"/>
          <w:color w:val="000000"/>
          <w:kern w:val="0"/>
          <w:sz w:val="32"/>
          <w:szCs w:val="32"/>
        </w:rPr>
      </w:pPr>
    </w:p>
    <w:p w:rsidR="002227D1" w:rsidRPr="002227D1" w:rsidRDefault="002227D1" w:rsidP="002227D1">
      <w:pPr>
        <w:widowControl/>
        <w:wordWrap w:val="0"/>
        <w:spacing w:line="400" w:lineRule="atLeast"/>
        <w:jc w:val="center"/>
        <w:rPr>
          <w:rFonts w:ascii="仿宋_GB2312" w:eastAsia="仿宋_GB2312" w:hAnsi="宋体" w:cs="宋体" w:hint="eastAsia"/>
          <w:color w:val="000000"/>
          <w:kern w:val="0"/>
          <w:sz w:val="32"/>
          <w:szCs w:val="32"/>
        </w:rPr>
      </w:pPr>
      <w:r w:rsidRPr="002227D1">
        <w:rPr>
          <w:rFonts w:ascii="仿宋_GB2312" w:eastAsia="仿宋_GB2312" w:hAnsi="宋体" w:cs="宋体" w:hint="eastAsia"/>
          <w:color w:val="000000"/>
          <w:kern w:val="0"/>
          <w:sz w:val="32"/>
          <w:szCs w:val="32"/>
        </w:rPr>
        <w:t>苏价工〔2018〕109号</w:t>
      </w:r>
    </w:p>
    <w:p w:rsidR="002227D1" w:rsidRPr="002227D1" w:rsidRDefault="002227D1" w:rsidP="002227D1">
      <w:pPr>
        <w:widowControl/>
        <w:wordWrap w:val="0"/>
        <w:spacing w:line="400" w:lineRule="atLeast"/>
        <w:jc w:val="center"/>
        <w:rPr>
          <w:rFonts w:ascii="仿宋_GB2312" w:eastAsia="仿宋_GB2312" w:hAnsi="宋体" w:cs="宋体" w:hint="eastAsia"/>
          <w:color w:val="000000"/>
          <w:kern w:val="0"/>
          <w:sz w:val="32"/>
          <w:szCs w:val="32"/>
        </w:rPr>
      </w:pPr>
    </w:p>
    <w:p w:rsidR="002227D1" w:rsidRPr="002227D1" w:rsidRDefault="002227D1" w:rsidP="002227D1">
      <w:pPr>
        <w:widowControl/>
        <w:wordWrap w:val="0"/>
        <w:spacing w:line="400" w:lineRule="atLeast"/>
        <w:jc w:val="center"/>
        <w:rPr>
          <w:rFonts w:ascii="仿宋_GB2312" w:eastAsia="仿宋_GB2312" w:hAnsi="宋体" w:cs="宋体" w:hint="eastAsia"/>
          <w:color w:val="000000"/>
          <w:kern w:val="0"/>
          <w:sz w:val="32"/>
          <w:szCs w:val="32"/>
        </w:rPr>
      </w:pPr>
      <w:r w:rsidRPr="002227D1">
        <w:rPr>
          <w:rFonts w:ascii="仿宋_GB2312" w:eastAsia="仿宋_GB2312" w:hAnsi="宋体" w:cs="宋体" w:hint="eastAsia"/>
          <w:color w:val="000000"/>
          <w:kern w:val="0"/>
          <w:sz w:val="32"/>
          <w:szCs w:val="32"/>
        </w:rPr>
        <w:pict>
          <v:rect id="_x0000_i1025" style="width:0;height:1.5pt" o:hralign="center" o:hrstd="t" o:hrnoshade="t" o:hr="t" fillcolor="red" stroked="f"/>
        </w:pict>
      </w:r>
    </w:p>
    <w:p w:rsidR="002227D1" w:rsidRPr="002227D1" w:rsidRDefault="002227D1" w:rsidP="002227D1">
      <w:pPr>
        <w:widowControl/>
        <w:wordWrap w:val="0"/>
        <w:spacing w:line="400" w:lineRule="atLeast"/>
        <w:jc w:val="center"/>
        <w:rPr>
          <w:rFonts w:ascii="方正小标宋_GBK" w:eastAsia="方正小标宋_GBK" w:hAnsi="宋体" w:cs="宋体" w:hint="eastAsia"/>
          <w:color w:val="000000"/>
          <w:kern w:val="0"/>
          <w:sz w:val="10"/>
          <w:szCs w:val="10"/>
        </w:rPr>
      </w:pPr>
    </w:p>
    <w:p w:rsidR="002227D1" w:rsidRPr="002227D1" w:rsidRDefault="002227D1" w:rsidP="002227D1">
      <w:pPr>
        <w:widowControl/>
        <w:wordWrap w:val="0"/>
        <w:snapToGrid w:val="0"/>
        <w:spacing w:line="560" w:lineRule="atLeast"/>
        <w:jc w:val="center"/>
        <w:rPr>
          <w:rFonts w:ascii="方正小标宋_GBK" w:eastAsia="方正小标宋_GBK" w:hAnsi="宋体" w:cs="宋体" w:hint="eastAsia"/>
          <w:color w:val="000000"/>
          <w:kern w:val="0"/>
          <w:sz w:val="44"/>
          <w:szCs w:val="44"/>
        </w:rPr>
      </w:pPr>
      <w:r w:rsidRPr="002227D1">
        <w:rPr>
          <w:rFonts w:ascii="方正小标宋_GBK" w:eastAsia="方正小标宋_GBK" w:hAnsi="宋体" w:cs="宋体" w:hint="eastAsia"/>
          <w:color w:val="000000"/>
          <w:kern w:val="0"/>
          <w:sz w:val="44"/>
          <w:szCs w:val="44"/>
        </w:rPr>
        <w:t>省物价局关于清理规范电网和</w:t>
      </w:r>
    </w:p>
    <w:p w:rsidR="002227D1" w:rsidRPr="002227D1" w:rsidRDefault="002227D1" w:rsidP="002227D1">
      <w:pPr>
        <w:widowControl/>
        <w:wordWrap w:val="0"/>
        <w:snapToGrid w:val="0"/>
        <w:spacing w:line="560" w:lineRule="atLeast"/>
        <w:jc w:val="center"/>
        <w:rPr>
          <w:rFonts w:ascii="方正小标宋_GBK" w:eastAsia="方正小标宋_GBK" w:hAnsi="宋体" w:cs="宋体" w:hint="eastAsia"/>
          <w:color w:val="000000"/>
          <w:kern w:val="0"/>
          <w:sz w:val="44"/>
          <w:szCs w:val="44"/>
        </w:rPr>
      </w:pPr>
      <w:r w:rsidRPr="002227D1">
        <w:rPr>
          <w:rFonts w:ascii="方正小标宋_GBK" w:eastAsia="方正小标宋_GBK" w:hAnsi="宋体" w:cs="宋体" w:hint="eastAsia"/>
          <w:color w:val="000000"/>
          <w:kern w:val="0"/>
          <w:sz w:val="44"/>
          <w:szCs w:val="44"/>
        </w:rPr>
        <w:t>转供电环节收费有关事项的通知</w:t>
      </w:r>
    </w:p>
    <w:p w:rsidR="002227D1" w:rsidRPr="002227D1" w:rsidRDefault="002227D1" w:rsidP="002227D1">
      <w:pPr>
        <w:widowControl/>
        <w:shd w:val="clear" w:color="auto" w:fill="FFFFFF"/>
        <w:wordWrap w:val="0"/>
        <w:snapToGrid w:val="0"/>
        <w:spacing w:line="630" w:lineRule="atLeast"/>
        <w:jc w:val="left"/>
        <w:rPr>
          <w:rFonts w:ascii="宋体" w:eastAsia="仿宋_GB2312" w:hAnsi="宋体" w:cs="宋体" w:hint="eastAsia"/>
          <w:color w:val="000000"/>
          <w:kern w:val="0"/>
          <w:sz w:val="32"/>
          <w:szCs w:val="32"/>
        </w:rPr>
      </w:pPr>
    </w:p>
    <w:p w:rsidR="002227D1" w:rsidRPr="002227D1" w:rsidRDefault="002227D1" w:rsidP="002227D1">
      <w:pPr>
        <w:widowControl/>
        <w:shd w:val="clear" w:color="auto" w:fill="FFFFFF"/>
        <w:wordWrap w:val="0"/>
        <w:snapToGrid w:val="0"/>
        <w:spacing w:line="630" w:lineRule="atLeast"/>
        <w:jc w:val="left"/>
        <w:rPr>
          <w:rFonts w:ascii="宋体" w:eastAsia="仿宋_GB2312" w:hAnsi="宋体" w:cs="宋体"/>
          <w:color w:val="000000"/>
          <w:kern w:val="0"/>
          <w:sz w:val="32"/>
          <w:szCs w:val="32"/>
        </w:rPr>
      </w:pPr>
      <w:r w:rsidRPr="002227D1">
        <w:rPr>
          <w:rFonts w:ascii="Times New Roman" w:eastAsia="仿宋_GB2312" w:hAnsi="宋体" w:cs="宋体" w:hint="eastAsia"/>
          <w:color w:val="000000"/>
          <w:kern w:val="0"/>
          <w:sz w:val="32"/>
          <w:szCs w:val="32"/>
        </w:rPr>
        <w:t>各设区市、县（市、区）物价局（发改委、发改局），省电力公司：</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Times New Roman" w:eastAsia="仿宋_GB2312" w:hAnsi="宋体" w:cs="宋体" w:hint="eastAsia"/>
          <w:color w:val="000000"/>
          <w:kern w:val="0"/>
          <w:sz w:val="32"/>
          <w:szCs w:val="32"/>
        </w:rPr>
        <w:t>为切实把《政府工作报告》关于一般工商业电价平均降低</w:t>
      </w:r>
      <w:r w:rsidRPr="002227D1">
        <w:rPr>
          <w:rFonts w:ascii="Times New Roman" w:eastAsia="仿宋_GB2312" w:hAnsi="Times New Roman" w:cs="Times New Roman"/>
          <w:color w:val="000000"/>
          <w:kern w:val="0"/>
          <w:sz w:val="32"/>
          <w:szCs w:val="32"/>
        </w:rPr>
        <w:t>10%</w:t>
      </w:r>
      <w:r w:rsidRPr="002227D1">
        <w:rPr>
          <w:rFonts w:ascii="Times New Roman" w:eastAsia="仿宋_GB2312" w:hAnsi="宋体" w:cs="宋体" w:hint="eastAsia"/>
          <w:color w:val="000000"/>
          <w:kern w:val="0"/>
          <w:sz w:val="32"/>
          <w:szCs w:val="32"/>
        </w:rPr>
        <w:t>的要求落实到位，国家发改委分别下发了《关于降低一般工商业电价有关事项的通知》（发改价格〔</w:t>
      </w:r>
      <w:r w:rsidRPr="002227D1">
        <w:rPr>
          <w:rFonts w:ascii="Times New Roman" w:eastAsia="仿宋_GB2312" w:hAnsi="Times New Roman" w:cs="Times New Roman"/>
          <w:color w:val="000000"/>
          <w:kern w:val="0"/>
          <w:sz w:val="32"/>
          <w:szCs w:val="32"/>
        </w:rPr>
        <w:t>2018</w:t>
      </w:r>
      <w:r w:rsidRPr="002227D1">
        <w:rPr>
          <w:rFonts w:ascii="Times New Roman" w:eastAsia="仿宋_GB2312" w:hAnsi="宋体" w:cs="宋体" w:hint="eastAsia"/>
          <w:color w:val="000000"/>
          <w:kern w:val="0"/>
          <w:sz w:val="32"/>
          <w:szCs w:val="32"/>
        </w:rPr>
        <w:t>〕</w:t>
      </w:r>
      <w:r w:rsidRPr="002227D1">
        <w:rPr>
          <w:rFonts w:ascii="Times New Roman" w:eastAsia="仿宋_GB2312" w:hAnsi="Times New Roman" w:cs="Times New Roman"/>
          <w:color w:val="000000"/>
          <w:kern w:val="0"/>
          <w:sz w:val="32"/>
          <w:szCs w:val="32"/>
        </w:rPr>
        <w:t>500</w:t>
      </w:r>
      <w:r w:rsidRPr="002227D1">
        <w:rPr>
          <w:rFonts w:ascii="Times New Roman" w:eastAsia="仿宋_GB2312" w:hAnsi="宋体" w:cs="宋体" w:hint="eastAsia"/>
          <w:color w:val="000000"/>
          <w:kern w:val="0"/>
          <w:sz w:val="32"/>
          <w:szCs w:val="32"/>
        </w:rPr>
        <w:t>号）、《关于电力行业增值税税率调整相应降低一般工商业电价的通知》（发改价格〔</w:t>
      </w:r>
      <w:r w:rsidRPr="002227D1">
        <w:rPr>
          <w:rFonts w:ascii="Times New Roman" w:eastAsia="仿宋_GB2312" w:hAnsi="Times New Roman" w:cs="Times New Roman"/>
          <w:color w:val="000000"/>
          <w:kern w:val="0"/>
          <w:sz w:val="32"/>
          <w:szCs w:val="32"/>
        </w:rPr>
        <w:t>2018</w:t>
      </w:r>
      <w:r w:rsidRPr="002227D1">
        <w:rPr>
          <w:rFonts w:ascii="Times New Roman" w:eastAsia="仿宋_GB2312" w:hAnsi="宋体" w:cs="宋体" w:hint="eastAsia"/>
          <w:color w:val="000000"/>
          <w:kern w:val="0"/>
          <w:sz w:val="32"/>
          <w:szCs w:val="32"/>
        </w:rPr>
        <w:t>〕</w:t>
      </w:r>
      <w:r w:rsidRPr="002227D1">
        <w:rPr>
          <w:rFonts w:ascii="Times New Roman" w:eastAsia="仿宋_GB2312" w:hAnsi="Times New Roman" w:cs="Times New Roman"/>
          <w:color w:val="000000"/>
          <w:kern w:val="0"/>
          <w:sz w:val="32"/>
          <w:szCs w:val="32"/>
        </w:rPr>
        <w:t>732</w:t>
      </w:r>
      <w:r w:rsidRPr="002227D1">
        <w:rPr>
          <w:rFonts w:ascii="Times New Roman" w:eastAsia="仿宋_GB2312" w:hAnsi="宋体" w:cs="宋体" w:hint="eastAsia"/>
          <w:color w:val="000000"/>
          <w:kern w:val="0"/>
          <w:sz w:val="32"/>
          <w:szCs w:val="32"/>
        </w:rPr>
        <w:t>号），部署了</w:t>
      </w:r>
      <w:r w:rsidRPr="002227D1">
        <w:rPr>
          <w:rFonts w:ascii="Times New Roman" w:eastAsia="仿宋_GB2312" w:hAnsi="Times New Roman" w:cs="Times New Roman"/>
          <w:color w:val="000000"/>
          <w:kern w:val="0"/>
          <w:sz w:val="32"/>
          <w:szCs w:val="32"/>
        </w:rPr>
        <w:t>5</w:t>
      </w:r>
      <w:r w:rsidRPr="002227D1">
        <w:rPr>
          <w:rFonts w:ascii="Times New Roman" w:eastAsia="仿宋_GB2312" w:hAnsi="宋体" w:cs="宋体" w:hint="eastAsia"/>
          <w:color w:val="000000"/>
          <w:kern w:val="0"/>
          <w:sz w:val="32"/>
          <w:szCs w:val="32"/>
        </w:rPr>
        <w:t>项降价措施。我局高度重视，先后下发了《省物价局关于降低一般工商业电价有关事项的通知》（苏价工〔</w:t>
      </w:r>
      <w:r w:rsidRPr="002227D1">
        <w:rPr>
          <w:rFonts w:ascii="Times New Roman" w:eastAsia="仿宋_GB2312" w:hAnsi="Times New Roman" w:cs="Times New Roman"/>
          <w:color w:val="000000"/>
          <w:kern w:val="0"/>
          <w:sz w:val="32"/>
          <w:szCs w:val="32"/>
        </w:rPr>
        <w:t>2018</w:t>
      </w:r>
      <w:r w:rsidRPr="002227D1">
        <w:rPr>
          <w:rFonts w:ascii="Times New Roman" w:eastAsia="仿宋_GB2312" w:hAnsi="宋体" w:cs="宋体" w:hint="eastAsia"/>
          <w:color w:val="000000"/>
          <w:kern w:val="0"/>
          <w:sz w:val="32"/>
          <w:szCs w:val="32"/>
        </w:rPr>
        <w:t>〕</w:t>
      </w:r>
      <w:r w:rsidRPr="002227D1">
        <w:rPr>
          <w:rFonts w:ascii="Times New Roman" w:eastAsia="仿宋_GB2312" w:hAnsi="Times New Roman" w:cs="Times New Roman"/>
          <w:color w:val="000000"/>
          <w:kern w:val="0"/>
          <w:sz w:val="32"/>
          <w:szCs w:val="32"/>
        </w:rPr>
        <w:t>52</w:t>
      </w:r>
      <w:r w:rsidRPr="002227D1">
        <w:rPr>
          <w:rFonts w:ascii="Times New Roman" w:eastAsia="仿宋_GB2312" w:hAnsi="宋体" w:cs="宋体" w:hint="eastAsia"/>
          <w:color w:val="000000"/>
          <w:kern w:val="0"/>
          <w:sz w:val="32"/>
          <w:szCs w:val="32"/>
        </w:rPr>
        <w:t>号）及</w:t>
      </w:r>
      <w:r w:rsidRPr="002227D1">
        <w:rPr>
          <w:rFonts w:ascii="Times New Roman" w:eastAsia="仿宋_GB2312" w:hAnsi="宋体" w:cs="宋体" w:hint="eastAsia"/>
          <w:color w:val="000000"/>
          <w:kern w:val="0"/>
          <w:sz w:val="32"/>
          <w:szCs w:val="32"/>
        </w:rPr>
        <w:lastRenderedPageBreak/>
        <w:t>《省物价局关于降低一般工商业电价有关事项的通知》（苏价工〔</w:t>
      </w:r>
      <w:r w:rsidRPr="002227D1">
        <w:rPr>
          <w:rFonts w:ascii="Times New Roman" w:eastAsia="仿宋_GB2312" w:hAnsi="Times New Roman" w:cs="Times New Roman"/>
          <w:color w:val="000000"/>
          <w:kern w:val="0"/>
          <w:sz w:val="32"/>
          <w:szCs w:val="32"/>
        </w:rPr>
        <w:t>2018</w:t>
      </w:r>
      <w:r w:rsidRPr="002227D1">
        <w:rPr>
          <w:rFonts w:ascii="Times New Roman" w:eastAsia="仿宋_GB2312" w:hAnsi="宋体" w:cs="宋体" w:hint="eastAsia"/>
          <w:color w:val="000000"/>
          <w:kern w:val="0"/>
          <w:sz w:val="32"/>
          <w:szCs w:val="32"/>
        </w:rPr>
        <w:t>〕</w:t>
      </w:r>
      <w:r w:rsidRPr="002227D1">
        <w:rPr>
          <w:rFonts w:ascii="Times New Roman" w:eastAsia="仿宋_GB2312" w:hAnsi="Times New Roman" w:cs="Times New Roman"/>
          <w:color w:val="000000"/>
          <w:kern w:val="0"/>
          <w:sz w:val="32"/>
          <w:szCs w:val="32"/>
        </w:rPr>
        <w:t>89</w:t>
      </w:r>
      <w:r w:rsidRPr="002227D1">
        <w:rPr>
          <w:rFonts w:ascii="Times New Roman" w:eastAsia="仿宋_GB2312" w:hAnsi="宋体" w:cs="宋体" w:hint="eastAsia"/>
          <w:color w:val="000000"/>
          <w:kern w:val="0"/>
          <w:sz w:val="32"/>
          <w:szCs w:val="32"/>
        </w:rPr>
        <w:t>号），积极落实国家政策，现已取得初步成效。根据国家发展改革委办公厅《关于清理规范电网和转供电环节收费有关事项的通知》（发改办价格〔</w:t>
      </w:r>
      <w:r w:rsidRPr="002227D1">
        <w:rPr>
          <w:rFonts w:ascii="Times New Roman" w:eastAsia="仿宋_GB2312" w:hAnsi="Times New Roman" w:cs="Times New Roman"/>
          <w:color w:val="000000"/>
          <w:kern w:val="0"/>
          <w:sz w:val="32"/>
          <w:szCs w:val="32"/>
        </w:rPr>
        <w:t>2018</w:t>
      </w:r>
      <w:r w:rsidRPr="002227D1">
        <w:rPr>
          <w:rFonts w:ascii="Times New Roman" w:eastAsia="仿宋_GB2312" w:hAnsi="宋体" w:cs="宋体" w:hint="eastAsia"/>
          <w:color w:val="000000"/>
          <w:kern w:val="0"/>
          <w:sz w:val="32"/>
          <w:szCs w:val="32"/>
        </w:rPr>
        <w:t>〕</w:t>
      </w:r>
      <w:r w:rsidRPr="002227D1">
        <w:rPr>
          <w:rFonts w:ascii="Times New Roman" w:eastAsia="仿宋_GB2312" w:hAnsi="Times New Roman" w:cs="Times New Roman"/>
          <w:color w:val="000000"/>
          <w:kern w:val="0"/>
          <w:sz w:val="32"/>
          <w:szCs w:val="32"/>
        </w:rPr>
        <w:t>787</w:t>
      </w:r>
      <w:r w:rsidRPr="002227D1">
        <w:rPr>
          <w:rFonts w:ascii="Times New Roman" w:eastAsia="仿宋_GB2312" w:hAnsi="宋体" w:cs="宋体" w:hint="eastAsia"/>
          <w:color w:val="000000"/>
          <w:kern w:val="0"/>
          <w:sz w:val="32"/>
          <w:szCs w:val="32"/>
        </w:rPr>
        <w:t>号），进一步简政放权、创新监管、优化服务，减轻企业负担，优化营商环境，现将有关事项通知如下。</w:t>
      </w:r>
    </w:p>
    <w:p w:rsidR="002227D1" w:rsidRPr="002227D1" w:rsidRDefault="002227D1" w:rsidP="002227D1">
      <w:pPr>
        <w:widowControl/>
        <w:shd w:val="clear" w:color="auto" w:fill="FFFFFF"/>
        <w:wordWrap w:val="0"/>
        <w:snapToGrid w:val="0"/>
        <w:spacing w:line="630" w:lineRule="atLeast"/>
        <w:ind w:firstLineChars="200" w:firstLine="640"/>
        <w:jc w:val="left"/>
        <w:rPr>
          <w:rFonts w:ascii="黑体" w:eastAsia="黑体" w:hAnsi="黑体" w:cs="宋体"/>
          <w:color w:val="000000"/>
          <w:kern w:val="0"/>
          <w:sz w:val="32"/>
          <w:szCs w:val="32"/>
        </w:rPr>
      </w:pPr>
      <w:r w:rsidRPr="002227D1">
        <w:rPr>
          <w:rFonts w:ascii="黑体" w:eastAsia="黑体" w:hAnsi="黑体" w:cs="宋体" w:hint="eastAsia"/>
          <w:color w:val="000000"/>
          <w:kern w:val="0"/>
          <w:sz w:val="32"/>
          <w:szCs w:val="32"/>
        </w:rPr>
        <w:t>一、取消电网企业垄断性服务收费项目</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hint="eastAsia"/>
          <w:color w:val="000000"/>
          <w:kern w:val="0"/>
          <w:sz w:val="32"/>
          <w:szCs w:val="32"/>
        </w:rPr>
      </w:pPr>
      <w:r w:rsidRPr="002227D1">
        <w:rPr>
          <w:rFonts w:ascii="Times New Roman" w:eastAsia="仿宋_GB2312" w:hAnsi="宋体" w:cs="宋体" w:hint="eastAsia"/>
          <w:color w:val="000000"/>
          <w:kern w:val="0"/>
          <w:sz w:val="32"/>
          <w:szCs w:val="32"/>
        </w:rPr>
        <w:t>电网企业提供的输配电及相关服务发生的费用应纳入输配电成本，通过输配电价回收，不得再以其他名义向用户变相收取费用。取消电网企业向电力用户收取的计量装置校验费；取消可以纳入供电基本服务的电费交费卡补办工本费、居民用户上门复电服务费，以及与之服务内容相似的其他垄断性收费项目。电网企业已经为电力用户提供计量装置校验、复电服务超过三次且不属于电网企业责任的，由用户承担相关费用。</w:t>
      </w:r>
    </w:p>
    <w:p w:rsidR="002227D1" w:rsidRPr="002227D1" w:rsidRDefault="002227D1" w:rsidP="002227D1">
      <w:pPr>
        <w:widowControl/>
        <w:shd w:val="clear" w:color="auto" w:fill="FFFFFF"/>
        <w:wordWrap w:val="0"/>
        <w:snapToGrid w:val="0"/>
        <w:spacing w:line="630" w:lineRule="atLeast"/>
        <w:ind w:firstLineChars="200" w:firstLine="640"/>
        <w:jc w:val="left"/>
        <w:rPr>
          <w:rFonts w:ascii="黑体" w:eastAsia="黑体" w:hAnsi="黑体" w:cs="宋体"/>
          <w:color w:val="000000"/>
          <w:kern w:val="0"/>
          <w:sz w:val="32"/>
          <w:szCs w:val="32"/>
        </w:rPr>
      </w:pPr>
      <w:r w:rsidRPr="002227D1">
        <w:rPr>
          <w:rFonts w:ascii="黑体" w:eastAsia="黑体" w:hAnsi="黑体" w:cs="宋体" w:hint="eastAsia"/>
          <w:color w:val="000000"/>
          <w:kern w:val="0"/>
          <w:sz w:val="32"/>
          <w:szCs w:val="32"/>
        </w:rPr>
        <w:t>二、全面清理规范转供电环节不合理加价行为</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hint="eastAsia"/>
          <w:color w:val="000000"/>
          <w:kern w:val="0"/>
          <w:sz w:val="32"/>
          <w:szCs w:val="32"/>
        </w:rPr>
      </w:pPr>
      <w:r w:rsidRPr="002227D1">
        <w:rPr>
          <w:rFonts w:ascii="Times New Roman" w:eastAsia="仿宋_GB2312" w:hAnsi="宋体" w:cs="宋体" w:hint="eastAsia"/>
          <w:color w:val="000000"/>
          <w:kern w:val="0"/>
          <w:sz w:val="32"/>
          <w:szCs w:val="32"/>
        </w:rPr>
        <w:t>转供电是指电网企业无法直接供电到的终端用户，需由其他主体转供的行为。目前，一些地方的商业综合体、产业园区、物业、写字楼等转供电环节存在不合理加价现象，国家多次降低一般工商业电价的措施未能得到有效传递和落实，必须采取有力措施清理规范，确保降价成果真正惠及终端用户。</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Times New Roman" w:eastAsia="仿宋_GB2312" w:hAnsi="宋体" w:cs="宋体" w:hint="eastAsia"/>
          <w:color w:val="000000"/>
          <w:kern w:val="0"/>
          <w:sz w:val="32"/>
          <w:szCs w:val="32"/>
        </w:rPr>
        <w:lastRenderedPageBreak/>
        <w:t>对于具备改造为一户一表条件的电力用户，电网企业要主动服务，尽快实现直接供电，并按照目录销售电价结算。不具备直接供电条件，继续实行转供电的，转供电主体应按国家规定销售电价向用户收取电费，相关共用设施用电及损耗通过租金、物业费、服务费等方式协商解决；或者由所有用户按各分表电量公平分摊向电网企业缴纳的电费并做好收费公示工作。各级价格部门要在对转供电主体进行行政指导的基础上，会同当地供电部门，对其收费行为进行走访督查：一查国家和省降价措施是否全部传导到终端用户；二查公摊电费是否合理，转供电主体收取电费应不高于其向供电部门上交的电费；三查收费是否经过协商并按期（原则上与供电部门收费周期统一）公布电费清单。请各地高度重视，统筹安排，确保</w:t>
      </w:r>
      <w:r w:rsidRPr="002227D1">
        <w:rPr>
          <w:rFonts w:ascii="Times New Roman" w:eastAsia="仿宋_GB2312" w:hAnsi="Times New Roman" w:cs="Times New Roman"/>
          <w:color w:val="000000"/>
          <w:kern w:val="0"/>
          <w:sz w:val="32"/>
          <w:szCs w:val="32"/>
        </w:rPr>
        <w:t>8</w:t>
      </w:r>
      <w:r w:rsidRPr="002227D1">
        <w:rPr>
          <w:rFonts w:ascii="Times New Roman" w:eastAsia="仿宋_GB2312" w:hAnsi="宋体" w:cs="宋体" w:hint="eastAsia"/>
          <w:color w:val="000000"/>
          <w:kern w:val="0"/>
          <w:sz w:val="32"/>
          <w:szCs w:val="32"/>
        </w:rPr>
        <w:t>月底前对当地大中型转供电主体督查到位，</w:t>
      </w:r>
      <w:r w:rsidRPr="002227D1">
        <w:rPr>
          <w:rFonts w:ascii="Times New Roman" w:eastAsia="仿宋_GB2312" w:hAnsi="Times New Roman" w:cs="Times New Roman"/>
          <w:color w:val="000000"/>
          <w:kern w:val="0"/>
          <w:sz w:val="32"/>
          <w:szCs w:val="32"/>
        </w:rPr>
        <w:t>10</w:t>
      </w:r>
      <w:r w:rsidRPr="002227D1">
        <w:rPr>
          <w:rFonts w:ascii="Times New Roman" w:eastAsia="仿宋_GB2312" w:hAnsi="宋体" w:cs="宋体" w:hint="eastAsia"/>
          <w:color w:val="000000"/>
          <w:kern w:val="0"/>
          <w:sz w:val="32"/>
          <w:szCs w:val="32"/>
        </w:rPr>
        <w:t>月底前对所有转供电主体督查完毕。</w:t>
      </w:r>
    </w:p>
    <w:p w:rsidR="002227D1" w:rsidRPr="002227D1" w:rsidRDefault="002227D1" w:rsidP="002227D1">
      <w:pPr>
        <w:widowControl/>
        <w:shd w:val="clear" w:color="auto" w:fill="FFFFFF"/>
        <w:wordWrap w:val="0"/>
        <w:snapToGrid w:val="0"/>
        <w:spacing w:line="630" w:lineRule="atLeast"/>
        <w:ind w:firstLineChars="200" w:firstLine="640"/>
        <w:jc w:val="left"/>
        <w:rPr>
          <w:rFonts w:ascii="黑体" w:eastAsia="黑体" w:hAnsi="黑体" w:cs="宋体"/>
          <w:color w:val="000000"/>
          <w:kern w:val="0"/>
          <w:sz w:val="32"/>
          <w:szCs w:val="32"/>
        </w:rPr>
      </w:pPr>
      <w:r w:rsidRPr="002227D1">
        <w:rPr>
          <w:rFonts w:ascii="黑体" w:eastAsia="黑体" w:hAnsi="黑体" w:cs="宋体" w:hint="eastAsia"/>
          <w:color w:val="000000"/>
          <w:kern w:val="0"/>
          <w:sz w:val="32"/>
          <w:szCs w:val="32"/>
        </w:rPr>
        <w:t>三、加快落实已出台的电网清费政策</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hint="eastAsia"/>
          <w:color w:val="000000"/>
          <w:kern w:val="0"/>
          <w:sz w:val="32"/>
          <w:szCs w:val="32"/>
        </w:rPr>
      </w:pPr>
      <w:r w:rsidRPr="002227D1">
        <w:rPr>
          <w:rFonts w:ascii="楷体_GB2312" w:eastAsia="楷体_GB2312" w:hAnsi="宋体" w:cs="宋体" w:hint="eastAsia"/>
          <w:color w:val="000000"/>
          <w:kern w:val="0"/>
          <w:sz w:val="32"/>
          <w:szCs w:val="32"/>
        </w:rPr>
        <w:t>（一）加快退还用户临时接电费。</w:t>
      </w:r>
      <w:r w:rsidRPr="002227D1">
        <w:rPr>
          <w:rFonts w:ascii="Times New Roman" w:eastAsia="仿宋_GB2312" w:hAnsi="宋体" w:cs="宋体" w:hint="eastAsia"/>
          <w:color w:val="000000"/>
          <w:kern w:val="0"/>
          <w:sz w:val="32"/>
          <w:szCs w:val="32"/>
        </w:rPr>
        <w:t>电网企业应于今年</w:t>
      </w:r>
      <w:r w:rsidRPr="002227D1">
        <w:rPr>
          <w:rFonts w:ascii="Times New Roman" w:eastAsia="仿宋_GB2312" w:hAnsi="Times New Roman" w:cs="Times New Roman"/>
          <w:color w:val="000000"/>
          <w:kern w:val="0"/>
          <w:sz w:val="32"/>
          <w:szCs w:val="32"/>
        </w:rPr>
        <w:t>7</w:t>
      </w:r>
      <w:r w:rsidRPr="002227D1">
        <w:rPr>
          <w:rFonts w:ascii="Times New Roman" w:eastAsia="仿宋_GB2312" w:hAnsi="宋体" w:cs="宋体" w:hint="eastAsia"/>
          <w:color w:val="000000"/>
          <w:kern w:val="0"/>
          <w:sz w:val="32"/>
          <w:szCs w:val="32"/>
        </w:rPr>
        <w:t>月底前全部退还已向电力用户收取的临时接电费。确因用户销户等原因无法退还的，电网企业应在营业网点、当地主要媒体上依法公告，并按照相关法律规定进行处理，在债权诉讼时效结束后仍无法退还的，冲减省级电网输配电准许收入。</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楷体_GB2312" w:eastAsia="楷体_GB2312" w:hAnsi="宋体" w:cs="宋体" w:hint="eastAsia"/>
          <w:color w:val="000000"/>
          <w:kern w:val="0"/>
          <w:sz w:val="32"/>
          <w:szCs w:val="32"/>
        </w:rPr>
        <w:t>（二）开展减免余热、余压、余气自备电厂政策性交叉补贴和系统备用费政策落实情况检查。</w:t>
      </w:r>
      <w:r w:rsidRPr="002227D1">
        <w:rPr>
          <w:rFonts w:ascii="Times New Roman" w:eastAsia="仿宋_GB2312" w:hAnsi="宋体" w:cs="宋体" w:hint="eastAsia"/>
          <w:color w:val="000000"/>
          <w:kern w:val="0"/>
          <w:sz w:val="32"/>
          <w:szCs w:val="32"/>
        </w:rPr>
        <w:t>省电力公司要于</w:t>
      </w:r>
      <w:r w:rsidRPr="002227D1">
        <w:rPr>
          <w:rFonts w:ascii="Times New Roman" w:eastAsia="仿宋_GB2312" w:hAnsi="Times New Roman" w:cs="Times New Roman"/>
          <w:color w:val="000000"/>
          <w:kern w:val="0"/>
          <w:sz w:val="32"/>
          <w:szCs w:val="32"/>
        </w:rPr>
        <w:t>7</w:t>
      </w:r>
      <w:r w:rsidRPr="002227D1">
        <w:rPr>
          <w:rFonts w:ascii="Times New Roman" w:eastAsia="仿宋_GB2312" w:hAnsi="宋体" w:cs="宋体" w:hint="eastAsia"/>
          <w:color w:val="000000"/>
          <w:kern w:val="0"/>
          <w:sz w:val="32"/>
          <w:szCs w:val="32"/>
        </w:rPr>
        <w:t>月</w:t>
      </w:r>
      <w:r w:rsidRPr="002227D1">
        <w:rPr>
          <w:rFonts w:ascii="Times New Roman" w:eastAsia="仿宋_GB2312" w:hAnsi="宋体" w:cs="宋体" w:hint="eastAsia"/>
          <w:color w:val="000000"/>
          <w:kern w:val="0"/>
          <w:sz w:val="32"/>
          <w:szCs w:val="32"/>
        </w:rPr>
        <w:lastRenderedPageBreak/>
        <w:t>底前将全省并网自备电厂名单（区分余热、余压、余气自备电厂和其他两类）、系统备用费减免政策落实情况、政府性基金及附加征缴详细情况报我局。我局将适时会同有关部门完善系统备用费减免政策。</w:t>
      </w:r>
    </w:p>
    <w:p w:rsidR="002227D1" w:rsidRPr="002227D1" w:rsidRDefault="002227D1" w:rsidP="002227D1">
      <w:pPr>
        <w:widowControl/>
        <w:shd w:val="clear" w:color="auto" w:fill="FFFFFF"/>
        <w:wordWrap w:val="0"/>
        <w:snapToGrid w:val="0"/>
        <w:spacing w:line="630" w:lineRule="atLeast"/>
        <w:ind w:firstLineChars="200" w:firstLine="640"/>
        <w:jc w:val="left"/>
        <w:rPr>
          <w:rFonts w:ascii="黑体" w:eastAsia="黑体" w:hAnsi="黑体" w:cs="宋体"/>
          <w:color w:val="000000"/>
          <w:kern w:val="0"/>
          <w:sz w:val="32"/>
          <w:szCs w:val="32"/>
        </w:rPr>
      </w:pPr>
      <w:r w:rsidRPr="002227D1">
        <w:rPr>
          <w:rFonts w:ascii="黑体" w:eastAsia="黑体" w:hAnsi="黑体" w:cs="宋体" w:hint="eastAsia"/>
          <w:color w:val="000000"/>
          <w:kern w:val="0"/>
          <w:sz w:val="32"/>
          <w:szCs w:val="32"/>
        </w:rPr>
        <w:t>四、工作要求</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hint="eastAsia"/>
          <w:color w:val="000000"/>
          <w:kern w:val="0"/>
          <w:sz w:val="32"/>
          <w:szCs w:val="32"/>
        </w:rPr>
      </w:pPr>
      <w:r w:rsidRPr="002227D1">
        <w:rPr>
          <w:rFonts w:ascii="楷体_GB2312" w:eastAsia="楷体_GB2312" w:hAnsi="宋体" w:cs="宋体" w:hint="eastAsia"/>
          <w:color w:val="000000"/>
          <w:kern w:val="0"/>
          <w:sz w:val="32"/>
          <w:szCs w:val="32"/>
        </w:rPr>
        <w:t>（一）高度重视。</w:t>
      </w:r>
      <w:r w:rsidRPr="002227D1">
        <w:rPr>
          <w:rFonts w:ascii="Times New Roman" w:eastAsia="仿宋_GB2312" w:hAnsi="宋体" w:cs="宋体" w:hint="eastAsia"/>
          <w:color w:val="000000"/>
          <w:kern w:val="0"/>
          <w:sz w:val="32"/>
          <w:szCs w:val="32"/>
        </w:rPr>
        <w:t>一般工商业电价平均降低</w:t>
      </w:r>
      <w:r w:rsidRPr="002227D1">
        <w:rPr>
          <w:rFonts w:ascii="Times New Roman" w:eastAsia="仿宋_GB2312" w:hAnsi="Times New Roman" w:cs="Times New Roman"/>
          <w:color w:val="000000"/>
          <w:kern w:val="0"/>
          <w:sz w:val="32"/>
          <w:szCs w:val="32"/>
        </w:rPr>
        <w:t>10%</w:t>
      </w:r>
      <w:r w:rsidRPr="002227D1">
        <w:rPr>
          <w:rFonts w:ascii="Times New Roman" w:eastAsia="仿宋_GB2312" w:hAnsi="宋体" w:cs="宋体" w:hint="eastAsia"/>
          <w:color w:val="000000"/>
          <w:kern w:val="0"/>
          <w:sz w:val="32"/>
          <w:szCs w:val="32"/>
        </w:rPr>
        <w:t>是《政府工作报告》的明确要求，是必须坚决完成好的重大任务。各级价格主管部门、电网企业要高度重视，认真对照国家和我省文件要求，加大工作力度，加快工作进度，狠抓关键问题和关键环节，采取更加有力的措施和更加有效的办法，切实增强一般工商业用户获得感。</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楷体_GB2312" w:eastAsia="楷体_GB2312" w:hAnsi="宋体" w:cs="宋体" w:hint="eastAsia"/>
          <w:color w:val="000000"/>
          <w:kern w:val="0"/>
          <w:sz w:val="32"/>
          <w:szCs w:val="32"/>
        </w:rPr>
        <w:t>（二）协调配合。</w:t>
      </w:r>
      <w:r w:rsidRPr="002227D1">
        <w:rPr>
          <w:rFonts w:ascii="Times New Roman" w:eastAsia="仿宋_GB2312" w:hAnsi="宋体" w:cs="宋体" w:hint="eastAsia"/>
          <w:color w:val="000000"/>
          <w:kern w:val="0"/>
          <w:sz w:val="32"/>
          <w:szCs w:val="32"/>
        </w:rPr>
        <w:t>降低一般工商业电价工作要求高，涉及面广、政策性强，各级价格主管部门、电网企业要加强协调配合，形成工作合力，做好宣传解释，务求取得实效。</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楷体_GB2312" w:eastAsia="楷体_GB2312" w:hAnsi="宋体" w:cs="宋体" w:hint="eastAsia"/>
          <w:color w:val="000000"/>
          <w:kern w:val="0"/>
          <w:sz w:val="32"/>
          <w:szCs w:val="32"/>
        </w:rPr>
        <w:t>（三）落实责任。</w:t>
      </w:r>
      <w:r w:rsidRPr="002227D1">
        <w:rPr>
          <w:rFonts w:ascii="Times New Roman" w:eastAsia="仿宋_GB2312" w:hAnsi="宋体" w:cs="宋体" w:hint="eastAsia"/>
          <w:color w:val="000000"/>
          <w:kern w:val="0"/>
          <w:sz w:val="32"/>
          <w:szCs w:val="32"/>
        </w:rPr>
        <w:t>各级价格主管部门要加大督促检查力度，电网公司要加强对各级电力公司的指导。对于执行不力的单位和个人，要给予通报批评。</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楷体_GB2312" w:eastAsia="楷体_GB2312" w:hAnsi="宋体" w:cs="宋体" w:hint="eastAsia"/>
          <w:color w:val="000000"/>
          <w:kern w:val="0"/>
          <w:sz w:val="32"/>
          <w:szCs w:val="32"/>
        </w:rPr>
        <w:t>（四）加强监管。</w:t>
      </w:r>
      <w:r w:rsidRPr="002227D1">
        <w:rPr>
          <w:rFonts w:ascii="Times New Roman" w:eastAsia="仿宋_GB2312" w:hAnsi="宋体" w:cs="宋体" w:hint="eastAsia"/>
          <w:color w:val="000000"/>
          <w:kern w:val="0"/>
          <w:sz w:val="32"/>
          <w:szCs w:val="32"/>
        </w:rPr>
        <w:t>价格主管部门要按照相关法律法规加强对转供电加价行为的监管，督促指导有关主体完善制度，规范收费行为。对督查发现的转供电主体的违规加价行为和收费不公示行为要下发《整改通知书》责令其限期整改，对拒不整改的，要严格处罚；并建立相关主体信用档案和失信</w:t>
      </w:r>
      <w:r w:rsidRPr="002227D1">
        <w:rPr>
          <w:rFonts w:ascii="Times New Roman" w:eastAsia="仿宋_GB2312" w:hAnsi="宋体" w:cs="宋体" w:hint="eastAsia"/>
          <w:color w:val="000000"/>
          <w:kern w:val="0"/>
          <w:sz w:val="32"/>
          <w:szCs w:val="32"/>
        </w:rPr>
        <w:lastRenderedPageBreak/>
        <w:t>黑名单制度，将违规加价、不执行国家和省电价政策等失信行为纳入全省及全国信用信息共享平台，通过“信用中国”及我局门户网站对外公示。</w:t>
      </w:r>
    </w:p>
    <w:p w:rsidR="002227D1" w:rsidRPr="002227D1" w:rsidRDefault="002227D1" w:rsidP="002227D1">
      <w:pPr>
        <w:widowControl/>
        <w:shd w:val="clear" w:color="auto" w:fill="FFFFFF"/>
        <w:wordWrap w:val="0"/>
        <w:snapToGrid w:val="0"/>
        <w:spacing w:line="630" w:lineRule="atLeast"/>
        <w:ind w:firstLineChars="200" w:firstLine="640"/>
        <w:jc w:val="left"/>
        <w:rPr>
          <w:rFonts w:ascii="宋体" w:eastAsia="仿宋_GB2312" w:hAnsi="宋体" w:cs="宋体"/>
          <w:color w:val="000000"/>
          <w:kern w:val="0"/>
          <w:sz w:val="32"/>
          <w:szCs w:val="32"/>
        </w:rPr>
      </w:pPr>
      <w:r w:rsidRPr="002227D1">
        <w:rPr>
          <w:rFonts w:ascii="Times New Roman" w:eastAsia="仿宋_GB2312" w:hAnsi="宋体" w:cs="宋体" w:hint="eastAsia"/>
          <w:color w:val="000000"/>
          <w:kern w:val="0"/>
          <w:sz w:val="32"/>
          <w:szCs w:val="32"/>
        </w:rPr>
        <w:t>各设区市价格主管部门要于</w:t>
      </w:r>
      <w:r w:rsidRPr="002227D1">
        <w:rPr>
          <w:rFonts w:ascii="Times New Roman" w:eastAsia="仿宋_GB2312" w:hAnsi="Times New Roman" w:cs="Times New Roman"/>
          <w:color w:val="000000"/>
          <w:kern w:val="0"/>
          <w:sz w:val="32"/>
          <w:szCs w:val="32"/>
        </w:rPr>
        <w:t>8</w:t>
      </w:r>
      <w:r w:rsidRPr="002227D1">
        <w:rPr>
          <w:rFonts w:ascii="Times New Roman" w:eastAsia="仿宋_GB2312" w:hAnsi="宋体" w:cs="宋体" w:hint="eastAsia"/>
          <w:color w:val="000000"/>
          <w:kern w:val="0"/>
          <w:sz w:val="32"/>
          <w:szCs w:val="32"/>
        </w:rPr>
        <w:t>月底前将本辖区降价措施执行和督查情况报我局，我局将及时向国家发改委报告并向省政府减负办汇报沟通，报送工作进展情况，说明相关政策落实效果。</w:t>
      </w:r>
    </w:p>
    <w:p w:rsidR="002227D1" w:rsidRPr="002227D1" w:rsidRDefault="002227D1" w:rsidP="002227D1">
      <w:pPr>
        <w:widowControl/>
        <w:shd w:val="clear" w:color="auto" w:fill="FFFFFF"/>
        <w:wordWrap w:val="0"/>
        <w:adjustRightInd w:val="0"/>
        <w:snapToGrid w:val="0"/>
        <w:spacing w:line="640" w:lineRule="atLeast"/>
        <w:jc w:val="left"/>
        <w:rPr>
          <w:rFonts w:ascii="宋体" w:eastAsia="仿宋_GB2312" w:hAnsi="宋体" w:cs="宋体"/>
          <w:color w:val="000000"/>
          <w:kern w:val="0"/>
          <w:sz w:val="32"/>
          <w:szCs w:val="32"/>
          <w:shd w:val="clear" w:color="auto" w:fill="FFFFFF"/>
        </w:rPr>
      </w:pPr>
    </w:p>
    <w:p w:rsidR="002227D1" w:rsidRPr="002227D1" w:rsidRDefault="002227D1" w:rsidP="002227D1">
      <w:pPr>
        <w:widowControl/>
        <w:shd w:val="clear" w:color="auto" w:fill="FFFFFF"/>
        <w:wordWrap w:val="0"/>
        <w:adjustRightInd w:val="0"/>
        <w:snapToGrid w:val="0"/>
        <w:spacing w:line="640" w:lineRule="atLeast"/>
        <w:jc w:val="left"/>
        <w:rPr>
          <w:rFonts w:ascii="宋体" w:eastAsia="仿宋_GB2312" w:hAnsi="宋体" w:cs="宋体"/>
          <w:color w:val="000000"/>
          <w:kern w:val="0"/>
          <w:sz w:val="32"/>
          <w:szCs w:val="32"/>
          <w:shd w:val="clear" w:color="auto" w:fill="FFFFFF"/>
        </w:rPr>
      </w:pPr>
    </w:p>
    <w:p w:rsidR="002227D1" w:rsidRPr="002227D1" w:rsidRDefault="002227D1" w:rsidP="002227D1">
      <w:pPr>
        <w:widowControl/>
        <w:shd w:val="clear" w:color="auto" w:fill="FFFFFF"/>
        <w:wordWrap w:val="0"/>
        <w:snapToGrid w:val="0"/>
        <w:spacing w:line="640" w:lineRule="atLeast"/>
        <w:ind w:leftChars="1450" w:left="3045" w:rightChars="50" w:right="105"/>
        <w:jc w:val="center"/>
        <w:rPr>
          <w:rFonts w:ascii="宋体" w:eastAsia="仿宋_GB2312" w:hAnsi="宋体" w:cs="宋体"/>
          <w:color w:val="000000"/>
          <w:spacing w:val="2"/>
          <w:kern w:val="0"/>
          <w:sz w:val="30"/>
          <w:szCs w:val="30"/>
          <w:shd w:val="clear" w:color="auto" w:fill="FFFFFF"/>
        </w:rPr>
      </w:pPr>
      <w:r w:rsidRPr="002227D1">
        <w:rPr>
          <w:rFonts w:ascii="Times New Roman" w:eastAsia="仿宋_GB2312" w:hAnsi="宋体" w:cs="宋体" w:hint="eastAsia"/>
          <w:color w:val="000000"/>
          <w:spacing w:val="2"/>
          <w:kern w:val="0"/>
          <w:sz w:val="32"/>
          <w:szCs w:val="32"/>
          <w:shd w:val="clear" w:color="auto" w:fill="FFFFFF"/>
        </w:rPr>
        <w:t>江苏省物价局</w:t>
      </w:r>
    </w:p>
    <w:p w:rsidR="002227D1" w:rsidRPr="002227D1" w:rsidRDefault="002227D1" w:rsidP="002227D1">
      <w:pPr>
        <w:widowControl/>
        <w:shd w:val="clear" w:color="auto" w:fill="FFFFFF"/>
        <w:wordWrap w:val="0"/>
        <w:snapToGrid w:val="0"/>
        <w:spacing w:line="600" w:lineRule="atLeast"/>
        <w:ind w:leftChars="1450" w:left="3045" w:rightChars="50" w:right="105"/>
        <w:jc w:val="center"/>
        <w:rPr>
          <w:rFonts w:ascii="宋体" w:eastAsia="仿宋_GB2312" w:hAnsi="宋体" w:cs="宋体"/>
          <w:color w:val="000000"/>
          <w:kern w:val="0"/>
          <w:sz w:val="32"/>
          <w:szCs w:val="32"/>
          <w:shd w:val="clear" w:color="auto" w:fill="FFFFFF"/>
        </w:rPr>
      </w:pPr>
      <w:r w:rsidRPr="002227D1">
        <w:rPr>
          <w:rFonts w:ascii="Times New Roman" w:eastAsia="仿宋_GB2312" w:hAnsi="Times New Roman" w:cs="Times New Roman"/>
          <w:color w:val="000000"/>
          <w:kern w:val="0"/>
          <w:sz w:val="32"/>
          <w:szCs w:val="32"/>
          <w:shd w:val="clear" w:color="auto" w:fill="FFFFFF"/>
        </w:rPr>
        <w:t>2018</w:t>
      </w:r>
      <w:r w:rsidRPr="002227D1">
        <w:rPr>
          <w:rFonts w:ascii="Times New Roman" w:eastAsia="仿宋_GB2312" w:hAnsi="宋体" w:cs="宋体" w:hint="eastAsia"/>
          <w:color w:val="000000"/>
          <w:kern w:val="0"/>
          <w:sz w:val="32"/>
          <w:szCs w:val="32"/>
          <w:shd w:val="clear" w:color="auto" w:fill="FFFFFF"/>
        </w:rPr>
        <w:t>年</w:t>
      </w:r>
      <w:r w:rsidRPr="002227D1">
        <w:rPr>
          <w:rFonts w:ascii="Times New Roman" w:eastAsia="仿宋_GB2312" w:hAnsi="Times New Roman" w:cs="Times New Roman"/>
          <w:color w:val="000000"/>
          <w:kern w:val="0"/>
          <w:sz w:val="32"/>
          <w:szCs w:val="32"/>
          <w:shd w:val="clear" w:color="auto" w:fill="FFFFFF"/>
        </w:rPr>
        <w:t>7</w:t>
      </w:r>
      <w:r w:rsidRPr="002227D1">
        <w:rPr>
          <w:rFonts w:ascii="Times New Roman" w:eastAsia="仿宋_GB2312" w:hAnsi="宋体" w:cs="宋体" w:hint="eastAsia"/>
          <w:color w:val="000000"/>
          <w:kern w:val="0"/>
          <w:sz w:val="32"/>
          <w:szCs w:val="32"/>
          <w:shd w:val="clear" w:color="auto" w:fill="FFFFFF"/>
        </w:rPr>
        <w:t>月</w:t>
      </w:r>
      <w:r w:rsidRPr="002227D1">
        <w:rPr>
          <w:rFonts w:ascii="Times New Roman" w:eastAsia="仿宋_GB2312" w:hAnsi="Times New Roman" w:cs="Times New Roman"/>
          <w:color w:val="000000"/>
          <w:kern w:val="0"/>
          <w:sz w:val="32"/>
          <w:szCs w:val="32"/>
          <w:shd w:val="clear" w:color="auto" w:fill="FFFFFF"/>
        </w:rPr>
        <w:t>25</w:t>
      </w:r>
      <w:r w:rsidRPr="002227D1">
        <w:rPr>
          <w:rFonts w:ascii="Times New Roman" w:eastAsia="仿宋_GB2312" w:hAnsi="宋体" w:cs="宋体" w:hint="eastAsia"/>
          <w:color w:val="000000"/>
          <w:kern w:val="0"/>
          <w:sz w:val="32"/>
          <w:szCs w:val="32"/>
          <w:shd w:val="clear" w:color="auto" w:fill="FFFFFF"/>
        </w:rPr>
        <w:t>日</w:t>
      </w:r>
    </w:p>
    <w:p w:rsidR="002227D1" w:rsidRPr="002227D1" w:rsidRDefault="002227D1" w:rsidP="002227D1">
      <w:pPr>
        <w:widowControl/>
        <w:shd w:val="clear" w:color="auto" w:fill="FFFFFF"/>
        <w:wordWrap w:val="0"/>
        <w:snapToGrid w:val="0"/>
        <w:spacing w:line="600" w:lineRule="atLeast"/>
        <w:ind w:rightChars="50" w:right="105"/>
        <w:jc w:val="left"/>
        <w:rPr>
          <w:rFonts w:ascii="宋体" w:eastAsia="仿宋_GB2312" w:hAnsi="宋体" w:cs="宋体"/>
          <w:color w:val="000000"/>
          <w:kern w:val="0"/>
          <w:sz w:val="32"/>
          <w:szCs w:val="32"/>
          <w:shd w:val="clear" w:color="auto" w:fill="FFFFFF"/>
        </w:rPr>
      </w:pPr>
      <w:r w:rsidRPr="002227D1">
        <w:rPr>
          <w:rFonts w:ascii="Times New Roman" w:eastAsia="仿宋_GB2312" w:hAnsi="宋体" w:cs="宋体" w:hint="eastAsia"/>
          <w:color w:val="000000"/>
          <w:kern w:val="0"/>
          <w:sz w:val="32"/>
          <w:szCs w:val="32"/>
          <w:shd w:val="clear" w:color="auto" w:fill="FFFFFF"/>
        </w:rPr>
        <w:t>（此件公开发布）</w:t>
      </w:r>
    </w:p>
    <w:p w:rsidR="002227D1" w:rsidRPr="002227D1" w:rsidRDefault="002227D1" w:rsidP="002227D1">
      <w:pPr>
        <w:widowControl/>
        <w:wordWrap w:val="0"/>
        <w:adjustRightInd w:val="0"/>
        <w:snapToGrid w:val="0"/>
        <w:spacing w:line="600" w:lineRule="atLeast"/>
        <w:jc w:val="left"/>
        <w:rPr>
          <w:rFonts w:ascii="仿宋_GB2312" w:eastAsia="仿宋_GB2312" w:hAnsi="宋体" w:cs="宋体"/>
          <w:color w:val="000000"/>
          <w:kern w:val="0"/>
          <w:sz w:val="32"/>
          <w:szCs w:val="32"/>
        </w:rPr>
      </w:pPr>
    </w:p>
    <w:p w:rsidR="002227D1" w:rsidRPr="002227D1" w:rsidRDefault="002227D1" w:rsidP="002227D1">
      <w:pPr>
        <w:widowControl/>
        <w:wordWrap w:val="0"/>
        <w:adjustRightInd w:val="0"/>
        <w:snapToGrid w:val="0"/>
        <w:spacing w:line="600" w:lineRule="atLeast"/>
        <w:jc w:val="left"/>
        <w:rPr>
          <w:rFonts w:ascii="仿宋_GB2312" w:eastAsia="仿宋_GB2312" w:hAnsi="宋体" w:cs="宋体" w:hint="eastAsia"/>
          <w:color w:val="000000"/>
          <w:kern w:val="0"/>
          <w:sz w:val="32"/>
          <w:szCs w:val="32"/>
        </w:rPr>
      </w:pPr>
    </w:p>
    <w:p w:rsidR="002227D1" w:rsidRPr="002227D1" w:rsidRDefault="002227D1" w:rsidP="002227D1">
      <w:pPr>
        <w:widowControl/>
        <w:wordWrap w:val="0"/>
        <w:spacing w:beforeAutospacing="1" w:after="320" w:line="580" w:lineRule="atLeast"/>
        <w:jc w:val="left"/>
        <w:rPr>
          <w:rFonts w:ascii="仿宋_GB2312" w:eastAsia="仿宋_GB2312" w:hAnsi="宋体" w:cs="宋体" w:hint="eastAsia"/>
          <w:color w:val="000000"/>
          <w:kern w:val="0"/>
          <w:sz w:val="32"/>
          <w:szCs w:val="32"/>
        </w:rPr>
      </w:pPr>
      <w:r w:rsidRPr="002227D1">
        <w:rPr>
          <w:rFonts w:ascii="仿宋_GB2312" w:eastAsia="仿宋_GB2312" w:hAnsi="宋体" w:cs="宋体" w:hint="eastAsia"/>
          <w:color w:val="000000"/>
          <w:kern w:val="0"/>
          <w:sz w:val="32"/>
          <w:szCs w:val="32"/>
        </w:rPr>
        <w:br/>
      </w:r>
    </w:p>
    <w:p w:rsidR="002227D1" w:rsidRPr="002227D1" w:rsidRDefault="002227D1" w:rsidP="002227D1">
      <w:pPr>
        <w:widowControl/>
        <w:wordWrap w:val="0"/>
        <w:spacing w:beforeAutospacing="1" w:afterAutospacing="1" w:line="580" w:lineRule="atLeast"/>
        <w:jc w:val="left"/>
        <w:rPr>
          <w:rFonts w:ascii="仿宋_GB2312" w:eastAsia="仿宋_GB2312" w:hAnsi="宋体" w:cs="宋体" w:hint="eastAsia"/>
          <w:color w:val="000000"/>
          <w:kern w:val="0"/>
          <w:sz w:val="32"/>
          <w:szCs w:val="32"/>
        </w:rPr>
      </w:pPr>
      <w:r w:rsidRPr="002227D1">
        <w:rPr>
          <w:rFonts w:ascii="仿宋_GB2312" w:eastAsia="仿宋_GB2312" w:hAnsi="宋体" w:cs="宋体" w:hint="eastAsia"/>
          <w:color w:val="000000"/>
          <w:kern w:val="0"/>
          <w:sz w:val="32"/>
          <w:szCs w:val="32"/>
        </w:rPr>
        <w:pict>
          <v:rect id="_x0000_i1026" style="width:0;height:1.5pt" o:hralign="center" o:hrstd="t" o:hrnoshade="t" o:hr="t" fillcolor="black" stroked="f"/>
        </w:pict>
      </w:r>
    </w:p>
    <w:p w:rsidR="002227D1" w:rsidRPr="002227D1" w:rsidRDefault="002227D1" w:rsidP="002227D1">
      <w:pPr>
        <w:widowControl/>
        <w:wordWrap w:val="0"/>
        <w:spacing w:beforeAutospacing="1" w:afterAutospacing="1" w:line="400" w:lineRule="atLeast"/>
        <w:jc w:val="left"/>
        <w:rPr>
          <w:rFonts w:ascii="仿宋_GB2312" w:eastAsia="仿宋_GB2312" w:hAnsi="宋体" w:cs="宋体" w:hint="eastAsia"/>
          <w:color w:val="000000"/>
          <w:kern w:val="0"/>
          <w:sz w:val="28"/>
          <w:szCs w:val="28"/>
        </w:rPr>
      </w:pPr>
      <w:r w:rsidRPr="002227D1">
        <w:rPr>
          <w:rFonts w:ascii="仿宋_GB2312" w:eastAsia="仿宋_GB2312" w:hAnsi="宋体" w:cs="宋体" w:hint="eastAsia"/>
          <w:color w:val="000000"/>
          <w:kern w:val="0"/>
          <w:sz w:val="28"/>
          <w:szCs w:val="28"/>
        </w:rPr>
        <w:t>抄送：国家发展改革委，省政府办公厅，省经信委。</w:t>
      </w:r>
      <w:r w:rsidRPr="002227D1">
        <w:rPr>
          <w:rFonts w:ascii="仿宋_GB2312" w:eastAsia="仿宋_GB2312" w:hAnsi="宋体" w:cs="宋体" w:hint="eastAsia"/>
          <w:color w:val="000000"/>
          <w:kern w:val="0"/>
          <w:sz w:val="32"/>
          <w:szCs w:val="32"/>
        </w:rPr>
        <w:t xml:space="preserve"> </w:t>
      </w:r>
    </w:p>
    <w:p w:rsidR="002227D1" w:rsidRPr="002227D1" w:rsidRDefault="002227D1" w:rsidP="002227D1">
      <w:pPr>
        <w:widowControl/>
        <w:wordWrap w:val="0"/>
        <w:spacing w:beforeAutospacing="1" w:afterAutospacing="1" w:line="400" w:lineRule="atLeast"/>
        <w:jc w:val="center"/>
        <w:rPr>
          <w:rFonts w:ascii="仿宋_GB2312" w:eastAsia="仿宋_GB2312" w:hAnsi="宋体" w:cs="宋体" w:hint="eastAsia"/>
          <w:color w:val="000000"/>
          <w:kern w:val="0"/>
          <w:sz w:val="28"/>
          <w:szCs w:val="28"/>
        </w:rPr>
      </w:pPr>
      <w:r w:rsidRPr="002227D1">
        <w:rPr>
          <w:rFonts w:ascii="仿宋_GB2312" w:eastAsia="仿宋_GB2312" w:hAnsi="宋体" w:cs="宋体" w:hint="eastAsia"/>
          <w:color w:val="000000"/>
          <w:kern w:val="0"/>
          <w:sz w:val="28"/>
          <w:szCs w:val="28"/>
        </w:rPr>
        <w:pict>
          <v:rect id="_x0000_i1027" style="width:415.3pt;height:.75pt" o:hralign="center" o:hrstd="t" o:hrnoshade="t" o:hr="t" fillcolor="black" stroked="f"/>
        </w:pict>
      </w:r>
    </w:p>
    <w:tbl>
      <w:tblPr>
        <w:tblW w:w="5000" w:type="pct"/>
        <w:tblCellSpacing w:w="0" w:type="dxa"/>
        <w:tblCellMar>
          <w:left w:w="0" w:type="dxa"/>
          <w:right w:w="0" w:type="dxa"/>
        </w:tblCellMar>
        <w:tblLook w:val="04A0"/>
      </w:tblPr>
      <w:tblGrid>
        <w:gridCol w:w="3987"/>
        <w:gridCol w:w="4319"/>
      </w:tblGrid>
      <w:tr w:rsidR="002227D1" w:rsidRPr="002227D1" w:rsidTr="002227D1">
        <w:trPr>
          <w:tblCellSpacing w:w="0" w:type="dxa"/>
        </w:trPr>
        <w:tc>
          <w:tcPr>
            <w:tcW w:w="0" w:type="auto"/>
            <w:tcBorders>
              <w:top w:val="nil"/>
              <w:left w:val="nil"/>
              <w:bottom w:val="nil"/>
              <w:right w:val="nil"/>
            </w:tcBorders>
            <w:shd w:val="clear" w:color="auto" w:fill="auto"/>
            <w:vAlign w:val="center"/>
            <w:hideMark/>
          </w:tcPr>
          <w:p w:rsidR="002227D1" w:rsidRPr="002227D1" w:rsidRDefault="002227D1" w:rsidP="002227D1">
            <w:pPr>
              <w:widowControl/>
              <w:spacing w:line="400" w:lineRule="atLeast"/>
              <w:jc w:val="left"/>
              <w:rPr>
                <w:rFonts w:ascii="仿宋_GB2312" w:eastAsia="仿宋_GB2312" w:hAnsi="宋体" w:cs="宋体"/>
                <w:color w:val="000000"/>
                <w:kern w:val="0"/>
                <w:sz w:val="28"/>
                <w:szCs w:val="28"/>
              </w:rPr>
            </w:pPr>
            <w:r w:rsidRPr="002227D1">
              <w:rPr>
                <w:rFonts w:ascii="仿宋_GB2312" w:eastAsia="仿宋_GB2312" w:hAnsi="宋体" w:cs="宋体" w:hint="eastAsia"/>
                <w:color w:val="000000"/>
                <w:kern w:val="0"/>
                <w:sz w:val="28"/>
                <w:szCs w:val="28"/>
              </w:rPr>
              <w:t>江苏省物价局办公室</w:t>
            </w:r>
          </w:p>
        </w:tc>
        <w:tc>
          <w:tcPr>
            <w:tcW w:w="0" w:type="auto"/>
            <w:tcBorders>
              <w:top w:val="nil"/>
              <w:left w:val="nil"/>
              <w:bottom w:val="nil"/>
              <w:right w:val="nil"/>
            </w:tcBorders>
            <w:shd w:val="clear" w:color="auto" w:fill="auto"/>
            <w:vAlign w:val="center"/>
            <w:hideMark/>
          </w:tcPr>
          <w:p w:rsidR="002227D1" w:rsidRPr="002227D1" w:rsidRDefault="002227D1" w:rsidP="002227D1">
            <w:pPr>
              <w:widowControl/>
              <w:spacing w:line="400" w:lineRule="atLeast"/>
              <w:jc w:val="right"/>
              <w:rPr>
                <w:rFonts w:ascii="仿宋_GB2312" w:eastAsia="仿宋_GB2312" w:hAnsi="宋体" w:cs="宋体"/>
                <w:color w:val="000000"/>
                <w:kern w:val="0"/>
                <w:sz w:val="28"/>
                <w:szCs w:val="28"/>
              </w:rPr>
            </w:pPr>
            <w:r w:rsidRPr="002227D1">
              <w:rPr>
                <w:rFonts w:ascii="仿宋_GB2312" w:eastAsia="仿宋_GB2312" w:hAnsi="宋体" w:cs="宋体" w:hint="eastAsia"/>
                <w:color w:val="000000"/>
                <w:kern w:val="0"/>
                <w:sz w:val="28"/>
                <w:szCs w:val="28"/>
              </w:rPr>
              <w:t>2018年7月26日印发</w:t>
            </w:r>
          </w:p>
        </w:tc>
      </w:tr>
    </w:tbl>
    <w:p w:rsidR="002227D1" w:rsidRPr="002227D1" w:rsidRDefault="002227D1" w:rsidP="002227D1">
      <w:pPr>
        <w:widowControl/>
        <w:wordWrap w:val="0"/>
        <w:spacing w:beforeAutospacing="1" w:afterAutospacing="1" w:line="400" w:lineRule="atLeast"/>
        <w:jc w:val="left"/>
        <w:rPr>
          <w:rFonts w:ascii="仿宋_GB2312" w:eastAsia="仿宋_GB2312" w:hAnsi="宋体" w:cs="宋体" w:hint="eastAsia"/>
          <w:color w:val="000000"/>
          <w:kern w:val="0"/>
          <w:sz w:val="32"/>
          <w:szCs w:val="32"/>
        </w:rPr>
      </w:pPr>
      <w:r w:rsidRPr="002227D1">
        <w:rPr>
          <w:rFonts w:ascii="仿宋_GB2312" w:eastAsia="仿宋_GB2312" w:hAnsi="宋体" w:cs="宋体" w:hint="eastAsia"/>
          <w:color w:val="000000"/>
          <w:kern w:val="0"/>
          <w:sz w:val="32"/>
          <w:szCs w:val="32"/>
        </w:rPr>
        <w:lastRenderedPageBreak/>
        <w:pict>
          <v:rect id="_x0000_i1028" style="width:0;height:1.5pt" o:hralign="center" o:hrstd="t" o:hrnoshade="t" o:hr="t" fillcolor="black" stroked="f"/>
        </w:pict>
      </w:r>
    </w:p>
    <w:p w:rsidR="0007399A" w:rsidRDefault="00AF7F89"/>
    <w:sectPr w:rsidR="0007399A" w:rsidSect="00626D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89" w:rsidRDefault="00AF7F89" w:rsidP="002227D1">
      <w:r>
        <w:separator/>
      </w:r>
    </w:p>
  </w:endnote>
  <w:endnote w:type="continuationSeparator" w:id="0">
    <w:p w:rsidR="00AF7F89" w:rsidRDefault="00AF7F89" w:rsidP="00222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89" w:rsidRDefault="00AF7F89" w:rsidP="002227D1">
      <w:r>
        <w:separator/>
      </w:r>
    </w:p>
  </w:footnote>
  <w:footnote w:type="continuationSeparator" w:id="0">
    <w:p w:rsidR="00AF7F89" w:rsidRDefault="00AF7F89" w:rsidP="00222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7D1"/>
    <w:rsid w:val="00065FDB"/>
    <w:rsid w:val="00214F4A"/>
    <w:rsid w:val="002227D1"/>
    <w:rsid w:val="00626DC4"/>
    <w:rsid w:val="00AF7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7D1"/>
    <w:rPr>
      <w:sz w:val="18"/>
      <w:szCs w:val="18"/>
    </w:rPr>
  </w:style>
  <w:style w:type="paragraph" w:styleId="a4">
    <w:name w:val="footer"/>
    <w:basedOn w:val="a"/>
    <w:link w:val="Char0"/>
    <w:uiPriority w:val="99"/>
    <w:semiHidden/>
    <w:unhideWhenUsed/>
    <w:rsid w:val="002227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7D1"/>
    <w:rPr>
      <w:sz w:val="18"/>
      <w:szCs w:val="18"/>
    </w:rPr>
  </w:style>
  <w:style w:type="paragraph" w:styleId="a5">
    <w:name w:val="Normal (Web)"/>
    <w:basedOn w:val="a"/>
    <w:uiPriority w:val="99"/>
    <w:unhideWhenUsed/>
    <w:rsid w:val="002227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8895109">
      <w:bodyDiv w:val="1"/>
      <w:marLeft w:val="0"/>
      <w:marRight w:val="0"/>
      <w:marTop w:val="0"/>
      <w:marBottom w:val="0"/>
      <w:divBdr>
        <w:top w:val="none" w:sz="0" w:space="0" w:color="auto"/>
        <w:left w:val="none" w:sz="0" w:space="0" w:color="auto"/>
        <w:bottom w:val="none" w:sz="0" w:space="0" w:color="auto"/>
        <w:right w:val="none" w:sz="0" w:space="0" w:color="auto"/>
      </w:divBdr>
      <w:divsChild>
        <w:div w:id="1569926206">
          <w:marLeft w:val="0"/>
          <w:marRight w:val="0"/>
          <w:marTop w:val="0"/>
          <w:marBottom w:val="0"/>
          <w:divBdr>
            <w:top w:val="none" w:sz="0" w:space="0" w:color="auto"/>
            <w:left w:val="none" w:sz="0" w:space="0" w:color="auto"/>
            <w:bottom w:val="none" w:sz="0" w:space="0" w:color="auto"/>
            <w:right w:val="none" w:sz="0" w:space="0" w:color="auto"/>
          </w:divBdr>
          <w:divsChild>
            <w:div w:id="1380402748">
              <w:marLeft w:val="0"/>
              <w:marRight w:val="0"/>
              <w:marTop w:val="0"/>
              <w:marBottom w:val="0"/>
              <w:divBdr>
                <w:top w:val="none" w:sz="0" w:space="0" w:color="auto"/>
                <w:left w:val="none" w:sz="0" w:space="0" w:color="auto"/>
                <w:bottom w:val="none" w:sz="0" w:space="0" w:color="auto"/>
                <w:right w:val="none" w:sz="0" w:space="0" w:color="auto"/>
              </w:divBdr>
              <w:divsChild>
                <w:div w:id="427971900">
                  <w:marLeft w:val="0"/>
                  <w:marRight w:val="0"/>
                  <w:marTop w:val="0"/>
                  <w:marBottom w:val="0"/>
                  <w:divBdr>
                    <w:top w:val="none" w:sz="0" w:space="0" w:color="auto"/>
                    <w:left w:val="none" w:sz="0" w:space="0" w:color="auto"/>
                    <w:bottom w:val="none" w:sz="0" w:space="0" w:color="auto"/>
                    <w:right w:val="none" w:sz="0" w:space="0" w:color="auto"/>
                  </w:divBdr>
                </w:div>
                <w:div w:id="186212274">
                  <w:marLeft w:val="0"/>
                  <w:marRight w:val="0"/>
                  <w:marTop w:val="0"/>
                  <w:marBottom w:val="0"/>
                  <w:divBdr>
                    <w:top w:val="none" w:sz="0" w:space="0" w:color="auto"/>
                    <w:left w:val="none" w:sz="0" w:space="0" w:color="auto"/>
                    <w:bottom w:val="none" w:sz="0" w:space="0" w:color="auto"/>
                    <w:right w:val="none" w:sz="0" w:space="0" w:color="auto"/>
                  </w:divBdr>
                </w:div>
              </w:divsChild>
            </w:div>
            <w:div w:id="81997491">
              <w:marLeft w:val="0"/>
              <w:marRight w:val="0"/>
              <w:marTop w:val="0"/>
              <w:marBottom w:val="0"/>
              <w:divBdr>
                <w:top w:val="none" w:sz="0" w:space="0" w:color="auto"/>
                <w:left w:val="none" w:sz="0" w:space="0" w:color="auto"/>
                <w:bottom w:val="none" w:sz="0" w:space="0" w:color="auto"/>
                <w:right w:val="none" w:sz="0" w:space="0" w:color="auto"/>
              </w:divBdr>
            </w:div>
            <w:div w:id="1505775958">
              <w:marLeft w:val="0"/>
              <w:marRight w:val="0"/>
              <w:marTop w:val="0"/>
              <w:marBottom w:val="0"/>
              <w:divBdr>
                <w:top w:val="none" w:sz="0" w:space="0" w:color="auto"/>
                <w:left w:val="none" w:sz="0" w:space="0" w:color="auto"/>
                <w:bottom w:val="none" w:sz="0" w:space="0" w:color="auto"/>
                <w:right w:val="none" w:sz="0" w:space="0" w:color="auto"/>
              </w:divBdr>
              <w:divsChild>
                <w:div w:id="7433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2018-09-18T08:15:00Z</dcterms:created>
  <dcterms:modified xsi:type="dcterms:W3CDTF">2018-09-18T08:15:00Z</dcterms:modified>
</cp:coreProperties>
</file>