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宋体"/>
          <w:color w:val="48484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484848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 w:cs="宋体"/>
          <w:bCs/>
          <w:color w:val="484848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484848"/>
          <w:kern w:val="0"/>
          <w:sz w:val="44"/>
          <w:szCs w:val="44"/>
        </w:rPr>
        <w:t>2018年职业病防治法宣传周推荐宣传用语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 w:cs="宋体"/>
          <w:color w:val="48484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职业危害，重在预防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2.体面劳动，健康优先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3.企业发展，健康优先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4.职业健康，幸福保障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5.健康工作，从我做起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6.健康工作，美丽人生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7.健康企业，人人共建共享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8.健康中国，职业健康在行动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9.职业健康，为健康中国加油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10.建设健康企业，促进职业健康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11.促进职业健康，共创健康中国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12.实现职业安全健康，人人乐享小康生活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13.开展职业健康促进，有效防治职业病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14.开展职业健康促进，提高职业健康素养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15.开展职业卫生培训，加强危害防护意识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16.建设企业健康文化，促进劳动者职业健康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17.预防和控制职业病危害，保障劳动者职业健康权益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48484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84848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48484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484848"/>
          <w:kern w:val="0"/>
          <w:sz w:val="44"/>
          <w:szCs w:val="44"/>
        </w:rPr>
        <w:t>职业卫生健康教育核心信息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484848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《职业病防治法》是预防、控制和消除职业病危害，防治职业病，保护劳动者健康及其相关权益的基本法律。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职业病是指企业、事业单位和个体经济组织等用人单位的劳动者在职业活动中，因接触粉尘，放射性物质和其他有毒、有害因素而引起的疾病。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职业病是可以预防的，应预防为主，防治结合。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用人单位是职业病防治的责任主体，应依法保障劳动者的健康权益。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用人单位应当为劳动者创造安全，健康，舒适的工作环境。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劳动者依法享有职业卫生保护的权利。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劳动者应当提高职业病防护意识，遵守操作规程，正确佩戴和使用个体防护用品。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劳动者应当参加用人单位组织的上岗前、在岗期间和离岗时的职业健康检查。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劳动者应当参加用人单位组织的职业卫生培训。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  <w:t>职业病患者依法享受国家规定的职业病待遇。</w:t>
      </w: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48484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84848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 w:cs="宋体"/>
          <w:bCs/>
          <w:color w:val="484848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484848"/>
          <w:kern w:val="0"/>
          <w:sz w:val="44"/>
          <w:szCs w:val="44"/>
        </w:rPr>
        <w:t>2018年《职业病防治法》宣传周活动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 w:cs="宋体"/>
          <w:bCs/>
          <w:color w:val="484848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bCs/>
          <w:color w:val="484848"/>
          <w:kern w:val="0"/>
          <w:sz w:val="44"/>
          <w:szCs w:val="44"/>
        </w:rPr>
        <w:t>情况统计表</w:t>
      </w:r>
    </w:p>
    <w:p>
      <w:pPr>
        <w:widowControl/>
        <w:spacing w:line="560" w:lineRule="exact"/>
        <w:jc w:val="left"/>
        <w:rPr>
          <w:rFonts w:hint="eastAsia" w:ascii="方正小标宋简体" w:hAnsi="微软雅黑" w:eastAsia="方正小标宋简体" w:cs="宋体"/>
          <w:color w:val="484848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>镇（街道）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  <w:lang w:eastAsia="zh-CN"/>
        </w:rPr>
        <w:t>：</w:t>
      </w:r>
    </w:p>
    <w:tbl>
      <w:tblPr>
        <w:tblStyle w:val="5"/>
        <w:tblW w:w="87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3"/>
        <w:gridCol w:w="1404"/>
        <w:gridCol w:w="1443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形式（次数</w:t>
            </w:r>
            <w:r>
              <w:rPr>
                <w:rFonts w:hint="eastAsia" w:ascii="微软雅黑" w:hAnsi="微软雅黑" w:eastAsia="微软雅黑" w:cs="宋体"/>
                <w:color w:val="484848"/>
                <w:kern w:val="0"/>
                <w:sz w:val="30"/>
                <w:szCs w:val="30"/>
              </w:rPr>
              <w:t>/</w:t>
            </w: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人数）</w:t>
            </w:r>
          </w:p>
        </w:tc>
        <w:tc>
          <w:tcPr>
            <w:tcW w:w="1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区级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镇（街</w:t>
            </w:r>
          </w:p>
          <w:p>
            <w:pPr>
              <w:widowControl/>
              <w:spacing w:line="4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道）级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30"/>
                <w:szCs w:val="3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研讨会、主题报告会、员工座谈会、知识讲座、知识竞赛等活动次数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广播、电视、报刊等媒体报道次数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公益短信、微博、微信、在线访谈等新媒体报道次数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印发宣传材料份数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制作和发放专题宣传（视频）片数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出动宣传人员数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  <w:r>
              <w:rPr>
                <w:rFonts w:eastAsia="微软雅黑" w:cs="宋体"/>
                <w:color w:val="484848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宣传受众人数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微软雅黑" w:cs="宋体"/>
                <w:color w:val="484848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特色活动：（可另附页）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7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484848"/>
                <w:kern w:val="0"/>
                <w:sz w:val="28"/>
                <w:szCs w:val="28"/>
              </w:rPr>
              <w:t>对宣传工作的意见和建议：（可另附页）</w:t>
            </w:r>
            <w:r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484848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560" w:lineRule="exact"/>
        <w:ind w:firstLine="320" w:firstLineChars="100"/>
        <w:jc w:val="both"/>
        <w:rPr>
          <w:rFonts w:hint="eastAsia" w:ascii="微软雅黑" w:hAnsi="微软雅黑" w:eastAsia="微软雅黑" w:cs="宋体"/>
          <w:color w:val="484848"/>
          <w:kern w:val="0"/>
          <w:sz w:val="27"/>
          <w:szCs w:val="27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>填表人：          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>联系方式：  </w:t>
      </w:r>
      <w:r>
        <w:rPr>
          <w:rFonts w:hint="eastAsia" w:ascii="微软雅黑" w:hAnsi="微软雅黑" w:eastAsia="微软雅黑" w:cs="宋体"/>
          <w:color w:val="484848"/>
          <w:kern w:val="0"/>
          <w:sz w:val="27"/>
          <w:szCs w:val="27"/>
        </w:rPr>
        <w:br w:type="textWrapping"/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 xml:space="preserve">                                    （单位盖章） 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br w:type="textWrapping"/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 xml:space="preserve">                                    2018年 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484848"/>
          <w:kern w:val="0"/>
          <w:sz w:val="32"/>
          <w:szCs w:val="32"/>
        </w:rPr>
        <w:t>月  日</w:t>
      </w:r>
    </w:p>
    <w:p>
      <w:pPr>
        <w:spacing w:line="600" w:lineRule="exact"/>
        <w:rPr>
          <w:rFonts w:hint="eastAsia" w:ascii="仿宋_GB2312" w:eastAsia="仿宋_GB2312"/>
          <w:spacing w:val="8"/>
          <w:sz w:val="32"/>
          <w:szCs w:val="32"/>
        </w:rPr>
      </w:pPr>
    </w:p>
    <w:p/>
    <w:sectPr>
      <w:footerReference r:id="rId4" w:type="default"/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color w:val="auto"/>
                              <w:shd w:val="clear" w:color="auto" w:fill="auto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32"/>
                              <w:szCs w:val="32"/>
                              <w:shd w:val="clear" w:color="auto" w:fill="auto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auto"/>
                              <w:sz w:val="32"/>
                              <w:szCs w:val="32"/>
                              <w:shd w:val="clear" w:color="auto" w:fill="auto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auto"/>
                              <w:sz w:val="32"/>
                              <w:szCs w:val="32"/>
                              <w:shd w:val="clear" w:color="auto" w:fill="auto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color w:val="auto"/>
                              <w:sz w:val="32"/>
                              <w:szCs w:val="32"/>
                              <w:shd w:val="clear" w:color="auto" w:fill="auto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auto"/>
                              <w:sz w:val="32"/>
                              <w:szCs w:val="32"/>
                              <w:shd w:val="clear" w:color="auto" w:fill="auto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color w:val="auto"/>
                        <w:shd w:val="clear" w:color="auto" w:fill="auto"/>
                        <w:lang w:eastAsia="zh-CN"/>
                      </w:rPr>
                    </w:pPr>
                    <w:r>
                      <w:rPr>
                        <w:rFonts w:hint="eastAsia"/>
                        <w:color w:val="auto"/>
                        <w:sz w:val="32"/>
                        <w:szCs w:val="32"/>
                        <w:shd w:val="clear" w:color="auto" w:fill="auto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color w:val="auto"/>
                        <w:sz w:val="32"/>
                        <w:szCs w:val="32"/>
                        <w:shd w:val="clear" w:color="auto" w:fill="auto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auto"/>
                        <w:sz w:val="32"/>
                        <w:szCs w:val="32"/>
                        <w:shd w:val="clear" w:color="auto" w:fill="auto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color w:val="auto"/>
                        <w:sz w:val="32"/>
                        <w:szCs w:val="32"/>
                        <w:shd w:val="clear" w:color="auto" w:fill="auto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color w:val="auto"/>
                        <w:sz w:val="32"/>
                        <w:szCs w:val="32"/>
                        <w:shd w:val="clear" w:color="auto" w:fill="auto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318A4"/>
    <w:multiLevelType w:val="singleLevel"/>
    <w:tmpl w:val="C2131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31D4"/>
    <w:rsid w:val="1D4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2018-04-11T07:47:00Z</dcterms:created>
  <dc:creator>♥小女人♠</dc:creator>
  <cp:lastModifiedBy>♥小女人♠</cp:lastModifiedBy>
  <dcterms:modified xsi:type="dcterms:W3CDTF">2018-04-11T07:48:25Z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