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新北区教育局政府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信息公开回应解读情况</w:t>
      </w:r>
    </w:p>
    <w:tbl>
      <w:tblPr>
        <w:tblStyle w:val="2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2"/>
        <w:gridCol w:w="966"/>
        <w:gridCol w:w="11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hAnsi="黑体" w:eastAsia="黑体"/>
                <w:bCs/>
                <w:snapToGrid w:val="0"/>
                <w:kern w:val="0"/>
                <w:szCs w:val="21"/>
              </w:rPr>
              <w:t>统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黑体" w:eastAsia="黑体"/>
                <w:bCs/>
                <w:snapToGrid w:val="0"/>
                <w:kern w:val="0"/>
                <w:szCs w:val="21"/>
              </w:rPr>
              <w:t>计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黑体" w:eastAsia="黑体"/>
                <w:bCs/>
                <w:snapToGrid w:val="0"/>
                <w:kern w:val="0"/>
                <w:szCs w:val="21"/>
              </w:rPr>
              <w:t>指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黑体" w:eastAsia="黑体"/>
                <w:bCs/>
                <w:snapToGrid w:val="0"/>
                <w:kern w:val="0"/>
                <w:szCs w:val="21"/>
              </w:rPr>
              <w:t>标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hAnsi="黑体" w:eastAsia="黑体"/>
                <w:bCs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hAnsi="黑体" w:eastAsia="黑体"/>
                <w:bCs/>
                <w:snapToGrid w:val="0"/>
                <w:kern w:val="0"/>
                <w:szCs w:val="21"/>
              </w:rPr>
              <w:t>统计数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一、回应公众关注热点或重大舆情数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（不同方式回应同一热点或舆情计</w:t>
            </w:r>
            <w:r>
              <w:rPr>
                <w:snapToGrid w:val="0"/>
                <w:kern w:val="0"/>
                <w:szCs w:val="21"/>
              </w:rPr>
              <w:t>1</w:t>
            </w:r>
            <w:r>
              <w:rPr>
                <w:rFonts w:hAnsi="宋体"/>
                <w:snapToGrid w:val="0"/>
                <w:kern w:val="0"/>
                <w:szCs w:val="21"/>
              </w:rPr>
              <w:t>次）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二、通过不同渠道和方式回应解读的情况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398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（一）参加或举办新闻发布会总次数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000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398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（二）政府网站在线访谈次数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000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398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（三）政策解读稿件发布数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篇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398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（四）微博微信回应事件数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398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（五）其他方式回应事件数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1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147A0"/>
    <w:rsid w:val="46EF4431"/>
    <w:rsid w:val="4BA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2020-01-16T01:14:00Z</dcterms:created>
  <dc:creator>飞翔的心</dc:creator>
  <cp:lastModifiedBy>飞翔的心</cp:lastModifiedBy>
  <dcterms:modified xsi:type="dcterms:W3CDTF">2020-02-17T07:33:17Z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