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rPr>
        <w:t>孟河镇信访维稳深化攻坚专项行动方案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方正小标宋简体" w:eastAsia="方正小标宋简体" w:cs="方正小标宋简体"/>
          <w:bCs/>
          <w:color w:val="000000"/>
          <w:sz w:val="44"/>
          <w:szCs w:val="44"/>
          <w:lang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000000"/>
          <w:sz w:val="32"/>
          <w:szCs w:val="32"/>
        </w:rPr>
      </w:pPr>
      <w:r>
        <w:rPr>
          <w:rFonts w:hint="eastAsia" w:ascii="仿宋_GB2312" w:eastAsia="仿宋_GB2312"/>
          <w:sz w:val="32"/>
          <w:szCs w:val="32"/>
          <w:lang w:val="en-US" w:eastAsia="zh-CN"/>
        </w:rPr>
        <w:t>近年来我镇信访量高位运行，信访积案存量居高不下，赴省进京越级上访量明显反弹的问题突出，为抓重点、破难题，推动依法及时就地化解信访矛盾，有效压降赴省进京上访数量，维护社会大局和谐稳定，根据区委、区政府相关要求和区委政法委具体部署，特制定本工作方案。</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一、总体工作目标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认真学习贯彻习近平总书记关于加强和改进人民信访工作的重要思想，坚持系统治理、依法治理、综合治理、源头治理，强化责任落实，优化信访服务，依法妥善化解信访矛盾，做到诉求合理的解决问题到位，诉求无理的思想教育到位，生活困难的帮扶救助到位，行为违法的依法处理到位。确保信访积案存量和赴省进京上访总量明显下降，确保不发生有影响的群体性事件、个人极端行为和负面舆情炒作，确保全镇信访形势总体稳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二、坚持源头治理，抓住初信初访控增量</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（一）目标任务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z w:val="32"/>
          <w:szCs w:val="32"/>
        </w:rPr>
      </w:pPr>
      <w:r>
        <w:rPr>
          <w:rFonts w:hint="eastAsia" w:ascii="仿宋_GB2312" w:eastAsia="仿宋_GB2312"/>
          <w:sz w:val="32"/>
          <w:szCs w:val="32"/>
          <w:lang w:val="en-US" w:eastAsia="zh-CN"/>
        </w:rPr>
        <w:t>积极探索信访维稳工作新方法，形成强而有效新机制，在初信初访办理上，始终紧抓“事要解决”这个核心，围绕“五个一”工作要求，即：一次接访、一名领导、一套班子、一个方案、一抓到底，努力实现初信初访“零反弹”。紧扣“阳光信访信息系统”受理率、办结率、参评率和满意率数值，确保全年参评率和满意率高于全区平均值，全年受理率、办结率100%。深入推行“最多访一次”，确保办一件、清一件，防止问题积累、矛盾激化、信访上行，实现全年信访积案零增量。</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具体举措</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1.关口前移，预防源头。</w:t>
      </w:r>
      <w:r>
        <w:rPr>
          <w:rFonts w:hint="eastAsia" w:ascii="仿宋_GB2312" w:eastAsia="仿宋_GB2312"/>
          <w:sz w:val="32"/>
          <w:szCs w:val="32"/>
          <w:lang w:val="en-US" w:eastAsia="zh-CN"/>
        </w:rPr>
        <w:t>充分发挥各村（社区）广泛联系服务群众的优势，聚焦重点项目推进，关注社情民意，开展稳定风险评估，积极建言，完善政策,从源头上预防矛盾产生。充分发挥信访部门“倾听民声第一窗口”优势，加强对苗头性、倾向性信息的跟踪分析，增强工作前瞻性、系统性、主动性，力争信访矛盾发现在早、控制在小、化解得好。</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2.重心下移，夯实基础。</w:t>
      </w:r>
      <w:r>
        <w:rPr>
          <w:rFonts w:hint="eastAsia" w:ascii="仿宋_GB2312" w:eastAsia="仿宋_GB2312"/>
          <w:sz w:val="32"/>
          <w:szCs w:val="32"/>
          <w:lang w:val="en-US" w:eastAsia="zh-CN"/>
        </w:rPr>
        <w:t>深入推进领导干部接访下访和包案处理工作，主动深入到群众中去，到信访矛盾问题突出的地方去，通过干部多努力,实现群众少上访。认真执行党委政府定期研究信访工作、领导干部阅批群众来信、定期接待群众来访制度。按照“有坚强有力的组织领导、有人民满意的接访场所、有完善规范的工作制度、有高素质的信访干部、有适应新形势要求的工作保障”五有标准，进一步加强我镇信访工作。</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3.渠道畅通，优化服务。</w:t>
      </w:r>
      <w:r>
        <w:rPr>
          <w:rFonts w:hint="eastAsia" w:ascii="仿宋_GB2312" w:eastAsia="仿宋_GB2312"/>
          <w:sz w:val="32"/>
          <w:szCs w:val="32"/>
          <w:lang w:val="en-US" w:eastAsia="zh-CN"/>
        </w:rPr>
        <w:t>大力推广网上信访，手机APP信访，努力打造“一站式”网上信访服务平台，变“传统走访”为“网上信访”。认真办理群众来信，树立写信更便捷解决问题的正确导向。主动融入网格化社会治理，实现社情民意在网格中反映、问题隐患在网格中发现、矛盾纠纷在网格中化解、信访工作在网格中夯实，小事不出村、大事不出镇。</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4.受理及时，办理规范。</w:t>
      </w:r>
      <w:r>
        <w:rPr>
          <w:rFonts w:hint="eastAsia" w:ascii="仿宋_GB2312" w:eastAsia="仿宋_GB2312"/>
          <w:sz w:val="32"/>
          <w:szCs w:val="32"/>
          <w:lang w:val="en-US" w:eastAsia="zh-CN"/>
        </w:rPr>
        <w:t>全面及时受理来信来访，确保“事事有着落”。严格按照信访工作标准化建设要求和基础业务工作规范，确保信访事项的办理主体适当、程序规范、结论正确。按照讲清事理、讲明法理、讲通情理的要求，规范信访答复，努力实现“案结事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三、坚持攻坚克难，成立化解工作专班减存量</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（一）目标任务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坚持系统治理、依法治理、综合治理、源头治理，按照属地管理、分级负责，谁主管、谁负责的原则，强化责任落实，优化信访服务，依法妥善化解信访矛盾。成立信访积案化解工作专班，由镇党委副书记、政协工委主任梅卫峰和镇党委委员、政法委员周洪春负责专班全面工作，充实专班工作成员，制定清单，序时推进，确保信访积案存量和赴省进京上访总量分别下降40%以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（二）具体举措</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1.深入排查阶段（2020年2月至4月底）。</w:t>
      </w:r>
      <w:r>
        <w:rPr>
          <w:rFonts w:hint="eastAsia" w:ascii="仿宋_GB2312" w:eastAsia="仿宋_GB2312"/>
          <w:sz w:val="32"/>
          <w:szCs w:val="32"/>
          <w:lang w:val="en-US" w:eastAsia="zh-CN"/>
        </w:rPr>
        <w:t>组织全镇各级各部门开展信访积案全面深入排查，重点围绕以下列五类人员及案件：一是2019年以来中央联席办和省交办的进京重复信访登记10次以上信访人员及其信访问题；二是2019年以来市级交办和进京信访登记5-9次（包含5次）的信访人员及其信访问题；三是2019年进京信访登记5次以下和2019年以来发生或扬言采取极端行为个人及其信访问题；四是两年以上尚未化解并未停访息诉的陈年老案；五是2019年以来进京集访事项和3次以上去省集访尚未解决的信访问题。</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2.精准施策阶段（3月至4月底）。</w:t>
      </w:r>
      <w:r>
        <w:rPr>
          <w:rFonts w:hint="eastAsia" w:ascii="仿宋_GB2312" w:eastAsia="仿宋_GB2312"/>
          <w:sz w:val="32"/>
          <w:szCs w:val="32"/>
          <w:lang w:val="en-US" w:eastAsia="zh-CN"/>
        </w:rPr>
        <w:t>由重点案件涉及到的职能部门分管领导或党政主要领导牵头有关责任单位，深入分析信访事项成因、信访事项办理和信访事项化解工作存在的不足，找准信访矛盾尚未化解的问题症结。在此基础上构建“一案一策、一人一策、一人一专班”的工作模式，以“案结事了、事心双解”为主攻目标，以属地为主，制定专人专项工作方案，明确各项工作任务的路线图、时间表、责任人。</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3.集中攻坚阶段（5月至9月）。</w:t>
      </w:r>
      <w:r>
        <w:rPr>
          <w:rFonts w:hint="eastAsia" w:ascii="仿宋_GB2312" w:eastAsia="仿宋_GB2312"/>
          <w:sz w:val="32"/>
          <w:szCs w:val="32"/>
          <w:lang w:val="en-US" w:eastAsia="zh-CN"/>
        </w:rPr>
        <w:t>按照信访积案化解专班工作要求，认真组织实施。包案领导要做到“四个亲”，即：重要工作亲自部署、重大问题亲自过问、重点环节亲自协调、重要案件亲自督办。工作专班做到“五个有”，即：有协调会办纪要、有再次答复记录、有与信访人协商调处的工作台账、有尚未化解信访矛盾的评查听证结论、有完备的网上登记记录。政策性、层面性问题，由相关责任部门提出完善政策、改进工作的办理和措施，并认真抓好落实。</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4.巩固提升阶段（10月至12月）。</w:t>
      </w:r>
      <w:r>
        <w:rPr>
          <w:rFonts w:hint="eastAsia" w:ascii="仿宋_GB2312" w:eastAsia="仿宋_GB2312"/>
          <w:sz w:val="32"/>
          <w:szCs w:val="32"/>
          <w:lang w:val="en-US" w:eastAsia="zh-CN"/>
        </w:rPr>
        <w:t>对信访积案化解工作分析督查，总结经验，推广行之有效的成功做法。对尚未化解的信访积案进行回头看、回头补，调整完善工作措施，将疑难复杂问题落实第三方评查并及时跟进。</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四、坚持以人为本，聚集重点领域防变量</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（一）目标任务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坚持问题导向、分类施策、多措并举化解，对个性化和诉求合理的问题要推动及时就地解决。积极推行重大矛盾会商机制，强化部门联动，确保不发生有影响的群体性事件、个人极端行为和负面舆情炒作，确保不发生大规模聚集赴省进京集访。</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（二）具体举措</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1.认真梳理排查重点问题。</w:t>
      </w:r>
      <w:r>
        <w:rPr>
          <w:rFonts w:hint="eastAsia" w:ascii="仿宋_GB2312" w:eastAsia="仿宋_GB2312"/>
          <w:sz w:val="32"/>
          <w:szCs w:val="32"/>
          <w:lang w:val="en-US" w:eastAsia="zh-CN"/>
        </w:rPr>
        <w:t>认真摸排涉及房地产、重大工程项目、环境污染、征地拆迁、医患矛盾、劳资纠纷、社会保障、企业倒闭破产等重点领域问题。深入摸排可能引发较大规模的赴省进京聚集上访、可能采取极端方式发泄不满或报复社会、可能引发媒体炒作或媒体舆论关注热点等问题。持续关注部分军队退役群体、“民代幼”群体等特定利益群体。</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2.扎实做好矛盾纠纷化解。</w:t>
      </w:r>
      <w:r>
        <w:rPr>
          <w:rFonts w:hint="eastAsia" w:ascii="仿宋_GB2312" w:eastAsia="仿宋_GB2312"/>
          <w:sz w:val="32"/>
          <w:szCs w:val="32"/>
          <w:lang w:val="en-US" w:eastAsia="zh-CN"/>
        </w:rPr>
        <w:t>对排查掌握的矛盾纠纷，坚持一事一策，明确责任单位和责任人，积极开展调处化解工作，防止矛盾纠纷激化升级。对责任归属复杂、矛盾纠纷重大的，要及时报告党委政府，协调有关属事属地部门做好调处工作。</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3.加大困难群体帮扶力度。</w:t>
      </w:r>
      <w:r>
        <w:rPr>
          <w:rFonts w:hint="eastAsia" w:ascii="仿宋_GB2312" w:eastAsia="仿宋_GB2312"/>
          <w:sz w:val="32"/>
          <w:szCs w:val="32"/>
          <w:lang w:val="en-US" w:eastAsia="zh-CN"/>
        </w:rPr>
        <w:t>要结合开展扶贫攻坚战和实施乡村振兴战略的要求，深入走访帮扶城镇失业下岗人员、低收入生活困难群众、农村贫困人员、孤寡老人等困难群体家庭，通过正面引导宣传，最大限度的关怀帮助，积极制定落实相关政策，有力推动解决补助、医疗、就业等合理诉求。</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eastAsia="楷体_GB2312" w:cs="Times New Roman"/>
          <w:sz w:val="32"/>
          <w:szCs w:val="32"/>
        </w:rPr>
      </w:pPr>
      <w:r>
        <w:rPr>
          <w:rFonts w:ascii="Times New Roman" w:hAnsi="Times New Roman" w:eastAsia="黑体" w:cs="Times New Roman"/>
          <w:sz w:val="32"/>
          <w:szCs w:val="32"/>
        </w:rPr>
        <w:t>五、工作要求</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1.提高政治站位。</w:t>
      </w:r>
      <w:r>
        <w:rPr>
          <w:rFonts w:hint="eastAsia" w:ascii="仿宋_GB2312" w:eastAsia="仿宋_GB2312"/>
          <w:sz w:val="32"/>
          <w:szCs w:val="32"/>
          <w:lang w:val="en-US" w:eastAsia="zh-CN"/>
        </w:rPr>
        <w:t>各村（社区）、各部门要充分认识信访维稳工作的重要意义，进一步提升政治站位，增强“四个意识”、坚定“四个自信”、做到“两个维护”，切实贯彻落实中央和省、市、区委决策部署，全力以赴贯彻落实到位。</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2.加强组织领导。</w:t>
      </w:r>
      <w:r>
        <w:rPr>
          <w:rFonts w:hint="eastAsia" w:ascii="仿宋_GB2312" w:eastAsia="仿宋_GB2312"/>
          <w:sz w:val="32"/>
          <w:szCs w:val="32"/>
          <w:lang w:val="en-US" w:eastAsia="zh-CN"/>
        </w:rPr>
        <w:t>各村（社区）、各部门要紧紧围绕各项目标任务，切实承担起工作职责，强化统筹协调、优化组织保障、督促工作落实。要树牢大局意识、责任意识，共同参与、各司其职、通力协作。</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3.坚持实效导向。</w:t>
      </w:r>
      <w:r>
        <w:rPr>
          <w:rFonts w:hint="eastAsia" w:ascii="仿宋_GB2312" w:eastAsia="仿宋_GB2312"/>
          <w:sz w:val="32"/>
          <w:szCs w:val="32"/>
          <w:lang w:val="en-US" w:eastAsia="zh-CN"/>
        </w:rPr>
        <w:t>各村（社区）、各部门要将信访维稳工作融入日常工作中，立足工作实际、采取务实举措、扎实有力推进。通过补足短板、标本兼治、建章立制，力求实现常态长效。以平安稳定的社会环境为全面建成高水平小康社会、全面推动高质量发展、全面提升现代化治理能力提供强大助力。</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附件：2020年孟河镇信访积案领导包案情况汇总表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color w:val="000000"/>
          <w:sz w:val="32"/>
          <w:szCs w:val="32"/>
          <w:u w:val="none"/>
          <w:lang w:eastAsia="zh-CN"/>
        </w:rPr>
      </w:pPr>
      <w:bookmarkStart w:id="0" w:name="_GoBack"/>
      <w:bookmarkEnd w:id="0"/>
      <w:r>
        <w:rPr>
          <w:rFonts w:hint="eastAsia" w:ascii="黑体" w:hAnsi="宋体" w:eastAsia="黑体"/>
          <w:color w:val="000000"/>
          <w:sz w:val="32"/>
          <w:szCs w:val="32"/>
          <w:u w:val="none"/>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2020年孟河镇信访积案领导包案情况汇总表</w:t>
      </w:r>
    </w:p>
    <w:p>
      <w:pPr>
        <w:spacing w:line="100" w:lineRule="exact"/>
        <w:rPr>
          <w:rFonts w:hint="eastAsia" w:ascii="黑体" w:hAnsi="宋体" w:eastAsia="黑体"/>
          <w:color w:val="000000"/>
          <w:sz w:val="32"/>
          <w:szCs w:val="32"/>
          <w:u w:val="single"/>
        </w:rPr>
      </w:pPr>
    </w:p>
    <w:p>
      <w:pPr>
        <w:spacing w:line="100" w:lineRule="exact"/>
        <w:rPr>
          <w:rFonts w:hint="eastAsia" w:ascii="黑体" w:hAnsi="宋体" w:eastAsia="黑体"/>
          <w:color w:val="000000"/>
          <w:sz w:val="32"/>
          <w:szCs w:val="32"/>
          <w:u w:val="single"/>
        </w:rPr>
      </w:pPr>
    </w:p>
    <w:tbl>
      <w:tblPr>
        <w:tblStyle w:val="2"/>
        <w:tblW w:w="8844" w:type="dxa"/>
        <w:tblInd w:w="0" w:type="dxa"/>
        <w:tblLayout w:type="fixed"/>
        <w:tblCellMar>
          <w:top w:w="0" w:type="dxa"/>
          <w:left w:w="0" w:type="dxa"/>
          <w:bottom w:w="0" w:type="dxa"/>
          <w:right w:w="0" w:type="dxa"/>
        </w:tblCellMar>
      </w:tblPr>
      <w:tblGrid>
        <w:gridCol w:w="729"/>
        <w:gridCol w:w="1170"/>
        <w:gridCol w:w="3945"/>
        <w:gridCol w:w="1620"/>
        <w:gridCol w:w="1380"/>
      </w:tblGrid>
      <w:tr>
        <w:tblPrEx>
          <w:tblLayout w:type="fixed"/>
          <w:tblCellMar>
            <w:top w:w="0" w:type="dxa"/>
            <w:left w:w="0" w:type="dxa"/>
            <w:bottom w:w="0" w:type="dxa"/>
            <w:right w:w="0" w:type="dxa"/>
          </w:tblCellMar>
        </w:tblPrEx>
        <w:trPr>
          <w:trHeight w:val="565" w:hRule="atLeast"/>
        </w:trPr>
        <w:tc>
          <w:tcPr>
            <w:tcW w:w="7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序号</w:t>
            </w:r>
          </w:p>
        </w:tc>
        <w:tc>
          <w:tcPr>
            <w:tcW w:w="11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姓名</w:t>
            </w:r>
          </w:p>
        </w:tc>
        <w:tc>
          <w:tcPr>
            <w:tcW w:w="3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户籍地</w:t>
            </w:r>
          </w:p>
        </w:tc>
        <w:tc>
          <w:tcPr>
            <w:tcW w:w="300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包案领导</w:t>
            </w:r>
          </w:p>
        </w:tc>
      </w:tr>
      <w:tr>
        <w:tblPrEx>
          <w:tblLayout w:type="fixed"/>
          <w:tblCellMar>
            <w:top w:w="0" w:type="dxa"/>
            <w:left w:w="0" w:type="dxa"/>
            <w:bottom w:w="0" w:type="dxa"/>
            <w:right w:w="0" w:type="dxa"/>
          </w:tblCellMar>
        </w:tblPrEx>
        <w:trPr>
          <w:trHeight w:val="434"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b w:val="0"/>
                <w:bCs/>
                <w:i w:val="0"/>
                <w:color w:val="000000"/>
                <w:sz w:val="28"/>
                <w:szCs w:val="2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b w:val="0"/>
                <w:bCs/>
                <w:i w:val="0"/>
                <w:color w:val="000000"/>
                <w:sz w:val="28"/>
                <w:szCs w:val="28"/>
                <w:u w:val="none"/>
              </w:rPr>
            </w:pPr>
          </w:p>
        </w:tc>
        <w:tc>
          <w:tcPr>
            <w:tcW w:w="3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b w:val="0"/>
                <w:bCs/>
                <w:i w:val="0"/>
                <w:color w:val="000000"/>
                <w:sz w:val="28"/>
                <w:szCs w:val="28"/>
                <w:u w:val="none"/>
              </w:rPr>
            </w:pP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镇</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村</w:t>
            </w:r>
          </w:p>
        </w:tc>
      </w:tr>
      <w:tr>
        <w:tblPrEx>
          <w:tblLayout w:type="fixed"/>
          <w:tblCellMar>
            <w:top w:w="0" w:type="dxa"/>
            <w:left w:w="0" w:type="dxa"/>
            <w:bottom w:w="0" w:type="dxa"/>
            <w:right w:w="0" w:type="dxa"/>
          </w:tblCellMar>
        </w:tblPrEx>
        <w:trPr>
          <w:trHeight w:val="945" w:hRule="atLeast"/>
        </w:trPr>
        <w:tc>
          <w:tcPr>
            <w:tcW w:w="72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117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殷  飞</w:t>
            </w:r>
          </w:p>
        </w:tc>
        <w:tc>
          <w:tcPr>
            <w:tcW w:w="394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东庭苑5幢甲单元1402室</w:t>
            </w:r>
          </w:p>
        </w:tc>
        <w:tc>
          <w:tcPr>
            <w:tcW w:w="1620" w:type="dxa"/>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高  栋                      </w:t>
            </w:r>
            <w:r>
              <w:rPr>
                <w:rStyle w:val="4"/>
                <w:rFonts w:hint="eastAsia" w:ascii="仿宋_GB2312" w:hAnsi="仿宋_GB2312" w:eastAsia="仿宋_GB2312" w:cs="仿宋_GB2312"/>
                <w:sz w:val="28"/>
                <w:szCs w:val="28"/>
                <w:lang w:val="en-US" w:eastAsia="zh-CN" w:bidi="ar"/>
              </w:rPr>
              <w:t>周洪春</w:t>
            </w:r>
          </w:p>
        </w:tc>
        <w:tc>
          <w:tcPr>
            <w:tcW w:w="138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倪华强</w:t>
            </w:r>
          </w:p>
        </w:tc>
      </w:tr>
      <w:tr>
        <w:tblPrEx>
          <w:tblLayout w:type="fixed"/>
          <w:tblCellMar>
            <w:top w:w="0" w:type="dxa"/>
            <w:left w:w="0" w:type="dxa"/>
            <w:bottom w:w="0" w:type="dxa"/>
            <w:right w:w="0" w:type="dxa"/>
          </w:tblCellMar>
        </w:tblPrEx>
        <w:trPr>
          <w:trHeight w:val="930" w:hRule="atLeast"/>
        </w:trPr>
        <w:tc>
          <w:tcPr>
            <w:tcW w:w="7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11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沙凌云    黄常荣</w:t>
            </w:r>
          </w:p>
        </w:tc>
        <w:tc>
          <w:tcPr>
            <w:tcW w:w="39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东庭苑5幢乙单元1</w:t>
            </w:r>
            <w:r>
              <w:rPr>
                <w:rStyle w:val="4"/>
                <w:rFonts w:hint="eastAsia" w:ascii="仿宋_GB2312" w:hAnsi="仿宋_GB2312" w:eastAsia="仿宋_GB2312" w:cs="仿宋_GB2312"/>
                <w:sz w:val="28"/>
                <w:szCs w:val="28"/>
                <w:lang w:val="en-US" w:eastAsia="zh-CN" w:bidi="ar"/>
              </w:rPr>
              <w:t>101室</w:t>
            </w:r>
          </w:p>
        </w:tc>
        <w:tc>
          <w:tcPr>
            <w:tcW w:w="1620" w:type="dxa"/>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高  栋                   石青华</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管忠芳</w:t>
            </w:r>
          </w:p>
        </w:tc>
      </w:tr>
      <w:tr>
        <w:tblPrEx>
          <w:tblLayout w:type="fixed"/>
          <w:tblCellMar>
            <w:top w:w="0" w:type="dxa"/>
            <w:left w:w="0" w:type="dxa"/>
            <w:bottom w:w="0" w:type="dxa"/>
            <w:right w:w="0" w:type="dxa"/>
          </w:tblCellMar>
        </w:tblPrEx>
        <w:trPr>
          <w:trHeight w:val="870" w:hRule="atLeast"/>
        </w:trPr>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11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戴彩萍</w:t>
            </w:r>
          </w:p>
        </w:tc>
        <w:tc>
          <w:tcPr>
            <w:tcW w:w="39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银河村委永宁圩8</w:t>
            </w:r>
            <w:r>
              <w:rPr>
                <w:rStyle w:val="4"/>
                <w:rFonts w:hint="eastAsia" w:ascii="仿宋_GB2312" w:hAnsi="仿宋_GB2312" w:eastAsia="仿宋_GB2312" w:cs="仿宋_GB2312"/>
                <w:sz w:val="28"/>
                <w:szCs w:val="28"/>
                <w:lang w:val="en-US" w:eastAsia="zh-CN" w:bidi="ar"/>
              </w:rPr>
              <w:t>0号</w:t>
            </w:r>
          </w:p>
        </w:tc>
        <w:tc>
          <w:tcPr>
            <w:tcW w:w="162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杨  波                   许  波</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蒋亚军</w:t>
            </w:r>
          </w:p>
        </w:tc>
      </w:tr>
      <w:tr>
        <w:tblPrEx>
          <w:tblLayout w:type="fixed"/>
          <w:tblCellMar>
            <w:top w:w="0" w:type="dxa"/>
            <w:left w:w="0" w:type="dxa"/>
            <w:bottom w:w="0" w:type="dxa"/>
            <w:right w:w="0" w:type="dxa"/>
          </w:tblCellMar>
        </w:tblPrEx>
        <w:trPr>
          <w:trHeight w:val="815" w:hRule="atLeast"/>
        </w:trPr>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吴建国</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九龙村委四圩里16号</w:t>
            </w:r>
          </w:p>
        </w:tc>
        <w:tc>
          <w:tcPr>
            <w:tcW w:w="162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杨  波                   周洪春</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倪华强</w:t>
            </w:r>
          </w:p>
        </w:tc>
      </w:tr>
      <w:tr>
        <w:tblPrEx>
          <w:tblLayout w:type="fixed"/>
          <w:tblCellMar>
            <w:top w:w="0" w:type="dxa"/>
            <w:left w:w="0" w:type="dxa"/>
            <w:bottom w:w="0" w:type="dxa"/>
            <w:right w:w="0" w:type="dxa"/>
          </w:tblCellMar>
        </w:tblPrEx>
        <w:trPr>
          <w:trHeight w:val="785" w:hRule="atLeast"/>
        </w:trPr>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杨小宽</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Style w:val="5"/>
                <w:rFonts w:hint="eastAsia" w:ascii="仿宋_GB2312" w:hAnsi="仿宋_GB2312" w:eastAsia="仿宋_GB2312" w:cs="仿宋_GB2312"/>
                <w:sz w:val="28"/>
                <w:szCs w:val="28"/>
                <w:lang w:val="en-US" w:eastAsia="zh-CN" w:bidi="ar"/>
              </w:rPr>
              <w:t>东陆村委龙门港</w:t>
            </w:r>
            <w:r>
              <w:rPr>
                <w:rStyle w:val="6"/>
                <w:rFonts w:hint="eastAsia" w:ascii="仿宋_GB2312" w:hAnsi="仿宋_GB2312" w:eastAsia="仿宋_GB2312" w:cs="仿宋_GB2312"/>
                <w:sz w:val="28"/>
                <w:szCs w:val="28"/>
                <w:lang w:val="en-US" w:eastAsia="zh-CN" w:bidi="ar"/>
              </w:rPr>
              <w:t>4</w:t>
            </w:r>
            <w:r>
              <w:rPr>
                <w:rStyle w:val="5"/>
                <w:rFonts w:hint="eastAsia" w:ascii="仿宋_GB2312" w:hAnsi="仿宋_GB2312" w:eastAsia="仿宋_GB2312" w:cs="仿宋_GB2312"/>
                <w:sz w:val="28"/>
                <w:szCs w:val="28"/>
                <w:lang w:val="en-US" w:eastAsia="zh-CN" w:bidi="ar"/>
              </w:rPr>
              <w:t>号</w:t>
            </w:r>
          </w:p>
        </w:tc>
        <w:tc>
          <w:tcPr>
            <w:tcW w:w="162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梅卫峰</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杨孝良</w:t>
            </w:r>
          </w:p>
        </w:tc>
      </w:tr>
      <w:tr>
        <w:tblPrEx>
          <w:tblLayout w:type="fixed"/>
          <w:tblCellMar>
            <w:top w:w="0" w:type="dxa"/>
            <w:left w:w="0" w:type="dxa"/>
            <w:bottom w:w="0" w:type="dxa"/>
            <w:right w:w="0" w:type="dxa"/>
          </w:tblCellMar>
        </w:tblPrEx>
        <w:trPr>
          <w:trHeight w:val="755" w:hRule="atLeast"/>
        </w:trPr>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严珍芳</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东陆村委庙边村委小圩埭</w:t>
            </w:r>
            <w:r>
              <w:rPr>
                <w:rStyle w:val="6"/>
                <w:rFonts w:hint="eastAsia" w:ascii="仿宋_GB2312" w:hAnsi="仿宋_GB2312" w:eastAsia="仿宋_GB2312" w:cs="仿宋_GB2312"/>
                <w:sz w:val="28"/>
                <w:szCs w:val="28"/>
                <w:lang w:val="en-US" w:eastAsia="zh-CN" w:bidi="ar"/>
              </w:rPr>
              <w:t>9</w:t>
            </w:r>
            <w:r>
              <w:rPr>
                <w:rStyle w:val="5"/>
                <w:rFonts w:hint="eastAsia" w:ascii="仿宋_GB2312" w:hAnsi="仿宋_GB2312" w:eastAsia="仿宋_GB2312" w:cs="仿宋_GB2312"/>
                <w:sz w:val="28"/>
                <w:szCs w:val="28"/>
                <w:lang w:val="en-US" w:eastAsia="zh-CN" w:bidi="ar"/>
              </w:rPr>
              <w:t>号</w:t>
            </w:r>
          </w:p>
        </w:tc>
        <w:tc>
          <w:tcPr>
            <w:tcW w:w="162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梅卫峰</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杨孝良</w:t>
            </w:r>
          </w:p>
        </w:tc>
      </w:tr>
      <w:tr>
        <w:tblPrEx>
          <w:tblLayout w:type="fixed"/>
          <w:tblCellMar>
            <w:top w:w="0" w:type="dxa"/>
            <w:left w:w="0" w:type="dxa"/>
            <w:bottom w:w="0" w:type="dxa"/>
            <w:right w:w="0" w:type="dxa"/>
          </w:tblCellMar>
        </w:tblPrEx>
        <w:trPr>
          <w:trHeight w:val="755" w:hRule="atLeast"/>
        </w:trPr>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蒋风平</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Style w:val="5"/>
                <w:rFonts w:hint="eastAsia" w:ascii="仿宋_GB2312" w:hAnsi="仿宋_GB2312" w:eastAsia="仿宋_GB2312" w:cs="仿宋_GB2312"/>
                <w:sz w:val="28"/>
                <w:szCs w:val="28"/>
                <w:lang w:val="en-US" w:eastAsia="zh-CN" w:bidi="ar"/>
              </w:rPr>
              <w:t>银河村委茅庵村委五圩埭</w:t>
            </w:r>
            <w:r>
              <w:rPr>
                <w:rStyle w:val="6"/>
                <w:rFonts w:hint="eastAsia" w:ascii="仿宋_GB2312" w:hAnsi="仿宋_GB2312" w:eastAsia="仿宋_GB2312" w:cs="仿宋_GB2312"/>
                <w:sz w:val="28"/>
                <w:szCs w:val="28"/>
                <w:lang w:val="en-US" w:eastAsia="zh-CN" w:bidi="ar"/>
              </w:rPr>
              <w:t>39</w:t>
            </w:r>
            <w:r>
              <w:rPr>
                <w:rStyle w:val="5"/>
                <w:rFonts w:hint="eastAsia" w:ascii="仿宋_GB2312" w:hAnsi="仿宋_GB2312" w:eastAsia="仿宋_GB2312" w:cs="仿宋_GB2312"/>
                <w:sz w:val="28"/>
                <w:szCs w:val="28"/>
                <w:lang w:val="en-US" w:eastAsia="zh-CN" w:bidi="ar"/>
              </w:rPr>
              <w:t>号</w:t>
            </w:r>
          </w:p>
        </w:tc>
        <w:tc>
          <w:tcPr>
            <w:tcW w:w="162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高  栋</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蒋亚军</w:t>
            </w:r>
          </w:p>
        </w:tc>
      </w:tr>
      <w:tr>
        <w:tblPrEx>
          <w:tblLayout w:type="fixed"/>
          <w:tblCellMar>
            <w:top w:w="0" w:type="dxa"/>
            <w:left w:w="0" w:type="dxa"/>
            <w:bottom w:w="0" w:type="dxa"/>
            <w:right w:w="0" w:type="dxa"/>
          </w:tblCellMar>
        </w:tblPrEx>
        <w:trPr>
          <w:trHeight w:val="740" w:hRule="atLeast"/>
        </w:trPr>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汤来仙</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Style w:val="5"/>
                <w:rFonts w:hint="eastAsia" w:ascii="仿宋_GB2312" w:hAnsi="仿宋_GB2312" w:eastAsia="仿宋_GB2312" w:cs="仿宋_GB2312"/>
                <w:sz w:val="28"/>
                <w:szCs w:val="28"/>
                <w:lang w:val="en-US" w:eastAsia="zh-CN" w:bidi="ar"/>
              </w:rPr>
              <w:t>通江村委董家村委谭家村</w:t>
            </w:r>
            <w:r>
              <w:rPr>
                <w:rStyle w:val="6"/>
                <w:rFonts w:hint="eastAsia" w:ascii="仿宋_GB2312" w:hAnsi="仿宋_GB2312" w:eastAsia="仿宋_GB2312" w:cs="仿宋_GB2312"/>
                <w:sz w:val="28"/>
                <w:szCs w:val="28"/>
                <w:lang w:val="en-US" w:eastAsia="zh-CN" w:bidi="ar"/>
              </w:rPr>
              <w:t>61</w:t>
            </w:r>
            <w:r>
              <w:rPr>
                <w:rStyle w:val="5"/>
                <w:rFonts w:hint="eastAsia" w:ascii="仿宋_GB2312" w:hAnsi="仿宋_GB2312" w:eastAsia="仿宋_GB2312" w:cs="仿宋_GB2312"/>
                <w:sz w:val="28"/>
                <w:szCs w:val="28"/>
                <w:lang w:val="en-US" w:eastAsia="zh-CN" w:bidi="ar"/>
              </w:rPr>
              <w:t>号</w:t>
            </w:r>
          </w:p>
        </w:tc>
        <w:tc>
          <w:tcPr>
            <w:tcW w:w="162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汤浩明</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管忠芳</w:t>
            </w:r>
          </w:p>
        </w:tc>
      </w:tr>
      <w:tr>
        <w:tblPrEx>
          <w:tblLayout w:type="fixed"/>
          <w:tblCellMar>
            <w:top w:w="0" w:type="dxa"/>
            <w:left w:w="0" w:type="dxa"/>
            <w:bottom w:w="0" w:type="dxa"/>
            <w:right w:w="0" w:type="dxa"/>
          </w:tblCellMar>
        </w:tblPrEx>
        <w:trPr>
          <w:trHeight w:val="750" w:hRule="atLeast"/>
        </w:trPr>
        <w:tc>
          <w:tcPr>
            <w:tcW w:w="7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11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 xml:space="preserve">封振成 </w:t>
            </w:r>
          </w:p>
        </w:tc>
        <w:tc>
          <w:tcPr>
            <w:tcW w:w="39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通江花苑21幢7号</w:t>
            </w:r>
          </w:p>
        </w:tc>
        <w:tc>
          <w:tcPr>
            <w:tcW w:w="1620" w:type="dxa"/>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徐  冰</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蒋亚军</w:t>
            </w:r>
          </w:p>
        </w:tc>
      </w:tr>
      <w:tr>
        <w:tblPrEx>
          <w:tblLayout w:type="fixed"/>
          <w:tblCellMar>
            <w:top w:w="0" w:type="dxa"/>
            <w:left w:w="0" w:type="dxa"/>
            <w:bottom w:w="0" w:type="dxa"/>
            <w:right w:w="0" w:type="dxa"/>
          </w:tblCellMar>
        </w:tblPrEx>
        <w:trPr>
          <w:trHeight w:val="1050" w:hRule="atLeast"/>
        </w:trPr>
        <w:tc>
          <w:tcPr>
            <w:tcW w:w="7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汤可云    吴纪美    汤建强</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荫沙村委南荫村委杨八圩15号</w:t>
            </w:r>
          </w:p>
        </w:tc>
        <w:tc>
          <w:tcPr>
            <w:tcW w:w="162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丁国强</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王  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D6973"/>
    <w:multiLevelType w:val="singleLevel"/>
    <w:tmpl w:val="C83D69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343FD"/>
    <w:rsid w:val="1F734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2"/>
      <w:szCs w:val="22"/>
      <w:u w:val="none"/>
    </w:rPr>
  </w:style>
  <w:style w:type="character" w:customStyle="1" w:styleId="5">
    <w:name w:val="font71"/>
    <w:basedOn w:val="3"/>
    <w:qFormat/>
    <w:uiPriority w:val="0"/>
    <w:rPr>
      <w:rFonts w:hint="eastAsia" w:ascii="宋体" w:hAnsi="宋体" w:eastAsia="宋体" w:cs="宋体"/>
      <w:color w:val="000000"/>
      <w:sz w:val="22"/>
      <w:szCs w:val="22"/>
      <w:u w:val="none"/>
    </w:rPr>
  </w:style>
  <w:style w:type="character" w:customStyle="1" w:styleId="6">
    <w:name w:val="font3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2020-07-29T07:33:00Z</dcterms:created>
  <dc:creator>Administrator</dc:creator>
  <cp:lastModifiedBy>Administrator</cp:lastModifiedBy>
  <dcterms:modified xsi:type="dcterms:W3CDTF">2020-07-29T07:33:36Z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