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eastAsia="黑体"/>
          <w:szCs w:val="32"/>
        </w:rPr>
      </w:pPr>
    </w:p>
    <w:p>
      <w:pPr>
        <w:spacing w:line="540" w:lineRule="exact"/>
        <w:rPr>
          <w:rFonts w:eastAsia="黑体"/>
          <w:szCs w:val="32"/>
        </w:rPr>
      </w:pPr>
    </w:p>
    <w:p>
      <w:pPr>
        <w:spacing w:line="54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500" w:lineRule="exact"/>
        <w:rPr>
          <w:rFonts w:eastAsia="黑体"/>
          <w:szCs w:val="32"/>
        </w:rPr>
      </w:pPr>
    </w:p>
    <w:p>
      <w:pPr>
        <w:spacing w:line="460" w:lineRule="exact"/>
        <w:jc w:val="center"/>
        <w:rPr>
          <w:rFonts w:eastAsia="黑体"/>
          <w:szCs w:val="32"/>
        </w:rPr>
      </w:pPr>
    </w:p>
    <w:p>
      <w:pPr>
        <w:spacing w:line="460" w:lineRule="exact"/>
        <w:jc w:val="center"/>
      </w:pPr>
    </w:p>
    <w:p>
      <w:pPr>
        <w:spacing w:afterLines="20"/>
        <w:jc w:val="center"/>
        <w:rPr>
          <w:rFonts w:ascii="仿宋" w:hAnsi="仿宋" w:eastAsia="仿宋"/>
          <w:sz w:val="32"/>
          <w:szCs w:val="32"/>
        </w:rPr>
      </w:pPr>
      <w:r>
        <w:rPr>
          <w:rFonts w:hint="eastAsia" w:ascii="仿宋_GB2312" w:hAnsi="仿宋_GB2312" w:eastAsia="仿宋_GB2312" w:cs="仿宋_GB2312"/>
          <w:sz w:val="32"/>
          <w:szCs w:val="32"/>
        </w:rPr>
        <w:t>常新</w:t>
      </w:r>
      <w:r>
        <w:rPr>
          <w:rFonts w:hint="eastAsia" w:ascii="仿宋_GB2312" w:hAnsi="仿宋_GB2312" w:eastAsia="仿宋_GB2312" w:cs="仿宋_GB2312"/>
          <w:kern w:val="0"/>
          <w:sz w:val="32"/>
          <w:szCs w:val="32"/>
        </w:rPr>
        <w:t>卫健</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号</w:t>
      </w:r>
    </w:p>
    <w:p>
      <w:pPr>
        <w:spacing w:line="560" w:lineRule="exact"/>
        <w:jc w:val="center"/>
        <w:rPr>
          <w:rFonts w:ascii="仿宋_GB231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val="0"/>
          <w:spacing w:val="4"/>
          <w:kern w:val="0"/>
          <w:sz w:val="44"/>
          <w:szCs w:val="44"/>
          <w:lang w:val="en-US" w:eastAsia="zh-CN"/>
        </w:rPr>
      </w:pPr>
      <w:r>
        <w:rPr>
          <w:rFonts w:hint="eastAsia" w:ascii="方正小标宋简体" w:hAnsi="方正小标宋简体" w:eastAsia="方正小标宋简体" w:cs="方正小标宋简体"/>
          <w:b w:val="0"/>
          <w:bCs w:val="0"/>
          <w:snapToGrid w:val="0"/>
          <w:spacing w:val="4"/>
          <w:kern w:val="0"/>
          <w:sz w:val="44"/>
          <w:szCs w:val="44"/>
          <w:lang w:val="en-US" w:eastAsia="zh-CN"/>
        </w:rPr>
        <w:t>关于转发《关于明确常州市完善城乡居民</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val="0"/>
          <w:spacing w:val="4"/>
          <w:kern w:val="0"/>
          <w:sz w:val="44"/>
          <w:szCs w:val="44"/>
          <w:lang w:val="en-US" w:eastAsia="zh-CN"/>
        </w:rPr>
      </w:pPr>
      <w:r>
        <w:rPr>
          <w:rFonts w:hint="eastAsia" w:ascii="方正小标宋简体" w:hAnsi="方正小标宋简体" w:eastAsia="方正小标宋简体" w:cs="方正小标宋简体"/>
          <w:b w:val="0"/>
          <w:bCs w:val="0"/>
          <w:snapToGrid w:val="0"/>
          <w:spacing w:val="4"/>
          <w:kern w:val="0"/>
          <w:sz w:val="44"/>
          <w:szCs w:val="44"/>
          <w:lang w:val="en-US" w:eastAsia="zh-CN"/>
        </w:rPr>
        <w:t>高血压糖尿病门诊用药保障机制</w:t>
      </w:r>
    </w:p>
    <w:p>
      <w:pPr>
        <w:keepNext w:val="0"/>
        <w:keepLines w:val="0"/>
        <w:pageBreakBefore w:val="0"/>
        <w:widowControl w:val="0"/>
        <w:kinsoku/>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val="0"/>
          <w:spacing w:val="0"/>
          <w:kern w:val="0"/>
          <w:sz w:val="44"/>
          <w:szCs w:val="44"/>
          <w:lang w:val="en-US" w:eastAsia="zh-CN"/>
        </w:rPr>
      </w:pPr>
      <w:r>
        <w:rPr>
          <w:rFonts w:hint="eastAsia" w:ascii="方正小标宋简体" w:hAnsi="方正小标宋简体" w:eastAsia="方正小标宋简体" w:cs="方正小标宋简体"/>
          <w:b w:val="0"/>
          <w:bCs w:val="0"/>
          <w:snapToGrid w:val="0"/>
          <w:spacing w:val="4"/>
          <w:kern w:val="0"/>
          <w:sz w:val="44"/>
          <w:szCs w:val="44"/>
          <w:lang w:val="en-US" w:eastAsia="zh-CN"/>
        </w:rPr>
        <w:t>实施方案的通知》的通知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b w:val="0"/>
          <w:bCs w:val="0"/>
          <w:snapToGrid w:val="0"/>
          <w:spacing w:val="4"/>
          <w:kern w:val="0"/>
          <w:sz w:val="32"/>
          <w:szCs w:val="32"/>
          <w:lang w:val="en-US" w:eastAsia="zh-CN"/>
        </w:rPr>
      </w:pPr>
      <w:r>
        <w:rPr>
          <w:rFonts w:hint="eastAsia" w:ascii="仿宋_GB2312" w:eastAsia="仿宋_GB2312"/>
          <w:sz w:val="32"/>
          <w:szCs w:val="32"/>
        </w:rPr>
        <w:t>各基层医疗卫生事业单位</w:t>
      </w:r>
      <w:r>
        <w:rPr>
          <w:rFonts w:hint="eastAsia" w:ascii="仿宋_GB2312" w:hAnsi="仿宋_GB2312" w:eastAsia="仿宋_GB2312" w:cs="仿宋_GB2312"/>
          <w:b w:val="0"/>
          <w:bCs w:val="0"/>
          <w:snapToGrid w:val="0"/>
          <w:spacing w:val="4"/>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92" w:firstLineChars="150"/>
        <w:textAlignment w:val="auto"/>
        <w:rPr>
          <w:rFonts w:hint="eastAsia" w:ascii="方正小标宋简体" w:hAnsi="宋体" w:eastAsia="方正小标宋简体"/>
          <w:b/>
          <w:sz w:val="32"/>
          <w:szCs w:val="32"/>
        </w:rPr>
      </w:pPr>
      <w:r>
        <w:rPr>
          <w:rFonts w:hint="eastAsia" w:ascii="仿宋_GB2312" w:hAnsi="仿宋_GB2312" w:eastAsia="仿宋_GB2312" w:cs="仿宋_GB2312"/>
          <w:b w:val="0"/>
          <w:bCs w:val="0"/>
          <w:snapToGrid w:val="0"/>
          <w:spacing w:val="4"/>
          <w:kern w:val="0"/>
          <w:sz w:val="32"/>
          <w:szCs w:val="32"/>
          <w:lang w:val="en-US" w:eastAsia="zh-CN"/>
        </w:rPr>
        <w:t>现将《关于明确常州市完善城乡居民高血压糖尿病门诊用药保障机制实施方案的通知》转发给你们，请遵照执行。</w:t>
      </w:r>
    </w:p>
    <w:p>
      <w:pPr>
        <w:spacing w:line="560" w:lineRule="exact"/>
        <w:rPr>
          <w:rFonts w:hint="eastAsia" w:ascii="方正小标宋简体" w:hAnsi="宋体" w:eastAsia="方正小标宋简体"/>
          <w:b/>
          <w:sz w:val="44"/>
          <w:szCs w:val="44"/>
        </w:rPr>
      </w:pPr>
    </w:p>
    <w:p>
      <w:pPr>
        <w:spacing w:line="560" w:lineRule="exact"/>
        <w:rPr>
          <w:rFonts w:hint="eastAsia" w:ascii="方正小标宋简体" w:hAnsi="宋体" w:eastAsia="方正小标宋简体"/>
          <w:b/>
          <w:sz w:val="44"/>
          <w:szCs w:val="44"/>
        </w:rPr>
      </w:pPr>
    </w:p>
    <w:p>
      <w:pPr>
        <w:spacing w:line="560" w:lineRule="exact"/>
        <w:ind w:firstLine="2880" w:firstLineChars="900"/>
        <w:jc w:val="both"/>
        <w:rPr>
          <w:rFonts w:hint="eastAsia" w:ascii="仿宋_GB2312" w:hAnsi="宋体" w:eastAsia="仿宋_GB2312"/>
          <w:sz w:val="32"/>
          <w:szCs w:val="32"/>
        </w:rPr>
      </w:pPr>
      <w:r>
        <w:rPr>
          <w:rFonts w:hint="eastAsia" w:ascii="仿宋_GB2312" w:hAnsi="宋体" w:eastAsia="仿宋_GB2312"/>
          <w:sz w:val="32"/>
          <w:szCs w:val="32"/>
        </w:rPr>
        <w:t>常州国家高新区（新北区）卫生健康局</w:t>
      </w:r>
    </w:p>
    <w:p>
      <w:pPr>
        <w:spacing w:line="560" w:lineRule="exact"/>
        <w:ind w:firstLine="4320" w:firstLineChars="1350"/>
        <w:jc w:val="both"/>
        <w:rPr>
          <w:rFonts w:hint="eastAsia" w:ascii="方正小标宋简体" w:hAnsi="宋体" w:eastAsia="方正小标宋简体"/>
          <w:b/>
          <w:sz w:val="44"/>
          <w:szCs w:val="44"/>
        </w:rPr>
      </w:pPr>
      <w:r>
        <w:rPr>
          <w:rFonts w:hint="eastAsia" w:ascii="仿宋_GB2312" w:hAnsi="宋体" w:eastAsia="仿宋_GB2312"/>
          <w:sz w:val="32"/>
          <w:szCs w:val="32"/>
        </w:rPr>
        <w:t>2020年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7</w:t>
      </w:r>
      <w:r>
        <w:rPr>
          <w:rFonts w:hint="eastAsia" w:ascii="仿宋_GB2312" w:hAnsi="宋体" w:eastAsia="仿宋_GB2312"/>
          <w:sz w:val="32"/>
          <w:szCs w:val="32"/>
        </w:rPr>
        <w:t>日</w:t>
      </w:r>
    </w:p>
    <w:p>
      <w:pPr>
        <w:keepNext w:val="0"/>
        <w:keepLines w:val="0"/>
        <w:pageBreakBefore w:val="0"/>
        <w:kinsoku/>
        <w:wordWrap/>
        <w:overflowPunct/>
        <w:topLinePunct w:val="0"/>
        <w:autoSpaceDE/>
        <w:autoSpaceDN/>
        <w:bidi w:val="0"/>
        <w:spacing w:line="560" w:lineRule="exact"/>
        <w:ind w:firstLine="2880" w:firstLineChars="900"/>
        <w:textAlignment w:val="auto"/>
        <w:rPr>
          <w:rFonts w:hint="eastAsia" w:ascii="仿宋_GB2312" w:hAnsi="仿宋_GB2312" w:eastAsia="仿宋_GB2312" w:cs="仿宋_GB2312"/>
          <w:sz w:val="32"/>
          <w:szCs w:val="32"/>
        </w:rPr>
      </w:pPr>
    </w:p>
    <w:p>
      <w:pPr>
        <w:tabs>
          <w:tab w:val="left" w:pos="1850"/>
        </w:tabs>
        <w:bidi w:val="0"/>
        <w:jc w:val="left"/>
        <w:rPr>
          <w:rFonts w:hint="eastAsia"/>
          <w:lang w:val="en-US" w:eastAsia="zh-CN"/>
        </w:rPr>
      </w:pPr>
    </w:p>
    <w:p>
      <w:pPr>
        <w:tabs>
          <w:tab w:val="left" w:pos="1850"/>
        </w:tabs>
        <w:bidi w:val="0"/>
        <w:jc w:val="left"/>
        <w:rPr>
          <w:rFonts w:hint="eastAsia"/>
          <w:lang w:val="en-US" w:eastAsia="zh-CN"/>
        </w:rPr>
      </w:pPr>
    </w:p>
    <w:p>
      <w:pPr>
        <w:tabs>
          <w:tab w:val="left" w:pos="1850"/>
        </w:tabs>
        <w:bidi w:val="0"/>
        <w:jc w:val="left"/>
        <w:rPr>
          <w:rFonts w:hint="eastAsia"/>
          <w:lang w:val="en-US" w:eastAsia="zh-CN"/>
        </w:rPr>
      </w:pPr>
    </w:p>
    <w:tbl>
      <w:tblPr>
        <w:tblStyle w:val="11"/>
        <w:tblW w:w="9060" w:type="dxa"/>
        <w:tblInd w:w="0" w:type="dxa"/>
        <w:tblLayout w:type="fixed"/>
        <w:tblCellMar>
          <w:top w:w="0" w:type="dxa"/>
          <w:left w:w="108" w:type="dxa"/>
          <w:bottom w:w="0" w:type="dxa"/>
          <w:right w:w="108" w:type="dxa"/>
        </w:tblCellMar>
      </w:tblPr>
      <w:tblGrid>
        <w:gridCol w:w="7121"/>
        <w:gridCol w:w="1939"/>
      </w:tblGrid>
      <w:tr>
        <w:tblPrEx>
          <w:tblLayout w:type="fixed"/>
          <w:tblCellMar>
            <w:top w:w="0" w:type="dxa"/>
            <w:left w:w="108" w:type="dxa"/>
            <w:bottom w:w="0" w:type="dxa"/>
            <w:right w:w="108" w:type="dxa"/>
          </w:tblCellMar>
        </w:tblPrEx>
        <w:tc>
          <w:tcPr>
            <w:tcW w:w="7121" w:type="dxa"/>
            <w:tcBorders>
              <w:top w:val="nil"/>
              <w:left w:val="nil"/>
              <w:bottom w:val="nil"/>
              <w:right w:val="nil"/>
            </w:tcBorders>
            <w:noWrap w:val="0"/>
            <w:vAlign w:val="top"/>
          </w:tcPr>
          <w:p>
            <w:pPr>
              <w:spacing w:line="1100" w:lineRule="exact"/>
              <w:jc w:val="distribute"/>
              <w:rPr>
                <w:rFonts w:hint="eastAsia" w:eastAsia="方正小标宋简体"/>
                <w:snapToGrid w:val="0"/>
                <w:color w:val="FF0000"/>
                <w:spacing w:val="-8"/>
                <w:w w:val="65"/>
                <w:sz w:val="90"/>
                <w:szCs w:val="90"/>
              </w:rPr>
            </w:pPr>
            <w:r>
              <w:rPr>
                <w:rFonts w:hint="eastAsia" w:eastAsia="方正小标宋简体"/>
                <w:snapToGrid w:val="0"/>
                <w:color w:val="FF0000"/>
                <w:spacing w:val="-8"/>
                <w:w w:val="65"/>
                <w:sz w:val="90"/>
                <w:szCs w:val="90"/>
              </w:rPr>
              <w:t>常州市医疗保障局</w:t>
            </w:r>
          </w:p>
          <w:p>
            <w:pPr>
              <w:spacing w:line="1100" w:lineRule="exact"/>
              <w:jc w:val="distribute"/>
              <w:rPr>
                <w:rFonts w:hint="eastAsia" w:eastAsia="方正小标宋简体"/>
                <w:snapToGrid w:val="0"/>
                <w:color w:val="FF0000"/>
                <w:spacing w:val="-8"/>
                <w:w w:val="65"/>
                <w:sz w:val="90"/>
                <w:szCs w:val="90"/>
              </w:rPr>
            </w:pPr>
            <w:r>
              <w:rPr>
                <w:rFonts w:hint="eastAsia" w:eastAsia="方正小标宋简体"/>
                <w:snapToGrid w:val="0"/>
                <w:color w:val="FF0000"/>
                <w:spacing w:val="-8"/>
                <w:w w:val="65"/>
                <w:sz w:val="90"/>
                <w:szCs w:val="90"/>
              </w:rPr>
              <w:t>常州市财政局</w:t>
            </w:r>
          </w:p>
          <w:p>
            <w:pPr>
              <w:spacing w:line="1100" w:lineRule="exact"/>
              <w:jc w:val="distribute"/>
              <w:rPr>
                <w:rFonts w:hint="eastAsia" w:eastAsia="方正小标宋简体"/>
                <w:snapToGrid w:val="0"/>
                <w:color w:val="FF0000"/>
                <w:spacing w:val="-8"/>
                <w:w w:val="65"/>
                <w:sz w:val="90"/>
                <w:szCs w:val="90"/>
              </w:rPr>
            </w:pPr>
            <w:r>
              <w:rPr>
                <w:rFonts w:hint="eastAsia" w:eastAsia="方正小标宋简体"/>
                <w:snapToGrid w:val="0"/>
                <w:color w:val="FF0000"/>
                <w:spacing w:val="-8"/>
                <w:w w:val="65"/>
                <w:sz w:val="90"/>
                <w:szCs w:val="90"/>
              </w:rPr>
              <w:t>常州市卫生健康委员会</w:t>
            </w:r>
          </w:p>
          <w:p>
            <w:pPr>
              <w:spacing w:line="1100" w:lineRule="exact"/>
              <w:jc w:val="distribute"/>
              <w:rPr>
                <w:rFonts w:eastAsia="方正小标宋简体"/>
                <w:color w:val="FF0000"/>
                <w:spacing w:val="-12"/>
                <w:w w:val="65"/>
                <w:sz w:val="90"/>
                <w:szCs w:val="90"/>
              </w:rPr>
            </w:pPr>
            <w:r>
              <w:rPr>
                <w:rFonts w:hint="eastAsia" w:eastAsia="方正小标宋简体"/>
                <w:snapToGrid w:val="0"/>
                <w:color w:val="FF0000"/>
                <w:spacing w:val="-8"/>
                <w:w w:val="65"/>
                <w:sz w:val="90"/>
                <w:szCs w:val="90"/>
              </w:rPr>
              <w:t>常州市市场监督管理局</w:t>
            </w:r>
          </w:p>
        </w:tc>
        <w:tc>
          <w:tcPr>
            <w:tcW w:w="1939" w:type="dxa"/>
            <w:tcBorders>
              <w:top w:val="nil"/>
              <w:left w:val="nil"/>
              <w:bottom w:val="nil"/>
              <w:right w:val="nil"/>
            </w:tcBorders>
            <w:noWrap w:val="0"/>
            <w:vAlign w:val="center"/>
          </w:tcPr>
          <w:p>
            <w:pPr>
              <w:spacing w:line="1300" w:lineRule="exact"/>
              <w:ind w:left="-79" w:right="-28"/>
              <w:rPr>
                <w:rFonts w:eastAsia="方正小标宋简体"/>
                <w:color w:val="FF0000"/>
                <w:w w:val="90"/>
                <w:sz w:val="100"/>
                <w:szCs w:val="100"/>
              </w:rPr>
            </w:pPr>
            <w:r>
              <w:rPr>
                <w:rFonts w:eastAsia="方正小标宋简体"/>
                <w:color w:val="FF0000"/>
                <w:w w:val="90"/>
                <w:sz w:val="100"/>
                <w:szCs w:val="100"/>
              </w:rPr>
              <w:t>文件</w:t>
            </w:r>
          </w:p>
        </w:tc>
      </w:tr>
    </w:tbl>
    <w:p>
      <w:pPr>
        <w:spacing w:line="300" w:lineRule="exact"/>
        <w:jc w:val="distribute"/>
        <w:rPr>
          <w:rFonts w:hint="eastAsia"/>
          <w:b/>
          <w:bCs/>
          <w:sz w:val="18"/>
          <w:szCs w:val="18"/>
        </w:rPr>
      </w:pPr>
    </w:p>
    <w:p>
      <w:pPr>
        <w:spacing w:line="300" w:lineRule="exact"/>
        <w:jc w:val="distribute"/>
        <w:rPr>
          <w:rFonts w:hint="eastAsia"/>
          <w:b/>
          <w:bCs/>
          <w:sz w:val="18"/>
          <w:szCs w:val="18"/>
        </w:rPr>
      </w:pPr>
    </w:p>
    <w:p>
      <w:pPr>
        <w:spacing w:line="200" w:lineRule="exact"/>
        <w:jc w:val="distribute"/>
        <w:rPr>
          <w:rFonts w:hint="eastAsia"/>
          <w:b/>
          <w:bCs/>
          <w:sz w:val="18"/>
          <w:szCs w:val="18"/>
        </w:rPr>
      </w:pPr>
    </w:p>
    <w:p>
      <w:pPr>
        <w:spacing w:before="200" w:line="3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常医保待遇〔2019〕82号</w:t>
      </w:r>
    </w:p>
    <w:p>
      <w:pPr>
        <w:ind w:firstLine="640"/>
      </w:pPr>
      <w:r>
        <w:pict>
          <v:line id="Line 2" o:spid="_x0000_s1027" o:spt="20" style="position:absolute;left:0pt;margin-left:0pt;margin-top:9.9pt;height:0pt;width:442.25pt;z-index:251660288;mso-width-relative:page;mso-height-relative:page;" filled="f" stroked="t" coordsize="21600,21600">
            <v:path arrowok="t"/>
            <v:fill on="f" focussize="0,0"/>
            <v:stroke weight="1.5pt" color="#FF0000"/>
            <v:imagedata o:title=""/>
            <o:lock v:ext="edit" grouping="f" rotation="f" text="f" aspectratio="f"/>
          </v:line>
        </w:pict>
      </w:r>
    </w:p>
    <w:p>
      <w:pPr>
        <w:overflowPunct w:val="0"/>
        <w:adjustRightInd w:val="0"/>
        <w:snapToGrid w:val="0"/>
        <w:spacing w:line="360" w:lineRule="exact"/>
        <w:jc w:val="center"/>
        <w:rPr>
          <w:rFonts w:hint="eastAsia" w:ascii="方正小标宋简体" w:hAnsi="宋体" w:eastAsia="方正小标宋简体"/>
          <w:sz w:val="44"/>
          <w:szCs w:val="44"/>
        </w:rPr>
      </w:pPr>
    </w:p>
    <w:p>
      <w:pPr>
        <w:pStyle w:val="10"/>
        <w:widowControl w:val="0"/>
        <w:shd w:val="clear" w:color="auto" w:fill="FFFFFF"/>
        <w:overflowPunct w:val="0"/>
        <w:autoSpaceDE w:val="0"/>
        <w:autoSpaceDN w:val="0"/>
        <w:adjustRightInd w:val="0"/>
        <w:snapToGrid w:val="0"/>
        <w:spacing w:before="0" w:beforeAutospacing="0" w:after="0" w:afterAutospacing="0" w:line="560" w:lineRule="exact"/>
        <w:jc w:val="center"/>
        <w:rPr>
          <w:rStyle w:val="14"/>
          <w:rFonts w:hint="eastAsia" w:ascii="Times New Roman" w:hAnsi="Times New Roman" w:eastAsia="方正小标宋简体" w:cs="Times New Roman"/>
          <w:b w:val="0"/>
          <w:sz w:val="44"/>
          <w:szCs w:val="44"/>
        </w:rPr>
      </w:pPr>
      <w:r>
        <w:rPr>
          <w:rStyle w:val="14"/>
          <w:rFonts w:hint="eastAsia" w:ascii="Times New Roman" w:hAnsi="Times New Roman" w:eastAsia="方正小标宋简体" w:cs="Times New Roman"/>
          <w:b w:val="0"/>
          <w:sz w:val="44"/>
          <w:szCs w:val="44"/>
        </w:rPr>
        <w:t>常州市医疗保障局  常州市财政局</w:t>
      </w:r>
    </w:p>
    <w:p>
      <w:pPr>
        <w:pStyle w:val="10"/>
        <w:widowControl w:val="0"/>
        <w:shd w:val="clear" w:color="auto" w:fill="FFFFFF"/>
        <w:overflowPunct w:val="0"/>
        <w:autoSpaceDE w:val="0"/>
        <w:autoSpaceDN w:val="0"/>
        <w:adjustRightInd w:val="0"/>
        <w:snapToGrid w:val="0"/>
        <w:spacing w:before="120" w:beforeAutospacing="0" w:after="0" w:afterAutospacing="0" w:line="560" w:lineRule="exact"/>
        <w:jc w:val="center"/>
        <w:rPr>
          <w:rStyle w:val="14"/>
          <w:rFonts w:hint="eastAsia" w:ascii="Times New Roman" w:hAnsi="Times New Roman" w:eastAsia="方正小标宋简体" w:cs="Times New Roman"/>
          <w:b w:val="0"/>
          <w:snapToGrid w:val="0"/>
          <w:spacing w:val="-10"/>
          <w:sz w:val="44"/>
          <w:szCs w:val="44"/>
        </w:rPr>
      </w:pPr>
      <w:r>
        <w:rPr>
          <w:rStyle w:val="14"/>
          <w:rFonts w:hint="eastAsia" w:ascii="Times New Roman" w:hAnsi="Times New Roman" w:eastAsia="方正小标宋简体" w:cs="Times New Roman"/>
          <w:b w:val="0"/>
          <w:snapToGrid w:val="0"/>
          <w:spacing w:val="-10"/>
          <w:sz w:val="44"/>
          <w:szCs w:val="44"/>
        </w:rPr>
        <w:t>常州市卫生健康委员会  常州市市场监督管理局</w:t>
      </w:r>
    </w:p>
    <w:p>
      <w:pPr>
        <w:pStyle w:val="10"/>
        <w:widowControl w:val="0"/>
        <w:shd w:val="clear" w:color="auto" w:fill="FFFFFF"/>
        <w:overflowPunct w:val="0"/>
        <w:autoSpaceDE w:val="0"/>
        <w:autoSpaceDN w:val="0"/>
        <w:adjustRightInd w:val="0"/>
        <w:snapToGrid w:val="0"/>
        <w:spacing w:before="120" w:beforeAutospacing="0" w:after="0" w:afterAutospacing="0" w:line="560" w:lineRule="exact"/>
        <w:jc w:val="center"/>
        <w:rPr>
          <w:rStyle w:val="14"/>
          <w:rFonts w:hint="eastAsia" w:ascii="Times New Roman" w:hAnsi="Times New Roman" w:eastAsia="方正小标宋简体" w:cs="Times New Roman"/>
          <w:b w:val="0"/>
          <w:sz w:val="44"/>
          <w:szCs w:val="44"/>
        </w:rPr>
      </w:pPr>
      <w:r>
        <w:rPr>
          <w:rStyle w:val="14"/>
          <w:rFonts w:hint="eastAsia" w:ascii="Times New Roman" w:hAnsi="Times New Roman" w:eastAsia="方正小标宋简体" w:cs="Times New Roman"/>
          <w:b w:val="0"/>
          <w:sz w:val="44"/>
          <w:szCs w:val="44"/>
        </w:rPr>
        <w:t>关于明确</w:t>
      </w:r>
      <w:r>
        <w:rPr>
          <w:rStyle w:val="14"/>
          <w:rFonts w:ascii="Times New Roman" w:hAnsi="Times New Roman" w:eastAsia="方正小标宋简体" w:cs="Times New Roman"/>
          <w:b w:val="0"/>
          <w:sz w:val="44"/>
          <w:szCs w:val="44"/>
        </w:rPr>
        <w:t>常州市完善城乡居民高血压糖尿病</w:t>
      </w:r>
    </w:p>
    <w:p>
      <w:pPr>
        <w:pStyle w:val="10"/>
        <w:widowControl w:val="0"/>
        <w:shd w:val="clear" w:color="auto" w:fill="FFFFFF"/>
        <w:overflowPunct w:val="0"/>
        <w:autoSpaceDE w:val="0"/>
        <w:autoSpaceDN w:val="0"/>
        <w:adjustRightInd w:val="0"/>
        <w:snapToGrid w:val="0"/>
        <w:spacing w:before="120" w:beforeAutospacing="0" w:after="0" w:afterAutospacing="0" w:line="560" w:lineRule="exact"/>
        <w:jc w:val="center"/>
        <w:rPr>
          <w:rFonts w:ascii="Times New Roman" w:hAnsi="Times New Roman" w:eastAsia="方正小标宋简体" w:cs="Times New Roman"/>
          <w:bCs/>
          <w:sz w:val="44"/>
          <w:szCs w:val="44"/>
        </w:rPr>
      </w:pPr>
      <w:r>
        <w:rPr>
          <w:rStyle w:val="14"/>
          <w:rFonts w:ascii="Times New Roman" w:hAnsi="Times New Roman" w:eastAsia="方正小标宋简体" w:cs="Times New Roman"/>
          <w:b w:val="0"/>
          <w:sz w:val="44"/>
          <w:szCs w:val="44"/>
        </w:rPr>
        <w:t>门诊用药保障机制实施方案</w:t>
      </w:r>
      <w:r>
        <w:rPr>
          <w:rStyle w:val="14"/>
          <w:rFonts w:hint="eastAsia" w:ascii="Times New Roman" w:hAnsi="Times New Roman" w:eastAsia="方正小标宋简体" w:cs="Times New Roman"/>
          <w:b w:val="0"/>
          <w:sz w:val="44"/>
          <w:szCs w:val="44"/>
        </w:rPr>
        <w:t>的通知</w:t>
      </w:r>
    </w:p>
    <w:p>
      <w:pPr>
        <w:pStyle w:val="10"/>
        <w:widowControl w:val="0"/>
        <w:shd w:val="clear" w:color="auto" w:fill="FFFFFF"/>
        <w:overflowPunct w:val="0"/>
        <w:autoSpaceDE w:val="0"/>
        <w:autoSpaceDN w:val="0"/>
        <w:adjustRightInd w:val="0"/>
        <w:snapToGrid w:val="0"/>
        <w:spacing w:before="0" w:beforeAutospacing="0" w:after="0" w:afterAutospacing="0" w:line="480" w:lineRule="exact"/>
        <w:jc w:val="center"/>
        <w:rPr>
          <w:rFonts w:ascii="Times New Roman" w:hAnsi="Times New Roman" w:eastAsia="仿宋_GB2312" w:cs="Times New Roman"/>
          <w:sz w:val="32"/>
          <w:szCs w:val="32"/>
        </w:rPr>
      </w:pPr>
    </w:p>
    <w:p>
      <w:pPr>
        <w:pStyle w:val="10"/>
        <w:widowControl w:val="0"/>
        <w:shd w:val="clear" w:color="auto" w:fill="FFFFFF"/>
        <w:overflowPunct w:val="0"/>
        <w:autoSpaceDE w:val="0"/>
        <w:autoSpaceDN w:val="0"/>
        <w:adjustRightInd w:val="0"/>
        <w:snapToGrid w:val="0"/>
        <w:spacing w:before="0" w:beforeAutospacing="0" w:after="0" w:afterAutospacing="0" w:line="560" w:lineRule="exact"/>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各辖市（区）医疗保障局（分局）、财政局、卫生健康局、市场监督管理局：</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为进一步减轻城乡居民高血压、糖尿病（以下简称“两病”）患者医疗费用负担，根据《江苏省医疗保障局 江苏省财政厅 江苏省卫生健康委员会 江苏省药品监督管理局关于印发〈江苏省完善城乡居民高血压糖尿病门诊用药保障机制的实施方案（试行）〉的通知》（苏医保发〔2019〕97号），结合我市实际，现就完善“两病”患者门诊用药保障的实施方案明确如下：</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黑体" w:cs="Times New Roman"/>
          <w:b/>
          <w:snapToGrid w:val="0"/>
          <w:color w:val="000000"/>
          <w:sz w:val="32"/>
          <w:szCs w:val="32"/>
        </w:rPr>
      </w:pPr>
      <w:r>
        <w:rPr>
          <w:rStyle w:val="14"/>
          <w:rFonts w:ascii="Times New Roman" w:hAnsi="黑体" w:eastAsia="黑体" w:cs="Times New Roman"/>
          <w:b w:val="0"/>
          <w:snapToGrid w:val="0"/>
          <w:color w:val="000000"/>
          <w:sz w:val="32"/>
          <w:szCs w:val="32"/>
        </w:rPr>
        <w:t>一、指导思想</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仿宋_GB2312" w:cs="Times New Roman"/>
          <w:snapToGrid w:val="0"/>
          <w:color w:val="000000"/>
          <w:sz w:val="32"/>
          <w:szCs w:val="32"/>
        </w:rPr>
        <w:t>以习近平新时代中国特色社会主义思想为指导，全面贯彻落实党的十九大和十九届二中、三中</w:t>
      </w:r>
      <w:r>
        <w:rPr>
          <w:rFonts w:hint="eastAsia" w:ascii="Times New Roman" w:hAnsi="Times New Roman" w:eastAsia="仿宋_GB2312" w:cs="Times New Roman"/>
          <w:snapToGrid w:val="0"/>
          <w:color w:val="000000"/>
          <w:sz w:val="32"/>
          <w:szCs w:val="32"/>
        </w:rPr>
        <w:t>、四中</w:t>
      </w:r>
      <w:r>
        <w:rPr>
          <w:rFonts w:ascii="Times New Roman" w:hAnsi="Times New Roman" w:eastAsia="仿宋_GB2312" w:cs="Times New Roman"/>
          <w:snapToGrid w:val="0"/>
          <w:color w:val="000000"/>
          <w:sz w:val="32"/>
          <w:szCs w:val="32"/>
        </w:rPr>
        <w:t>全会精神，按照“保基本、可持续、惠民生、推改革”的总体要求，以城乡居民基本医疗保险（以下简称“居民医保”）“两病”患者门诊用药保障为切入点，探索完善门诊慢性病用药保障机制，增强基本医保门诊保障能力，减轻患者门诊用药费用负担，不断提升人民群众获得感、幸福感、安全感。</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Style w:val="14"/>
          <w:rFonts w:ascii="Times New Roman" w:hAnsi="黑体" w:eastAsia="黑体" w:cs="Times New Roman"/>
          <w:b w:val="0"/>
          <w:snapToGrid w:val="0"/>
          <w:color w:val="000000"/>
          <w:sz w:val="32"/>
          <w:szCs w:val="32"/>
        </w:rPr>
      </w:pPr>
      <w:r>
        <w:rPr>
          <w:rStyle w:val="14"/>
          <w:rFonts w:ascii="Times New Roman" w:hAnsi="黑体" w:eastAsia="黑体" w:cs="Times New Roman"/>
          <w:b w:val="0"/>
          <w:snapToGrid w:val="0"/>
          <w:color w:val="000000"/>
          <w:sz w:val="32"/>
          <w:szCs w:val="32"/>
        </w:rPr>
        <w:t>二、基本原则</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b/>
          <w:snapToGrid w:val="0"/>
          <w:color w:val="000000"/>
          <w:sz w:val="32"/>
          <w:szCs w:val="32"/>
        </w:rPr>
        <w:t>一是坚持基本保障。</w:t>
      </w:r>
      <w:r>
        <w:rPr>
          <w:rFonts w:ascii="Times New Roman" w:hAnsi="Times New Roman" w:eastAsia="仿宋_GB2312" w:cs="Times New Roman"/>
          <w:snapToGrid w:val="0"/>
          <w:color w:val="000000"/>
          <w:sz w:val="32"/>
          <w:szCs w:val="32"/>
        </w:rPr>
        <w:t>根据部分“两病”患者对门诊用药的进一步保障需求，在坚持“既尽力而为、又量力而行”的基础上合理设置“两病”药费补助标准，有针对性的增强保障能力，方便患者享受医保待遇，减轻门诊用药负担，同时有利于强化预防、减少大病发病率。</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hd w:val="clear" w:color="auto" w:fill="FFFFFF"/>
        </w:rPr>
      </w:pPr>
      <w:r>
        <w:rPr>
          <w:rFonts w:ascii="Times New Roman" w:hAnsi="Times New Roman" w:eastAsia="楷体_GB2312" w:cs="Times New Roman"/>
          <w:b/>
          <w:snapToGrid w:val="0"/>
          <w:color w:val="000000"/>
          <w:sz w:val="32"/>
          <w:szCs w:val="32"/>
        </w:rPr>
        <w:t>二是做好待遇衔接。</w:t>
      </w:r>
      <w:r>
        <w:rPr>
          <w:rFonts w:ascii="Times New Roman" w:hAnsi="Times New Roman" w:eastAsia="仿宋_GB2312" w:cs="Times New Roman"/>
          <w:snapToGrid w:val="0"/>
          <w:color w:val="000000"/>
          <w:sz w:val="32"/>
          <w:szCs w:val="32"/>
        </w:rPr>
        <w:t>做好与现有门诊保障政策的衔接，确保群众待遇水平不降低，对降血压和降血糖以外的其他药品费用等，或已纳入门诊慢性病或特殊疾病保障范围“两病”患者的待遇，继续按现行政策执行。要避免重复报销、重复享受待遇。要做好与基本医疗保险不同制度、不同群体的待遇衔接，避免造成群体间攀比和待遇失衡。</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hd w:val="clear" w:color="auto" w:fill="FFFFFF"/>
        </w:rPr>
      </w:pPr>
      <w:r>
        <w:rPr>
          <w:rFonts w:ascii="Times New Roman" w:hAnsi="Times New Roman" w:eastAsia="楷体_GB2312" w:cs="Times New Roman"/>
          <w:b/>
          <w:snapToGrid w:val="0"/>
          <w:color w:val="000000"/>
          <w:sz w:val="32"/>
          <w:szCs w:val="32"/>
        </w:rPr>
        <w:t>三是强化基金监管。</w:t>
      </w:r>
      <w:r>
        <w:rPr>
          <w:rFonts w:ascii="Times New Roman" w:hAnsi="Times New Roman" w:eastAsia="仿宋_GB2312" w:cs="Times New Roman"/>
          <w:snapToGrid w:val="0"/>
          <w:color w:val="000000"/>
          <w:sz w:val="32"/>
          <w:szCs w:val="32"/>
        </w:rPr>
        <w:t>充分发挥家庭医生健康守门人和医保费用控制守门人作用，提升基层医疗卫生机构服务能力和首诊服务利用率，在群众减负得实惠的同时，实现成本总体可控、诊疗规范合理、基金安全可承受。</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Style w:val="14"/>
          <w:rFonts w:ascii="Times New Roman" w:hAnsi="黑体" w:eastAsia="黑体" w:cs="Times New Roman"/>
          <w:b w:val="0"/>
          <w:snapToGrid w:val="0"/>
          <w:color w:val="000000"/>
          <w:sz w:val="32"/>
          <w:szCs w:val="32"/>
        </w:rPr>
      </w:pPr>
      <w:r>
        <w:rPr>
          <w:rStyle w:val="14"/>
          <w:rFonts w:ascii="Times New Roman" w:hAnsi="黑体" w:eastAsia="黑体" w:cs="Times New Roman"/>
          <w:b w:val="0"/>
          <w:snapToGrid w:val="0"/>
          <w:color w:val="000000"/>
          <w:sz w:val="32"/>
          <w:szCs w:val="32"/>
        </w:rPr>
        <w:t>三、主要内容</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hint="eastAsia" w:ascii="Times New Roman" w:hAnsi="Times New Roman" w:eastAsia="楷体_GB2312" w:cs="Times New Roman"/>
          <w:b/>
          <w:snapToGrid w:val="0"/>
          <w:color w:val="000000"/>
          <w:sz w:val="32"/>
          <w:szCs w:val="32"/>
        </w:rPr>
        <w:t>（一）明确保障对象。</w:t>
      </w:r>
      <w:r>
        <w:rPr>
          <w:rFonts w:ascii="Times New Roman" w:hAnsi="Times New Roman" w:eastAsia="仿宋_GB2312" w:cs="Times New Roman"/>
          <w:snapToGrid w:val="0"/>
          <w:color w:val="000000"/>
          <w:sz w:val="32"/>
          <w:szCs w:val="32"/>
        </w:rPr>
        <w:t>我市居民医保参保人员，经临床评估符合“两病”诊断标准确需采取药物治疗的，可按规定享受“两病”门诊用药保障待遇。“两病”临床评估工作按照“家庭医生受理、向上集中审核”的操作流程，由各辖市区卫健部门会同医保部门组织辖区内二级以下定点基层医疗机构（即社区卫生服务中心、站，乡镇卫生院、村卫生室等，下同）统一开展。</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hint="eastAsia" w:ascii="Times New Roman" w:hAnsi="Times New Roman" w:eastAsia="楷体_GB2312" w:cs="Times New Roman"/>
          <w:b/>
          <w:snapToGrid w:val="0"/>
          <w:color w:val="000000"/>
          <w:sz w:val="32"/>
          <w:szCs w:val="32"/>
        </w:rPr>
        <w:t>（二）明确保障水平。</w:t>
      </w:r>
      <w:r>
        <w:rPr>
          <w:rFonts w:ascii="Times New Roman" w:hAnsi="Times New Roman" w:eastAsia="仿宋_GB2312" w:cs="Times New Roman"/>
          <w:snapToGrid w:val="0"/>
          <w:color w:val="000000"/>
          <w:sz w:val="32"/>
          <w:szCs w:val="32"/>
        </w:rPr>
        <w:t>将符合条件的“两病”参保患者发生的合规药品费用，全部纳入普通门诊统筹保障范围，并增加门诊慢性病药费补助。门诊慢性病药费补助标准为：一个年度内，参保患者在二级以下定点基层医疗机构就医发生的合规药品费用，在最高限额800元以内的部分，由统筹基金支付50%。其中，同时患有上述两种疾病的参保患者，合规药品费用最高限额提高至1200元；“两病”参保患者发生的合规药品费用中，已享受门诊慢性病药费补助的，不再享受普通门诊统筹；未享受门诊慢性病药费补助的，可按规定纳入普通门诊统筹保障范围。</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hint="eastAsia" w:ascii="Times New Roman" w:hAnsi="Times New Roman" w:eastAsia="楷体_GB2312" w:cs="Times New Roman"/>
          <w:b/>
          <w:snapToGrid w:val="0"/>
          <w:color w:val="000000"/>
          <w:sz w:val="32"/>
          <w:szCs w:val="32"/>
        </w:rPr>
        <w:t>（三）明确用药范围。</w:t>
      </w:r>
      <w:r>
        <w:rPr>
          <w:rFonts w:ascii="Times New Roman" w:hAnsi="Times New Roman" w:eastAsia="仿宋_GB2312" w:cs="Times New Roman"/>
          <w:snapToGrid w:val="0"/>
          <w:color w:val="000000"/>
          <w:sz w:val="32"/>
          <w:szCs w:val="32"/>
        </w:rPr>
        <w:t>将“两病”参保患者在二级以下定点基层医疗机构使用的，属于国家基本医疗保险药品目录内直接用于降血压、降血糖的治疗性药品，纳入门诊慢性病药费补助范围。医疗机构和临床医师根据相关诊疗规范优先选用目录甲类药品，优先选用国家基本药物，优先选用通过一致性评价的品种，优先选用集中招标采购中选药品。</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Style w:val="14"/>
          <w:rFonts w:hAnsi="黑体" w:eastAsia="黑体"/>
        </w:rPr>
      </w:pPr>
      <w:r>
        <w:rPr>
          <w:rStyle w:val="14"/>
          <w:rFonts w:ascii="Times New Roman" w:hAnsi="黑体" w:eastAsia="黑体" w:cs="Times New Roman"/>
          <w:b w:val="0"/>
          <w:snapToGrid w:val="0"/>
          <w:color w:val="000000"/>
          <w:sz w:val="32"/>
          <w:szCs w:val="32"/>
        </w:rPr>
        <w:t>四、配套改革，确保患者受益</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b/>
          <w:snapToGrid w:val="0"/>
          <w:color w:val="000000"/>
          <w:sz w:val="32"/>
          <w:szCs w:val="32"/>
        </w:rPr>
        <w:t>（</w:t>
      </w:r>
      <w:r>
        <w:rPr>
          <w:rFonts w:hint="eastAsia" w:ascii="Times New Roman" w:hAnsi="Times New Roman" w:eastAsia="楷体_GB2312" w:cs="Times New Roman"/>
          <w:b/>
          <w:snapToGrid w:val="0"/>
          <w:color w:val="000000"/>
          <w:sz w:val="32"/>
          <w:szCs w:val="32"/>
        </w:rPr>
        <w:t>一</w:t>
      </w:r>
      <w:r>
        <w:rPr>
          <w:rFonts w:ascii="Times New Roman" w:hAnsi="Times New Roman" w:eastAsia="楷体_GB2312" w:cs="Times New Roman"/>
          <w:b/>
          <w:snapToGrid w:val="0"/>
          <w:color w:val="000000"/>
          <w:sz w:val="32"/>
          <w:szCs w:val="32"/>
        </w:rPr>
        <w:t>）规范</w:t>
      </w:r>
      <w:r>
        <w:rPr>
          <w:rFonts w:hint="eastAsia" w:ascii="Times New Roman" w:hAnsi="Times New Roman" w:eastAsia="楷体_GB2312" w:cs="Times New Roman"/>
          <w:b/>
          <w:snapToGrid w:val="0"/>
          <w:color w:val="000000"/>
          <w:sz w:val="32"/>
          <w:szCs w:val="32"/>
        </w:rPr>
        <w:t>医保服务管理</w:t>
      </w:r>
      <w:r>
        <w:rPr>
          <w:rFonts w:ascii="Times New Roman" w:hAnsi="Times New Roman" w:eastAsia="楷体_GB2312" w:cs="Times New Roman"/>
          <w:b/>
          <w:snapToGrid w:val="0"/>
          <w:color w:val="000000"/>
          <w:sz w:val="32"/>
          <w:szCs w:val="32"/>
        </w:rPr>
        <w:t>。</w:t>
      </w:r>
      <w:r>
        <w:rPr>
          <w:rFonts w:ascii="Times New Roman" w:hAnsi="Times New Roman" w:eastAsia="仿宋_GB2312" w:cs="Times New Roman"/>
          <w:snapToGrid w:val="0"/>
          <w:color w:val="000000"/>
          <w:sz w:val="32"/>
          <w:szCs w:val="32"/>
        </w:rPr>
        <w:t>完善医保定点服务协议，将“两病”门诊用药保障服务纳入协议管理。坚持预防为主、防治结合，落实基层医疗机构和家庭医生责任，做实家庭医生签约服务对“两病”等慢性病管理的全流程服务，做好“两病”临床评估工作，加强“两病”患者健康教育和健康管理，提高群众防治疾病健康意识。</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b/>
          <w:snapToGrid w:val="0"/>
          <w:color w:val="000000"/>
          <w:sz w:val="32"/>
          <w:szCs w:val="32"/>
        </w:rPr>
        <w:t>（二）</w:t>
      </w:r>
      <w:r>
        <w:rPr>
          <w:rFonts w:hint="eastAsia" w:ascii="Times New Roman" w:hAnsi="Times New Roman" w:eastAsia="楷体_GB2312" w:cs="Times New Roman"/>
          <w:b/>
          <w:snapToGrid w:val="0"/>
          <w:color w:val="000000"/>
          <w:sz w:val="32"/>
          <w:szCs w:val="32"/>
        </w:rPr>
        <w:t>完善药品使用规范</w:t>
      </w:r>
      <w:r>
        <w:rPr>
          <w:rFonts w:ascii="Times New Roman" w:hAnsi="Times New Roman" w:eastAsia="楷体_GB2312" w:cs="Times New Roman"/>
          <w:b/>
          <w:snapToGrid w:val="0"/>
          <w:color w:val="000000"/>
          <w:sz w:val="32"/>
          <w:szCs w:val="32"/>
        </w:rPr>
        <w:t>。</w:t>
      </w:r>
      <w:r>
        <w:rPr>
          <w:rFonts w:ascii="Times New Roman" w:hAnsi="Times New Roman" w:eastAsia="仿宋_GB2312" w:cs="Times New Roman"/>
          <w:snapToGrid w:val="0"/>
          <w:color w:val="000000"/>
          <w:sz w:val="32"/>
          <w:szCs w:val="32"/>
        </w:rPr>
        <w:t>为保障患者用药需求，进一步完善“两病”门诊用药长期处方制度，提供不超过2个月用药量的长期处方服务，但要根据病情合理用药，避免滥用和重复开药。各有关部门要确保药品质量和供应，医疗机构要优先使用集中采购中选药品，不得以费用控制、药占比、医疗机构用药品种规格数量要求、药事委员会审定等为由影响中选药品的供应保障与合理使用。</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b/>
          <w:snapToGrid w:val="0"/>
          <w:color w:val="000000"/>
          <w:sz w:val="32"/>
          <w:szCs w:val="32"/>
        </w:rPr>
        <w:t>（</w:t>
      </w:r>
      <w:r>
        <w:rPr>
          <w:rFonts w:hint="eastAsia" w:ascii="Times New Roman" w:hAnsi="Times New Roman" w:eastAsia="楷体_GB2312" w:cs="Times New Roman"/>
          <w:b/>
          <w:snapToGrid w:val="0"/>
          <w:color w:val="000000"/>
          <w:sz w:val="32"/>
          <w:szCs w:val="32"/>
        </w:rPr>
        <w:t>三</w:t>
      </w:r>
      <w:r>
        <w:rPr>
          <w:rFonts w:ascii="Times New Roman" w:hAnsi="Times New Roman" w:eastAsia="楷体_GB2312" w:cs="Times New Roman"/>
          <w:b/>
          <w:snapToGrid w:val="0"/>
          <w:color w:val="000000"/>
          <w:sz w:val="32"/>
          <w:szCs w:val="32"/>
        </w:rPr>
        <w:t>）</w:t>
      </w:r>
      <w:r>
        <w:rPr>
          <w:rFonts w:hint="eastAsia" w:ascii="Times New Roman" w:hAnsi="Times New Roman" w:eastAsia="楷体_GB2312" w:cs="Times New Roman"/>
          <w:b/>
          <w:snapToGrid w:val="0"/>
          <w:color w:val="000000"/>
          <w:sz w:val="32"/>
          <w:szCs w:val="32"/>
        </w:rPr>
        <w:t>优化医保支付政策</w:t>
      </w:r>
      <w:r>
        <w:rPr>
          <w:rFonts w:ascii="Times New Roman" w:hAnsi="Times New Roman" w:eastAsia="楷体_GB2312" w:cs="Times New Roman"/>
          <w:b/>
          <w:snapToGrid w:val="0"/>
          <w:color w:val="000000"/>
          <w:sz w:val="32"/>
          <w:szCs w:val="32"/>
        </w:rPr>
        <w:t>。</w:t>
      </w:r>
      <w:r>
        <w:rPr>
          <w:rFonts w:ascii="Times New Roman" w:hAnsi="Times New Roman" w:eastAsia="仿宋_GB2312" w:cs="Times New Roman"/>
          <w:snapToGrid w:val="0"/>
          <w:color w:val="000000"/>
          <w:sz w:val="32"/>
          <w:szCs w:val="32"/>
        </w:rPr>
        <w:t>充分发挥家庭医生健康和费用双重“守门人”的作用，根据“两病”人群发病率、药品使用规律和医保待遇水平等情况，逐步对定点医疗机构采取总额包干付费模式。探索对“两病”用药按通用名合理确定医保支付标准并动态调整，为确保“两病”参保患者尽早享受待遇，目前暂按现有支付标准执行。对列入带量采购范围内的药品，根据集中采购中标价格确定同通用名药品的支付标准。</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Style w:val="14"/>
          <w:rFonts w:hAnsi="黑体" w:eastAsia="黑体"/>
        </w:rPr>
      </w:pPr>
      <w:r>
        <w:rPr>
          <w:rStyle w:val="14"/>
          <w:rFonts w:ascii="Times New Roman" w:hAnsi="黑体" w:eastAsia="黑体" w:cs="Times New Roman"/>
          <w:b w:val="0"/>
          <w:snapToGrid w:val="0"/>
          <w:color w:val="000000"/>
          <w:sz w:val="32"/>
          <w:szCs w:val="32"/>
        </w:rPr>
        <w:t>五、加强领导，做好组织实施</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u w:val="single"/>
        </w:rPr>
      </w:pPr>
      <w:r>
        <w:rPr>
          <w:rFonts w:ascii="Times New Roman" w:hAnsi="Times New Roman" w:eastAsia="楷体_GB2312" w:cs="Times New Roman"/>
          <w:b/>
          <w:snapToGrid w:val="0"/>
          <w:color w:val="000000"/>
          <w:sz w:val="32"/>
          <w:szCs w:val="32"/>
        </w:rPr>
        <w:t>（一）强化担当，确保待遇落实。</w:t>
      </w:r>
      <w:r>
        <w:rPr>
          <w:rFonts w:ascii="Times New Roman" w:hAnsi="Times New Roman" w:eastAsia="仿宋_GB2312" w:cs="Times New Roman"/>
          <w:snapToGrid w:val="0"/>
          <w:color w:val="000000"/>
          <w:sz w:val="32"/>
          <w:szCs w:val="32"/>
        </w:rPr>
        <w:t>各地要高度重视“两病”门诊用药保障工作，加强统筹协调，按照实施方案要求，确保符合条件的患者年内享受相应待遇。做好基金运行和专项统计分析，加强政策宣传，正确引导舆论，切实把好事办实办好。对2019年12月期间处于家庭医生签约服务期内且符合条件的“两病”参保患者，将年底前享受的门诊慢性病药费补助额度与次年补助额度合并，即将2020年度门诊慢性病药费补助的合规药品费用最高限额在原标准基础上提高100元。</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b/>
          <w:snapToGrid w:val="0"/>
          <w:color w:val="000000"/>
          <w:sz w:val="32"/>
          <w:szCs w:val="32"/>
        </w:rPr>
        <w:t>（二）细化分工，加强协同配合。</w:t>
      </w:r>
      <w:r>
        <w:rPr>
          <w:rFonts w:ascii="Times New Roman" w:hAnsi="Times New Roman" w:eastAsia="仿宋_GB2312" w:cs="Times New Roman"/>
          <w:snapToGrid w:val="0"/>
          <w:color w:val="000000"/>
          <w:sz w:val="32"/>
          <w:szCs w:val="32"/>
        </w:rPr>
        <w:t>医疗保障部门要积极会同相关部门做好“两病”患者门诊用药保障工作，加强指导，密切跟踪工作进展。财政部门要积极参与“两病”用药保障有关工作，按规定保障所需工作经费。卫生健康部门要做好“两病”患者的临床评估和健康管理，加强医疗服务行为监管，进一步健全完善“两病”用药指南和规范，规范诊疗行为，确保集中带量采购药品合理使用。市场监督管理等部门依职能做好“两病”用药质量监督管理工作。</w:t>
      </w: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ascii="Times New Roman" w:hAnsi="Times New Roman" w:eastAsia="楷体_GB2312" w:cs="Times New Roman"/>
          <w:b/>
          <w:snapToGrid w:val="0"/>
          <w:color w:val="000000"/>
          <w:sz w:val="32"/>
          <w:szCs w:val="32"/>
        </w:rPr>
        <w:t>（三）加强监管，用好管好基金。</w:t>
      </w:r>
      <w:r>
        <w:rPr>
          <w:rFonts w:ascii="Times New Roman" w:hAnsi="Times New Roman" w:eastAsia="仿宋_GB2312" w:cs="Times New Roman"/>
          <w:snapToGrid w:val="0"/>
          <w:color w:val="000000"/>
          <w:sz w:val="32"/>
          <w:szCs w:val="32"/>
        </w:rPr>
        <w:t>各地要贯彻落实基金监督奖励制度，畅通举报电话，营造基金监管良好氛围；完善智能监控知识库和规则库，将“两病”合理用药管理纳入监控范围；加快建立医疗保障基金监管信用体系，把服务提供主体和参保人员纳入信用管理范围。各部门各尽其责，密切配合，通力协作，及时研究解决新情况新问题，总结推广经验做法，不断完善“两病”门诊用药保障机制建设。</w:t>
      </w:r>
    </w:p>
    <w:p>
      <w:pPr>
        <w:overflowPunct w:val="0"/>
        <w:adjustRightInd w:val="0"/>
        <w:snapToGrid w:val="0"/>
        <w:spacing w:line="570" w:lineRule="exact"/>
        <w:ind w:firstLine="641"/>
        <w:rPr>
          <w:rFonts w:ascii="Times New Roman"/>
        </w:rPr>
      </w:pPr>
    </w:p>
    <w:p>
      <w:pPr>
        <w:overflowPunct w:val="0"/>
        <w:adjustRightInd w:val="0"/>
        <w:snapToGrid w:val="0"/>
        <w:spacing w:line="570" w:lineRule="exact"/>
        <w:ind w:firstLine="641"/>
        <w:rPr>
          <w:rFonts w:ascii="Times New Roman"/>
        </w:rPr>
      </w:pPr>
    </w:p>
    <w:p>
      <w:pPr>
        <w:overflowPunct w:val="0"/>
        <w:adjustRightInd w:val="0"/>
        <w:snapToGrid w:val="0"/>
        <w:spacing w:line="570" w:lineRule="exact"/>
        <w:ind w:firstLine="641"/>
        <w:rPr>
          <w:rFonts w:ascii="Times New Roman"/>
        </w:rPr>
      </w:pPr>
    </w:p>
    <w:p>
      <w:pPr>
        <w:overflowPunct w:val="0"/>
        <w:adjustRightInd w:val="0"/>
        <w:snapToGrid w:val="0"/>
        <w:spacing w:line="570" w:lineRule="exact"/>
        <w:ind w:firstLine="641"/>
        <w:rPr>
          <w:rFonts w:ascii="Times New Roman"/>
        </w:rPr>
      </w:pPr>
    </w:p>
    <w:p>
      <w:pPr>
        <w:keepNext w:val="0"/>
        <w:keepLines w:val="0"/>
        <w:pageBreakBefore w:val="0"/>
        <w:widowControl w:val="0"/>
        <w:tabs>
          <w:tab w:val="left" w:pos="4111"/>
          <w:tab w:val="left" w:pos="4678"/>
          <w:tab w:val="left" w:pos="4820"/>
          <w:tab w:val="left" w:pos="4962"/>
          <w:tab w:val="left" w:pos="7797"/>
        </w:tabs>
        <w:kinsoku/>
        <w:wordWrap/>
        <w:overflowPunct w:val="0"/>
        <w:topLinePunct w:val="0"/>
        <w:autoSpaceDE/>
        <w:autoSpaceDN/>
        <w:bidi w:val="0"/>
        <w:adjustRightInd w:val="0"/>
        <w:snapToGrid w:val="0"/>
        <w:spacing w:line="560" w:lineRule="exact"/>
        <w:ind w:firstLine="47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常州市医疗保障局            </w:t>
      </w:r>
      <w:r>
        <w:rPr>
          <w:rFonts w:hint="eastAsia" w:ascii="仿宋_GB2312" w:hAnsi="仿宋_GB2312" w:eastAsia="仿宋_GB2312" w:cs="仿宋_GB2312"/>
          <w:spacing w:val="60"/>
          <w:sz w:val="32"/>
          <w:szCs w:val="32"/>
        </w:rPr>
        <w:t>常州市财政</w:t>
      </w:r>
      <w:r>
        <w:rPr>
          <w:rFonts w:hint="eastAsia" w:ascii="仿宋_GB2312" w:hAnsi="仿宋_GB2312" w:eastAsia="仿宋_GB2312" w:cs="仿宋_GB2312"/>
          <w:sz w:val="32"/>
          <w:szCs w:val="32"/>
        </w:rPr>
        <w:t>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1"/>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44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常州市卫生健康委员会      常州市市场监督管理局</w:t>
      </w:r>
    </w:p>
    <w:p>
      <w:pPr>
        <w:keepNext w:val="0"/>
        <w:keepLines w:val="0"/>
        <w:pageBreakBefore w:val="0"/>
        <w:widowControl w:val="0"/>
        <w:kinsoku/>
        <w:wordWrap/>
        <w:overflowPunct w:val="0"/>
        <w:topLinePunct w:val="0"/>
        <w:autoSpaceDE/>
        <w:autoSpaceDN/>
        <w:bidi w:val="0"/>
        <w:adjustRightInd w:val="0"/>
        <w:snapToGrid w:val="0"/>
        <w:spacing w:line="560" w:lineRule="exact"/>
        <w:ind w:right="1257" w:firstLine="641"/>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2019年12月24日</w:t>
      </w:r>
    </w:p>
    <w:p>
      <w:pPr>
        <w:overflowPunct w:val="0"/>
        <w:adjustRightInd w:val="0"/>
        <w:snapToGrid w:val="0"/>
        <w:spacing w:line="570" w:lineRule="exact"/>
        <w:ind w:firstLine="641"/>
        <w:rPr>
          <w:rFonts w:ascii="Times New Roman"/>
        </w:rPr>
      </w:pPr>
    </w:p>
    <w:p>
      <w:pPr>
        <w:pStyle w:val="10"/>
        <w:widowControl w:val="0"/>
        <w:shd w:val="clear" w:color="auto" w:fill="FFFFFF"/>
        <w:overflowPunct w:val="0"/>
        <w:autoSpaceDE w:val="0"/>
        <w:autoSpaceDN w:val="0"/>
        <w:adjustRightInd w:val="0"/>
        <w:snapToGrid w:val="0"/>
        <w:spacing w:before="0" w:beforeAutospacing="0" w:after="0" w:afterAutospacing="0" w:line="570" w:lineRule="exact"/>
        <w:ind w:firstLine="641"/>
        <w:jc w:val="both"/>
        <w:rPr>
          <w:rFonts w:ascii="Times New Roman" w:hAnsi="Times New Roman" w:eastAsia="仿宋_GB2312" w:cs="Times New Roman"/>
          <w:snapToGrid w:val="0"/>
          <w:color w:val="000000"/>
          <w:sz w:val="32"/>
          <w:szCs w:val="32"/>
        </w:rPr>
      </w:pPr>
      <w:r>
        <w:rPr>
          <w:rFonts w:hint="eastAsia" w:ascii="Times New Roman" w:hAnsi="Times New Roman" w:eastAsia="仿宋_GB2312" w:cs="Times New Roman"/>
          <w:snapToGrid w:val="0"/>
          <w:color w:val="000000"/>
          <w:sz w:val="32"/>
          <w:szCs w:val="32"/>
        </w:rPr>
        <w:t>（此件公开发布）</w:t>
      </w: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spacing w:before="120" w:line="540" w:lineRule="exact"/>
        <w:ind w:firstLine="182" w:firstLineChars="65"/>
        <w:rPr>
          <w:rFonts w:hint="eastAsia" w:ascii="Times New Roman"/>
          <w:sz w:val="28"/>
          <w:szCs w:val="28"/>
        </w:rPr>
      </w:pPr>
      <w:r>
        <w:rPr>
          <w:rFonts w:hint="eastAsia" w:ascii="仿宋_GB2312" w:hAnsi="仿宋_GB2312" w:eastAsia="仿宋_GB2312" w:cs="仿宋_GB2312"/>
          <w:sz w:val="28"/>
          <w:szCs w:val="28"/>
        </w:rPr>
        <w:pict>
          <v:line id="_x0000_s1030" o:spid="_x0000_s1030" o:spt="20" style="position:absolute;left:0pt;margin-top:36.4pt;height:0pt;width:442.4pt;mso-position-horizontal:center;mso-wrap-distance-left:9pt;mso-wrap-distance-right:9pt;z-index:251662336;mso-width-relative:page;mso-height-relative:page;" filled="f" coordsize="21600,21600" wrapcoords="0 0 21600 0 0 0">
            <v:path arrowok="t"/>
            <v:fill on="f" focussize="0,0"/>
            <v:stroke/>
            <v:imagedata o:title=""/>
            <o:lock v:ext="edit"/>
            <w10:wrap type="tight"/>
          </v:line>
        </w:pict>
      </w:r>
      <w:r>
        <w:rPr>
          <w:rFonts w:hint="eastAsia" w:ascii="仿宋_GB2312" w:hAnsi="仿宋_GB2312" w:eastAsia="仿宋_GB2312" w:cs="仿宋_GB2312"/>
          <w:sz w:val="28"/>
          <w:szCs w:val="28"/>
        </w:rPr>
        <w:pict>
          <v:line id="_x0000_s1031" o:spid="_x0000_s1031" o:spt="20" style="position:absolute;left:0pt;margin-left:0pt;margin-top:7.95pt;height:0pt;width:442.4pt;z-index:-251655168;mso-width-relative:page;mso-height-relative:page;" filled="f" coordsize="21600,21600">
            <v:path arrowok="t"/>
            <v:fill on="f" focussize="0,0"/>
            <v:stroke/>
            <v:imagedata o:title=""/>
            <o:lock v:ext="edit"/>
          </v:line>
        </w:pict>
      </w:r>
      <w:r>
        <w:rPr>
          <w:rFonts w:hint="eastAsia" w:ascii="仿宋_GB2312" w:hAnsi="仿宋_GB2312" w:eastAsia="仿宋_GB2312" w:cs="仿宋_GB2312"/>
          <w:sz w:val="28"/>
          <w:szCs w:val="28"/>
        </w:rPr>
        <w:t>常州市医疗保障局办公室                  2019年12月24日印发</w:t>
      </w:r>
    </w:p>
    <w:p>
      <w:pPr>
        <w:tabs>
          <w:tab w:val="left" w:pos="0"/>
          <w:tab w:val="left" w:pos="7584"/>
        </w:tabs>
        <w:spacing w:line="400" w:lineRule="exact"/>
        <w:ind w:right="1259"/>
        <w:rPr>
          <w:rFonts w:hint="eastAsia" w:ascii="楷体_GB2312" w:eastAsia="楷体_GB2312"/>
        </w:rPr>
      </w:pPr>
      <w:r>
        <w:rPr>
          <w:rFonts w:ascii="楷体_GB2312" w:eastAsia="楷体_GB2312"/>
        </w:rPr>
        <w:br w:type="page"/>
      </w: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p>
    <w:p>
      <w:pPr>
        <w:tabs>
          <w:tab w:val="left" w:pos="0"/>
          <w:tab w:val="left" w:pos="7584"/>
        </w:tabs>
        <w:spacing w:line="400" w:lineRule="exact"/>
        <w:ind w:right="1259"/>
        <w:rPr>
          <w:rFonts w:hint="eastAsia" w:ascii="楷体_GB2312" w:eastAsia="楷体_GB2312"/>
        </w:rPr>
      </w:pPr>
      <w:bookmarkStart w:id="0" w:name="_GoBack"/>
      <w:bookmarkEnd w:id="0"/>
    </w:p>
    <w:p>
      <w:pPr>
        <w:tabs>
          <w:tab w:val="left" w:pos="0"/>
          <w:tab w:val="left" w:pos="7584"/>
        </w:tabs>
        <w:spacing w:line="400" w:lineRule="exact"/>
        <w:ind w:right="1259"/>
        <w:rPr>
          <w:rFonts w:hint="eastAsia" w:ascii="楷体_GB2312" w:eastAsia="楷体_GB2312"/>
        </w:rPr>
      </w:pPr>
    </w:p>
    <w:p>
      <w:pPr>
        <w:tabs>
          <w:tab w:val="left" w:pos="1850"/>
        </w:tabs>
        <w:bidi w:val="0"/>
        <w:jc w:val="left"/>
        <w:rPr>
          <w:rFonts w:hint="eastAsia"/>
          <w:lang w:val="en-US" w:eastAsia="zh-CN"/>
        </w:rPr>
      </w:pPr>
    </w:p>
    <w:tbl>
      <w:tblPr>
        <w:tblStyle w:val="11"/>
        <w:tblpPr w:leftFromText="180" w:rightFromText="180" w:vertAnchor="text" w:horzAnchor="page" w:tblpX="1550" w:tblpY="431"/>
        <w:tblOverlap w:val="never"/>
        <w:tblW w:w="8845" w:type="dxa"/>
        <w:tblInd w:w="0" w:type="dxa"/>
        <w:tblBorders>
          <w:top w:val="single" w:color="000000" w:sz="6" w:space="0"/>
          <w:left w:val="none" w:color="auto" w:sz="0" w:space="0"/>
          <w:bottom w:val="single" w:color="000000" w:sz="6" w:space="0"/>
          <w:right w:val="none" w:color="auto" w:sz="0" w:space="0"/>
          <w:insideH w:val="single" w:color="000000" w:sz="8" w:space="0"/>
          <w:insideV w:val="none" w:color="auto" w:sz="0" w:space="0"/>
        </w:tblBorders>
        <w:tblLayout w:type="fixed"/>
        <w:tblCellMar>
          <w:top w:w="0" w:type="dxa"/>
          <w:left w:w="28" w:type="dxa"/>
          <w:bottom w:w="0" w:type="dxa"/>
          <w:right w:w="28" w:type="dxa"/>
        </w:tblCellMar>
      </w:tblPr>
      <w:tblGrid>
        <w:gridCol w:w="5054"/>
        <w:gridCol w:w="3791"/>
      </w:tblGrid>
      <w:tr>
        <w:tblPrEx>
          <w:tblBorders>
            <w:top w:val="single" w:color="000000" w:sz="6" w:space="0"/>
            <w:left w:val="none" w:color="auto" w:sz="0" w:space="0"/>
            <w:bottom w:val="single" w:color="000000" w:sz="6" w:space="0"/>
            <w:right w:val="none" w:color="auto" w:sz="0" w:space="0"/>
            <w:insideH w:val="single" w:color="000000" w:sz="8" w:space="0"/>
            <w:insideV w:val="none" w:color="auto" w:sz="0" w:space="0"/>
          </w:tblBorders>
          <w:tblLayout w:type="fixed"/>
          <w:tblCellMar>
            <w:top w:w="0" w:type="dxa"/>
            <w:left w:w="28" w:type="dxa"/>
            <w:bottom w:w="0" w:type="dxa"/>
            <w:right w:w="28" w:type="dxa"/>
          </w:tblCellMar>
        </w:tblPrEx>
        <w:trPr>
          <w:trHeight w:val="408" w:hRule="atLeast"/>
        </w:trPr>
        <w:tc>
          <w:tcPr>
            <w:tcW w:w="5054" w:type="dxa"/>
            <w:tcBorders>
              <w:top w:val="single" w:color="000000" w:sz="6" w:space="0"/>
              <w:bottom w:val="single" w:color="000000" w:sz="8" w:space="0"/>
            </w:tcBorders>
            <w:vAlign w:val="center"/>
          </w:tcPr>
          <w:p>
            <w:pPr>
              <w:pStyle w:val="27"/>
              <w:spacing w:line="400" w:lineRule="exact"/>
              <w:rPr>
                <w:rFonts w:ascii="仿宋_GB2312"/>
                <w:sz w:val="28"/>
                <w:szCs w:val="28"/>
              </w:rPr>
            </w:pPr>
            <w:r>
              <w:rPr>
                <w:rFonts w:hint="eastAsia" w:ascii="仿宋_GB2312"/>
                <w:sz w:val="28"/>
                <w:szCs w:val="28"/>
              </w:rPr>
              <w:t>常州国家高新区（新北区）卫生健康局</w:t>
            </w:r>
          </w:p>
        </w:tc>
        <w:tc>
          <w:tcPr>
            <w:tcW w:w="3791" w:type="dxa"/>
            <w:tcBorders>
              <w:top w:val="single" w:color="000000" w:sz="6" w:space="0"/>
              <w:bottom w:val="single" w:color="000000" w:sz="8" w:space="0"/>
            </w:tcBorders>
            <w:vAlign w:val="center"/>
          </w:tcPr>
          <w:p>
            <w:pPr>
              <w:pStyle w:val="19"/>
              <w:tabs>
                <w:tab w:val="left" w:pos="3451"/>
              </w:tabs>
              <w:spacing w:line="400" w:lineRule="exact"/>
              <w:ind w:right="189" w:rightChars="90" w:firstLine="840" w:firstLineChars="300"/>
              <w:jc w:val="both"/>
              <w:rPr>
                <w:rFonts w:ascii="仿宋_GB2312"/>
                <w:sz w:val="28"/>
                <w:szCs w:val="28"/>
              </w:rPr>
            </w:pPr>
            <w:r>
              <w:rPr>
                <w:rFonts w:hint="eastAsia" w:ascii="仿宋_GB2312"/>
                <w:sz w:val="28"/>
                <w:szCs w:val="28"/>
              </w:rPr>
              <w:t>2020年</w:t>
            </w:r>
            <w:r>
              <w:rPr>
                <w:rFonts w:hint="eastAsia" w:ascii="仿宋_GB2312" w:hAnsi="仿宋" w:cs="宋体"/>
                <w:kern w:val="0"/>
                <w:sz w:val="28"/>
                <w:szCs w:val="28"/>
                <w:lang w:val="en-US" w:eastAsia="zh-CN"/>
              </w:rPr>
              <w:t>5</w:t>
            </w:r>
            <w:r>
              <w:rPr>
                <w:rFonts w:hint="eastAsia" w:ascii="仿宋_GB2312"/>
                <w:sz w:val="28"/>
                <w:szCs w:val="28"/>
              </w:rPr>
              <w:t>月</w:t>
            </w:r>
            <w:r>
              <w:rPr>
                <w:rFonts w:hint="eastAsia" w:ascii="仿宋_GB2312" w:hAnsi="仿宋" w:cs="宋体"/>
                <w:kern w:val="0"/>
                <w:sz w:val="28"/>
                <w:szCs w:val="28"/>
                <w:lang w:val="en-US" w:eastAsia="zh-CN"/>
              </w:rPr>
              <w:t>7</w:t>
            </w:r>
            <w:r>
              <w:rPr>
                <w:rFonts w:hint="eastAsia" w:ascii="仿宋_GB2312"/>
                <w:sz w:val="28"/>
                <w:szCs w:val="28"/>
              </w:rPr>
              <w:t>日印发</w:t>
            </w:r>
          </w:p>
        </w:tc>
      </w:tr>
    </w:tbl>
    <w:p>
      <w:pPr>
        <w:tabs>
          <w:tab w:val="left" w:pos="1850"/>
        </w:tabs>
        <w:bidi w:val="0"/>
        <w:jc w:val="left"/>
        <w:rPr>
          <w:rFonts w:hint="eastAsia"/>
          <w:lang w:val="en-US" w:eastAsia="zh-CN"/>
        </w:rPr>
      </w:pPr>
    </w:p>
    <w:sectPr>
      <w:footerReference r:id="rId3" w:type="default"/>
      <w:footerReference r:id="rId4" w:type="even"/>
      <w:pgSz w:w="11907" w:h="16840"/>
      <w:pgMar w:top="2098" w:right="1417" w:bottom="1984" w:left="1531" w:header="851"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w:t>
    </w:r>
    <w:r>
      <w:rPr>
        <w:rFonts w:ascii="宋体" w:hAnsi="宋体"/>
        <w:sz w:val="28"/>
        <w:szCs w:val="28"/>
      </w:rPr>
      <w:fldChar w:fldCharType="end"/>
    </w:r>
    <w:r>
      <w:rPr>
        <w:rStyle w:val="15"/>
        <w:rFonts w:hint="eastAsia" w:ascii="宋体" w:hAnsi="宋体"/>
        <w:sz w:val="28"/>
        <w:szCs w:val="28"/>
      </w:rPr>
      <w:t xml:space="preserve"> —</w:t>
    </w:r>
  </w:p>
  <w:p>
    <w:pPr>
      <w:pStyle w:val="8"/>
      <w:ind w:right="1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2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36C"/>
    <w:rsid w:val="000062C7"/>
    <w:rsid w:val="00014CEB"/>
    <w:rsid w:val="00015D5E"/>
    <w:rsid w:val="000260FD"/>
    <w:rsid w:val="00035A5B"/>
    <w:rsid w:val="00036A93"/>
    <w:rsid w:val="00063AF0"/>
    <w:rsid w:val="000879E1"/>
    <w:rsid w:val="000936B5"/>
    <w:rsid w:val="000A30E9"/>
    <w:rsid w:val="000A5457"/>
    <w:rsid w:val="000C0EED"/>
    <w:rsid w:val="000D3C25"/>
    <w:rsid w:val="000F0A34"/>
    <w:rsid w:val="00105F33"/>
    <w:rsid w:val="00110626"/>
    <w:rsid w:val="00111DB5"/>
    <w:rsid w:val="0012138D"/>
    <w:rsid w:val="001432E9"/>
    <w:rsid w:val="00144048"/>
    <w:rsid w:val="001530AB"/>
    <w:rsid w:val="00155F9E"/>
    <w:rsid w:val="001578C4"/>
    <w:rsid w:val="00190184"/>
    <w:rsid w:val="0019421E"/>
    <w:rsid w:val="00196E69"/>
    <w:rsid w:val="001970D6"/>
    <w:rsid w:val="001B23B0"/>
    <w:rsid w:val="001D1F3D"/>
    <w:rsid w:val="001D51DF"/>
    <w:rsid w:val="001D64FE"/>
    <w:rsid w:val="00200067"/>
    <w:rsid w:val="00203E6D"/>
    <w:rsid w:val="0021229C"/>
    <w:rsid w:val="00217E84"/>
    <w:rsid w:val="00223255"/>
    <w:rsid w:val="00226BEF"/>
    <w:rsid w:val="002306F3"/>
    <w:rsid w:val="00231E1A"/>
    <w:rsid w:val="0023246B"/>
    <w:rsid w:val="00234F3E"/>
    <w:rsid w:val="00241ACA"/>
    <w:rsid w:val="00246BD5"/>
    <w:rsid w:val="00253149"/>
    <w:rsid w:val="00263BD2"/>
    <w:rsid w:val="00276EDA"/>
    <w:rsid w:val="00282334"/>
    <w:rsid w:val="002A1E34"/>
    <w:rsid w:val="002C30BD"/>
    <w:rsid w:val="002C6286"/>
    <w:rsid w:val="002E1AAF"/>
    <w:rsid w:val="002E236C"/>
    <w:rsid w:val="002E4700"/>
    <w:rsid w:val="002F0DD4"/>
    <w:rsid w:val="002F3256"/>
    <w:rsid w:val="002F71FF"/>
    <w:rsid w:val="003072E8"/>
    <w:rsid w:val="00311EEC"/>
    <w:rsid w:val="003204CA"/>
    <w:rsid w:val="0035391E"/>
    <w:rsid w:val="00372F56"/>
    <w:rsid w:val="003753B0"/>
    <w:rsid w:val="003841A1"/>
    <w:rsid w:val="00384D3A"/>
    <w:rsid w:val="00390648"/>
    <w:rsid w:val="003F1075"/>
    <w:rsid w:val="003F5268"/>
    <w:rsid w:val="003F5C77"/>
    <w:rsid w:val="003F6BBD"/>
    <w:rsid w:val="00400E13"/>
    <w:rsid w:val="004040E5"/>
    <w:rsid w:val="00410A57"/>
    <w:rsid w:val="00414A59"/>
    <w:rsid w:val="00426391"/>
    <w:rsid w:val="004313F8"/>
    <w:rsid w:val="0044485E"/>
    <w:rsid w:val="0045221B"/>
    <w:rsid w:val="004863FA"/>
    <w:rsid w:val="004A0D5F"/>
    <w:rsid w:val="004B00D8"/>
    <w:rsid w:val="004C12C1"/>
    <w:rsid w:val="004C24E9"/>
    <w:rsid w:val="004D1748"/>
    <w:rsid w:val="004F55E1"/>
    <w:rsid w:val="004F5822"/>
    <w:rsid w:val="00506F9C"/>
    <w:rsid w:val="00516734"/>
    <w:rsid w:val="00516AD7"/>
    <w:rsid w:val="005274D4"/>
    <w:rsid w:val="00532292"/>
    <w:rsid w:val="00534CBA"/>
    <w:rsid w:val="00547997"/>
    <w:rsid w:val="005541C8"/>
    <w:rsid w:val="00562940"/>
    <w:rsid w:val="00567893"/>
    <w:rsid w:val="0058425B"/>
    <w:rsid w:val="005946B5"/>
    <w:rsid w:val="005B3CCF"/>
    <w:rsid w:val="005C0992"/>
    <w:rsid w:val="005C208F"/>
    <w:rsid w:val="005C33F4"/>
    <w:rsid w:val="005D48B1"/>
    <w:rsid w:val="005F2CE8"/>
    <w:rsid w:val="005F5E9C"/>
    <w:rsid w:val="0060672C"/>
    <w:rsid w:val="00610757"/>
    <w:rsid w:val="006142E3"/>
    <w:rsid w:val="006349A6"/>
    <w:rsid w:val="00640BA3"/>
    <w:rsid w:val="006579E7"/>
    <w:rsid w:val="00670597"/>
    <w:rsid w:val="006718F9"/>
    <w:rsid w:val="00680587"/>
    <w:rsid w:val="00690C71"/>
    <w:rsid w:val="00693C75"/>
    <w:rsid w:val="00697DBC"/>
    <w:rsid w:val="006A5CD2"/>
    <w:rsid w:val="006A61F9"/>
    <w:rsid w:val="006A7B1D"/>
    <w:rsid w:val="006B6709"/>
    <w:rsid w:val="006D01A2"/>
    <w:rsid w:val="006D08AB"/>
    <w:rsid w:val="006F134E"/>
    <w:rsid w:val="006F2F41"/>
    <w:rsid w:val="006F38D9"/>
    <w:rsid w:val="0070116B"/>
    <w:rsid w:val="007052EA"/>
    <w:rsid w:val="007165A3"/>
    <w:rsid w:val="00716DD7"/>
    <w:rsid w:val="00721735"/>
    <w:rsid w:val="00754FAA"/>
    <w:rsid w:val="0075633C"/>
    <w:rsid w:val="007569BD"/>
    <w:rsid w:val="00757163"/>
    <w:rsid w:val="007749CE"/>
    <w:rsid w:val="00782895"/>
    <w:rsid w:val="00792921"/>
    <w:rsid w:val="007960D1"/>
    <w:rsid w:val="007A6866"/>
    <w:rsid w:val="007B097E"/>
    <w:rsid w:val="007C14F4"/>
    <w:rsid w:val="007C2E5B"/>
    <w:rsid w:val="007C6197"/>
    <w:rsid w:val="007C73D3"/>
    <w:rsid w:val="007D4FD6"/>
    <w:rsid w:val="007D58FA"/>
    <w:rsid w:val="007E103E"/>
    <w:rsid w:val="007E4DEC"/>
    <w:rsid w:val="00801F08"/>
    <w:rsid w:val="0080475C"/>
    <w:rsid w:val="00812E92"/>
    <w:rsid w:val="008201C5"/>
    <w:rsid w:val="00826D7D"/>
    <w:rsid w:val="00832264"/>
    <w:rsid w:val="00834C0D"/>
    <w:rsid w:val="0083652D"/>
    <w:rsid w:val="00836E52"/>
    <w:rsid w:val="008531CC"/>
    <w:rsid w:val="008653C9"/>
    <w:rsid w:val="00871750"/>
    <w:rsid w:val="0087504A"/>
    <w:rsid w:val="00883D3C"/>
    <w:rsid w:val="00893D74"/>
    <w:rsid w:val="008962AC"/>
    <w:rsid w:val="008B09FC"/>
    <w:rsid w:val="008B781F"/>
    <w:rsid w:val="008C0AC5"/>
    <w:rsid w:val="008C2347"/>
    <w:rsid w:val="008C52E7"/>
    <w:rsid w:val="008C606A"/>
    <w:rsid w:val="008C79F7"/>
    <w:rsid w:val="008D29F6"/>
    <w:rsid w:val="008D7171"/>
    <w:rsid w:val="008E4595"/>
    <w:rsid w:val="008F6563"/>
    <w:rsid w:val="009008F1"/>
    <w:rsid w:val="00904563"/>
    <w:rsid w:val="00904F1C"/>
    <w:rsid w:val="009070E4"/>
    <w:rsid w:val="00912188"/>
    <w:rsid w:val="009217EA"/>
    <w:rsid w:val="00922267"/>
    <w:rsid w:val="00927ADC"/>
    <w:rsid w:val="00933401"/>
    <w:rsid w:val="009367FF"/>
    <w:rsid w:val="00943EF0"/>
    <w:rsid w:val="00983735"/>
    <w:rsid w:val="009B3324"/>
    <w:rsid w:val="009C4B2E"/>
    <w:rsid w:val="009E6F1C"/>
    <w:rsid w:val="009F067F"/>
    <w:rsid w:val="009F6495"/>
    <w:rsid w:val="00A043C1"/>
    <w:rsid w:val="00A2179E"/>
    <w:rsid w:val="00A335BB"/>
    <w:rsid w:val="00A41C43"/>
    <w:rsid w:val="00A45513"/>
    <w:rsid w:val="00A52592"/>
    <w:rsid w:val="00A65E6F"/>
    <w:rsid w:val="00A77B7B"/>
    <w:rsid w:val="00A86191"/>
    <w:rsid w:val="00AA0B94"/>
    <w:rsid w:val="00AA1A8C"/>
    <w:rsid w:val="00AA49FD"/>
    <w:rsid w:val="00AC064F"/>
    <w:rsid w:val="00AC1CE1"/>
    <w:rsid w:val="00AC3DC8"/>
    <w:rsid w:val="00AD4302"/>
    <w:rsid w:val="00AD7342"/>
    <w:rsid w:val="00AE2EFE"/>
    <w:rsid w:val="00AE43AD"/>
    <w:rsid w:val="00AE7A9C"/>
    <w:rsid w:val="00B23650"/>
    <w:rsid w:val="00B27036"/>
    <w:rsid w:val="00B6097E"/>
    <w:rsid w:val="00B60D74"/>
    <w:rsid w:val="00B6211D"/>
    <w:rsid w:val="00B72823"/>
    <w:rsid w:val="00B87E94"/>
    <w:rsid w:val="00BA14EA"/>
    <w:rsid w:val="00BB41F4"/>
    <w:rsid w:val="00BB4E81"/>
    <w:rsid w:val="00BB4F4E"/>
    <w:rsid w:val="00BB6196"/>
    <w:rsid w:val="00BC2CFC"/>
    <w:rsid w:val="00BC50CC"/>
    <w:rsid w:val="00BD4B86"/>
    <w:rsid w:val="00BD59B6"/>
    <w:rsid w:val="00BD5D81"/>
    <w:rsid w:val="00BE4940"/>
    <w:rsid w:val="00BF22F0"/>
    <w:rsid w:val="00BF4696"/>
    <w:rsid w:val="00C11E83"/>
    <w:rsid w:val="00C145E4"/>
    <w:rsid w:val="00C170F7"/>
    <w:rsid w:val="00C17ECE"/>
    <w:rsid w:val="00C229DE"/>
    <w:rsid w:val="00C22B7E"/>
    <w:rsid w:val="00C2379C"/>
    <w:rsid w:val="00C27DC7"/>
    <w:rsid w:val="00C310C6"/>
    <w:rsid w:val="00C3241F"/>
    <w:rsid w:val="00C55A04"/>
    <w:rsid w:val="00C56B6C"/>
    <w:rsid w:val="00C7144D"/>
    <w:rsid w:val="00C76CB9"/>
    <w:rsid w:val="00C96578"/>
    <w:rsid w:val="00CA05F0"/>
    <w:rsid w:val="00CA42EC"/>
    <w:rsid w:val="00CD2E33"/>
    <w:rsid w:val="00CD792F"/>
    <w:rsid w:val="00CE5209"/>
    <w:rsid w:val="00CE63BF"/>
    <w:rsid w:val="00CE6DEB"/>
    <w:rsid w:val="00CF4115"/>
    <w:rsid w:val="00D02EBF"/>
    <w:rsid w:val="00D05237"/>
    <w:rsid w:val="00D07772"/>
    <w:rsid w:val="00D22FDF"/>
    <w:rsid w:val="00D25EEE"/>
    <w:rsid w:val="00D30AC7"/>
    <w:rsid w:val="00D421E6"/>
    <w:rsid w:val="00D454E9"/>
    <w:rsid w:val="00D52B77"/>
    <w:rsid w:val="00D66271"/>
    <w:rsid w:val="00D779DA"/>
    <w:rsid w:val="00D804DC"/>
    <w:rsid w:val="00D84F1D"/>
    <w:rsid w:val="00D86ACB"/>
    <w:rsid w:val="00DA171E"/>
    <w:rsid w:val="00DA43B8"/>
    <w:rsid w:val="00DE1CD8"/>
    <w:rsid w:val="00DE75C3"/>
    <w:rsid w:val="00E0443A"/>
    <w:rsid w:val="00E0697B"/>
    <w:rsid w:val="00E1151C"/>
    <w:rsid w:val="00E1530C"/>
    <w:rsid w:val="00E22B12"/>
    <w:rsid w:val="00E53FC2"/>
    <w:rsid w:val="00E572DF"/>
    <w:rsid w:val="00E6794A"/>
    <w:rsid w:val="00E71F3A"/>
    <w:rsid w:val="00E81590"/>
    <w:rsid w:val="00EA6A01"/>
    <w:rsid w:val="00EC19B1"/>
    <w:rsid w:val="00EC60BD"/>
    <w:rsid w:val="00ED2A73"/>
    <w:rsid w:val="00EE3A03"/>
    <w:rsid w:val="00EE4B27"/>
    <w:rsid w:val="00EE6B31"/>
    <w:rsid w:val="00EF6263"/>
    <w:rsid w:val="00F06B74"/>
    <w:rsid w:val="00F22956"/>
    <w:rsid w:val="00F30F86"/>
    <w:rsid w:val="00F349A8"/>
    <w:rsid w:val="00F4523C"/>
    <w:rsid w:val="00F45CF7"/>
    <w:rsid w:val="00F45FEE"/>
    <w:rsid w:val="00F5265E"/>
    <w:rsid w:val="00F56539"/>
    <w:rsid w:val="00F62F73"/>
    <w:rsid w:val="00F63848"/>
    <w:rsid w:val="00F65649"/>
    <w:rsid w:val="00F65BC9"/>
    <w:rsid w:val="00F74D4E"/>
    <w:rsid w:val="00F86065"/>
    <w:rsid w:val="00F92785"/>
    <w:rsid w:val="00F97C7B"/>
    <w:rsid w:val="00FC15B2"/>
    <w:rsid w:val="00FC565D"/>
    <w:rsid w:val="00FC67E4"/>
    <w:rsid w:val="00FC6E46"/>
    <w:rsid w:val="00FF3480"/>
    <w:rsid w:val="03803622"/>
    <w:rsid w:val="05CD1F60"/>
    <w:rsid w:val="0FB90CC5"/>
    <w:rsid w:val="16F824C2"/>
    <w:rsid w:val="1B2552DC"/>
    <w:rsid w:val="20B45356"/>
    <w:rsid w:val="21BE4DE4"/>
    <w:rsid w:val="2E275280"/>
    <w:rsid w:val="430200B6"/>
    <w:rsid w:val="4C9D076A"/>
    <w:rsid w:val="53996229"/>
    <w:rsid w:val="6342236A"/>
    <w:rsid w:val="6A97422F"/>
    <w:rsid w:val="6FC17F37"/>
    <w:rsid w:val="70FC2AE5"/>
    <w:rsid w:val="7744435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6"/>
    <w:qFormat/>
    <w:uiPriority w:val="0"/>
    <w:pPr>
      <w:jc w:val="center"/>
    </w:pPr>
    <w:rPr>
      <w:rFonts w:eastAsia="微软简标宋"/>
      <w:sz w:val="44"/>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jc w:val="left"/>
    </w:pPr>
    <w:rPr>
      <w:rFonts w:cs="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customStyle="1" w:styleId="16">
    <w:name w:val="正文文本 Char"/>
    <w:basedOn w:val="13"/>
    <w:link w:val="3"/>
    <w:qFormat/>
    <w:uiPriority w:val="0"/>
    <w:rPr>
      <w:rFonts w:eastAsia="微软简标宋"/>
      <w:kern w:val="2"/>
      <w:sz w:val="44"/>
      <w:szCs w:val="24"/>
    </w:rPr>
  </w:style>
  <w:style w:type="character" w:customStyle="1" w:styleId="17">
    <w:name w:val="标题 1 Char"/>
    <w:basedOn w:val="13"/>
    <w:link w:val="2"/>
    <w:qFormat/>
    <w:uiPriority w:val="0"/>
    <w:rPr>
      <w:rFonts w:ascii="Calibri" w:hAnsi="Calibri" w:eastAsia="宋体"/>
      <w:b/>
      <w:bCs/>
      <w:kern w:val="44"/>
      <w:sz w:val="44"/>
      <w:szCs w:val="44"/>
      <w:lang w:val="en-US" w:eastAsia="zh-CN" w:bidi="ar-SA"/>
    </w:rPr>
  </w:style>
  <w:style w:type="character" w:customStyle="1" w:styleId="18">
    <w:name w:val="页脚 Char"/>
    <w:link w:val="8"/>
    <w:locked/>
    <w:uiPriority w:val="0"/>
    <w:rPr>
      <w:rFonts w:eastAsia="宋体"/>
      <w:kern w:val="2"/>
      <w:sz w:val="18"/>
      <w:szCs w:val="18"/>
      <w:lang w:val="en-US" w:eastAsia="zh-CN" w:bidi="ar-SA"/>
    </w:rPr>
  </w:style>
  <w:style w:type="paragraph" w:customStyle="1" w:styleId="19">
    <w:name w:val="印发时间"/>
    <w:basedOn w:val="1"/>
    <w:qFormat/>
    <w:uiPriority w:val="0"/>
    <w:pPr>
      <w:jc w:val="right"/>
    </w:pPr>
    <w:rPr>
      <w:rFonts w:eastAsia="仿宋_GB2312"/>
      <w:sz w:val="32"/>
      <w:szCs w:val="20"/>
    </w:rPr>
  </w:style>
  <w:style w:type="paragraph" w:customStyle="1" w:styleId="20">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1">
    <w:name w:val="xl27"/>
    <w:basedOn w:val="1"/>
    <w:qFormat/>
    <w:uiPriority w:val="0"/>
    <w:pPr>
      <w:widowControl/>
      <w:spacing w:before="100" w:beforeAutospacing="1" w:after="100" w:afterAutospacing="1"/>
      <w:jc w:val="center"/>
      <w:textAlignment w:val="center"/>
    </w:pPr>
    <w:rPr>
      <w:rFonts w:hint="eastAsia" w:ascii="黑体" w:hAnsi="宋体" w:eastAsia="黑体"/>
      <w:kern w:val="0"/>
      <w:sz w:val="44"/>
      <w:szCs w:val="44"/>
    </w:rPr>
  </w:style>
  <w:style w:type="paragraph" w:customStyle="1" w:styleId="22">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3">
    <w:name w:val="列出段落1"/>
    <w:basedOn w:val="1"/>
    <w:qFormat/>
    <w:uiPriority w:val="0"/>
    <w:pPr>
      <w:ind w:firstLine="420" w:firstLineChars="200"/>
    </w:pPr>
  </w:style>
  <w:style w:type="paragraph" w:customStyle="1" w:styleId="24">
    <w:name w:val="主题词"/>
    <w:basedOn w:val="1"/>
    <w:qFormat/>
    <w:uiPriority w:val="0"/>
    <w:rPr>
      <w:rFonts w:eastAsia="方正小标宋简体"/>
      <w:b/>
      <w:sz w:val="32"/>
      <w:szCs w:val="20"/>
    </w:rPr>
  </w:style>
  <w:style w:type="paragraph" w:customStyle="1" w:styleId="25">
    <w:name w:val="Char"/>
    <w:basedOn w:val="1"/>
    <w:qFormat/>
    <w:uiPriority w:val="0"/>
    <w:pPr>
      <w:tabs>
        <w:tab w:val="left" w:pos="360"/>
      </w:tabs>
    </w:pPr>
    <w:rPr>
      <w:sz w:val="24"/>
    </w:rPr>
  </w:style>
  <w:style w:type="paragraph" w:customStyle="1" w:styleId="26">
    <w:name w:val="发文机关标识"/>
    <w:basedOn w:val="1"/>
    <w:qFormat/>
    <w:uiPriority w:val="0"/>
    <w:pPr>
      <w:spacing w:line="1400" w:lineRule="exact"/>
      <w:jc w:val="distribute"/>
    </w:pPr>
    <w:rPr>
      <w:rFonts w:eastAsia="方正小标宋简体"/>
      <w:color w:val="FF0000"/>
      <w:spacing w:val="-60"/>
      <w:w w:val="53"/>
      <w:sz w:val="126"/>
      <w:szCs w:val="20"/>
    </w:rPr>
  </w:style>
  <w:style w:type="paragraph" w:customStyle="1" w:styleId="27">
    <w:name w:val="印发机关"/>
    <w:basedOn w:val="1"/>
    <w:qFormat/>
    <w:uiPriority w:val="0"/>
    <w:rPr>
      <w:rFonts w:eastAsia="仿宋_GB2312"/>
      <w:sz w:val="32"/>
      <w:szCs w:val="20"/>
    </w:rPr>
  </w:style>
  <w:style w:type="paragraph" w:styleId="2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7</Pages>
  <Words>365</Words>
  <Characters>2084</Characters>
  <Lines>17</Lines>
  <Paragraphs>4</Paragraphs>
  <TotalTime>1</TotalTime>
  <ScaleCrop>false</ScaleCrop>
  <LinksUpToDate>false</LinksUpToDate>
  <CharactersWithSpaces>2445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2020-02-21T08:01:00Z</dcterms:created>
  <dc:creator>微软用户</dc:creator>
  <cp:lastModifiedBy>Administrator</cp:lastModifiedBy>
  <cp:lastPrinted>2020-05-07T03:17:00Z</cp:lastPrinted>
  <dcterms:modified xsi:type="dcterms:W3CDTF">2020-05-07T03:28:06Z</dcterms:modified>
  <dc:title>常新社综〔2012〕12号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