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A9" w:rsidRDefault="00F32CA9" w:rsidP="00F32CA9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F32CA9" w:rsidRDefault="00F32CA9" w:rsidP="00F32CA9">
      <w:pPr>
        <w:spacing w:line="360" w:lineRule="exact"/>
        <w:ind w:firstLineChars="0" w:firstLine="0"/>
        <w:rPr>
          <w:rFonts w:ascii="黑体" w:eastAsia="黑体" w:hAnsi="黑体" w:cs="黑体"/>
          <w:szCs w:val="32"/>
        </w:rPr>
      </w:pPr>
    </w:p>
    <w:p w:rsidR="00F32CA9" w:rsidRDefault="00F32CA9" w:rsidP="00F32CA9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新北生态织染工业园印染行业整治提升评分标准</w:t>
      </w:r>
    </w:p>
    <w:p w:rsidR="00F32CA9" w:rsidRDefault="00F32CA9" w:rsidP="00F32CA9">
      <w:pPr>
        <w:spacing w:line="400" w:lineRule="exact"/>
        <w:ind w:firstLineChars="0" w:firstLine="0"/>
        <w:jc w:val="center"/>
        <w:outlineLvl w:val="0"/>
        <w:rPr>
          <w:rFonts w:ascii="黑体" w:eastAsia="黑体" w:hAnsi="黑体"/>
          <w:sz w:val="44"/>
          <w:szCs w:val="44"/>
        </w:rPr>
      </w:pPr>
    </w:p>
    <w:p w:rsidR="00F32CA9" w:rsidRDefault="00F32CA9" w:rsidP="00F32CA9">
      <w:pPr>
        <w:spacing w:line="520" w:lineRule="exact"/>
        <w:ind w:firstLine="640"/>
        <w:outlineLvl w:val="2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一、评价对象</w:t>
      </w:r>
    </w:p>
    <w:p w:rsidR="00F32CA9" w:rsidRDefault="00F32CA9" w:rsidP="00F32CA9">
      <w:pPr>
        <w:spacing w:line="520" w:lineRule="exact"/>
        <w:ind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新北生态织染工业园内所有印染类企业。</w:t>
      </w:r>
    </w:p>
    <w:p w:rsidR="00F32CA9" w:rsidRDefault="00F32CA9" w:rsidP="00F32CA9">
      <w:pPr>
        <w:spacing w:line="520" w:lineRule="exact"/>
        <w:ind w:firstLine="640"/>
        <w:outlineLvl w:val="2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二、综合评价指标体系</w:t>
      </w:r>
    </w:p>
    <w:p w:rsidR="00F32CA9" w:rsidRDefault="00F32CA9" w:rsidP="00F32CA9">
      <w:pPr>
        <w:spacing w:line="520" w:lineRule="exact"/>
        <w:ind w:firstLine="640"/>
        <w:rPr>
          <w:rFonts w:ascii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主要分综合效益、工艺装备、科技创新、环境治理、安全生产五大类，19项指标。总计分值为100分。</w:t>
      </w:r>
    </w:p>
    <w:p w:rsidR="00F32CA9" w:rsidRDefault="00F32CA9" w:rsidP="00F32CA9">
      <w:pPr>
        <w:spacing w:line="440" w:lineRule="exact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新北生态织染工业园印染行业整治提升评分标准</w:t>
      </w: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3"/>
        <w:gridCol w:w="1265"/>
        <w:gridCol w:w="1111"/>
        <w:gridCol w:w="590"/>
        <w:gridCol w:w="890"/>
        <w:gridCol w:w="5082"/>
        <w:gridCol w:w="4162"/>
        <w:gridCol w:w="1076"/>
      </w:tblGrid>
      <w:tr w:rsidR="00F32CA9" w:rsidTr="00516AA9">
        <w:trPr>
          <w:trHeight w:val="454"/>
          <w:tblHeader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sz w:val="24"/>
                <w:szCs w:val="24"/>
              </w:rPr>
              <w:t>指标名称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sz w:val="24"/>
                <w:szCs w:val="24"/>
              </w:rPr>
              <w:t>内  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sz w:val="24"/>
                <w:szCs w:val="24"/>
              </w:rPr>
              <w:t>分值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sz w:val="24"/>
                <w:szCs w:val="24"/>
              </w:rPr>
              <w:t>改造提升标准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sz w:val="24"/>
                <w:szCs w:val="24"/>
              </w:rPr>
              <w:t>评分细则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sz w:val="24"/>
                <w:szCs w:val="24"/>
              </w:rPr>
              <w:t>评分单位</w:t>
            </w: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综合效益类（30分）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亩均入库税收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亩均入库税收达到15万元/亩以上。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每少1万元扣2分，扣完为止。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区经发局</w:t>
            </w: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bookmarkStart w:id="0" w:name="_Hlk50034862"/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亩均纳税销售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亩均纳税销售达到400万元/亩以上。</w:t>
            </w:r>
          </w:p>
        </w:tc>
        <w:tc>
          <w:tcPr>
            <w:tcW w:w="1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每少10万元扣1分，扣完为止。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bookmarkEnd w:id="0"/>
      <w:tr w:rsidR="00F32CA9" w:rsidTr="00516AA9">
        <w:trPr>
          <w:trHeight w:val="454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工艺装备类（15分）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淘汰落后产能设备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2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列入《关于严格太湖流域改建印染项目环境准入要求的通知》、《产业结构调整指导目录（2019年本）》等政策文件中相关淘汰、禁止设备工艺的设备全部实施淘汰。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2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企业内全面淘汰文件中淘汰、禁止设备工艺的设备的，得5分；反之，得0分。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2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未达到国家、省规定能效限定值及能效等级的高耗能落后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机电设备（产品）全部实施淘汰，排水满足《关于严格太湖流域改建印染项目环境准入要求的通知》中单位产品排水量要求。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2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企业内全面淘汰未达到标准要求的高耗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能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落后机电设备（产品），排水满足单位产品排水量要求的，得5分；反之，得0分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工艺装备类（15分）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0"/>
                <w:sz w:val="24"/>
                <w:szCs w:val="24"/>
              </w:rPr>
              <w:t>装备智能化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改造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实施染料助剂自动称量配料输送、余热回用系统建设，落实设备端“水电汽气”实时三级节能控制管理措施。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企业完成染料助剂自动称量配料输送、余热回用系统、设备端“水电汽气”实时三级节能控制管理措施的，每完成一项得2分，最高得5分。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区经发局</w:t>
            </w: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科技创新类（10分）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专利申请情况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通过科技研发获得发明专利。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有一项发明专利得1分，最高得5分。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区科技局</w:t>
            </w: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高新企业认证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获得高新技术企业认证的。</w:t>
            </w:r>
          </w:p>
        </w:tc>
        <w:tc>
          <w:tcPr>
            <w:tcW w:w="1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企业获得高新技术企业认证，得5分；反之，得0分。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环境治理类</w:t>
            </w:r>
          </w:p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（25分）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做好废气治理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满足《关于严格太湖流域改建印染项目环境准入要求的通知》中废气污染防治措施要求。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企业废气污染防治措施满足《关于严格太湖流域改建印染项目环境准入要求的通知》要求，得2分；反之，得0分。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区生态</w:t>
            </w:r>
          </w:p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环境局</w:t>
            </w: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工艺</w:t>
            </w:r>
          </w:p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废气</w:t>
            </w:r>
          </w:p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治理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定型机废气规范化处置（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机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设施），并安装在线监控系统，定型机废气总颗粒物、油烟去除率90以上（2分）；</w:t>
            </w:r>
          </w:p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印花机及印花机烘箱实施密闭或局部空间密闭，收集废气经处理后达标排放（2分）；</w:t>
            </w:r>
          </w:p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染化料存储配料间实现清洁化改造，物料自动化密闭输送（1分）。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企业对应完成各分项工艺废气治理要求，得相应分值，反之，得0分。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污水站废气</w:t>
            </w:r>
          </w:p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治理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原水池、污水调节池、水解酸化池、厌氧池、污泥池等恶臭产生单元落实固定式恶臭隔离系统；泵房集水井、污泥脱水机、污泥堆放场等单元落实局部活动式恶臭隔离系统（1分）；</w:t>
            </w:r>
          </w:p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污水处理系统的废气经收集处理后高空达标排放（2分）。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企业对应完成各分项污水站废气治理要求，得相应分值，反之，得0分。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环境治理类</w:t>
            </w:r>
          </w:p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（25分）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做好废水处理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0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满足《关于严格太湖流域改建印染项目环境准入要求的通知》中废水污染防治措施要求（2分）；</w:t>
            </w:r>
          </w:p>
          <w:p w:rsidR="00F32CA9" w:rsidRDefault="00F32CA9" w:rsidP="00516AA9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工艺、公辅工程、场地冲洗、生活废水以及初期雨水分质分流，废水纳管排放全部稳定达到国家规定排放标准（1分）；</w:t>
            </w:r>
          </w:p>
          <w:p w:rsidR="00F32CA9" w:rsidRDefault="00F32CA9" w:rsidP="00516AA9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污水池自动化控制加料投料系统全覆盖，废水排放在线实时监测（1分）；</w:t>
            </w:r>
          </w:p>
          <w:p w:rsidR="00F32CA9" w:rsidRDefault="00F32CA9" w:rsidP="00516AA9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中水回用率达到40%以上（2分）。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企业对应完成各分项废水治理要求，得相应分值，反之，得0分。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区生态</w:t>
            </w:r>
          </w:p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环境局</w:t>
            </w: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做好固废处置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满足《关于严格太湖流域改建印染项目环境准入要求的通知》中固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废污染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防治措施要求（2分）；</w:t>
            </w:r>
          </w:p>
          <w:p w:rsidR="00F32CA9" w:rsidRDefault="00F32CA9" w:rsidP="00516AA9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印染污泥堆放落实防散、防流失、防渗漏措施（1分）；</w:t>
            </w:r>
          </w:p>
          <w:p w:rsidR="00F32CA9" w:rsidRDefault="00F32CA9" w:rsidP="00516AA9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危废、固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废委托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有资质单位规范处置，危险废物的产生、贮存、去向、处置等全过程管理台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账及时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登记，按照《危险废物转移联单管理办法》有关规定进行合法转移（1分）。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企业对应完成各分项固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废治理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要求，得相应分值；反之，得0分。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环保信用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等级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Pr="00462DF6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仿宋_GB2312" w:hint="eastAsia"/>
                <w:spacing w:val="-10"/>
                <w:sz w:val="24"/>
                <w:szCs w:val="24"/>
              </w:rPr>
            </w:pPr>
            <w:r w:rsidRPr="00462DF6">
              <w:rPr>
                <w:rFonts w:ascii="宋体" w:eastAsia="宋体" w:hAnsi="宋体" w:cs="仿宋_GB2312" w:hint="eastAsia"/>
                <w:bCs/>
                <w:spacing w:val="-10"/>
                <w:sz w:val="24"/>
                <w:szCs w:val="24"/>
              </w:rPr>
              <w:t>——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pacing w:val="-1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0"/>
                <w:sz w:val="24"/>
                <w:szCs w:val="24"/>
              </w:rPr>
              <w:t>企业环保信用评价结果为绿等级的，得3分；</w:t>
            </w:r>
          </w:p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评价结果为蓝等级的，得1分；</w:t>
            </w:r>
          </w:p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评价结果为黄、红、黑等级的，得0分。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环境违法情况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462DF6">
              <w:rPr>
                <w:rFonts w:ascii="宋体" w:eastAsia="宋体" w:hAnsi="宋体" w:cs="仿宋_GB2312" w:hint="eastAsia"/>
                <w:bCs/>
                <w:spacing w:val="-10"/>
                <w:sz w:val="24"/>
                <w:szCs w:val="24"/>
              </w:rPr>
              <w:t>——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企业受到环境违法处罚的，有1次扣1分，扣完为止。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安全生产类（20分）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安全评价与应急</w:t>
            </w:r>
          </w:p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救援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严格落实《建设项目安全设施“三同时”监督管理办法》要求，编制安全评价审查报告（2分）；</w:t>
            </w:r>
          </w:p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按照《生产安全事故应急条例》要求，编制安全生产应急救援预案并编制有限空间专项预案，配备有限空间应急救援器材（2分）。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企业对应完成各分项安全评价审查、安全生产应急救援预案要求，得相应分值，反之，得0分。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区应急</w:t>
            </w:r>
          </w:p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管理局</w:t>
            </w: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安全生产类（20分）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安全生产标准化</w:t>
            </w:r>
          </w:p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创建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安全生产标准化三级达标。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企业安全生产标准化三级达标，得2分；反之，得0分。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区应急</w:t>
            </w:r>
          </w:p>
          <w:p w:rsidR="00F32CA9" w:rsidRDefault="00F32CA9" w:rsidP="00516AA9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管理局</w:t>
            </w: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安全管理建设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实现内部安全风险分级管控和隐患排查治理双重预防控制（不含职业病防治）机制建设，必须对有限空间进行辨识并进行作业审批制度（2分）；</w:t>
            </w:r>
          </w:p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开展印染行业安全生产责任保险（2分）。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企业对应完成各分项安全管理要求，得相应分值；反之，得0分。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加强消防安全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面积1000平方米以上印染车间、仓库必须按要求设置火灾自动报警系统和自动喷水灭火系统（2分）；</w:t>
            </w:r>
          </w:p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厂区内无违章建筑占用防火间距和消防车道（4分）。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企业对应完成各分项消防安全要求，得相应分值；反之，得0分。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2"/>
                <w:sz w:val="24"/>
                <w:szCs w:val="24"/>
              </w:rPr>
              <w:t>加强</w:t>
            </w:r>
            <w:proofErr w:type="gramStart"/>
            <w:r>
              <w:rPr>
                <w:rFonts w:ascii="仿宋_GB2312" w:hAnsi="仿宋_GB2312" w:cs="仿宋_GB2312" w:hint="eastAsia"/>
                <w:spacing w:val="-12"/>
                <w:sz w:val="24"/>
                <w:szCs w:val="24"/>
              </w:rPr>
              <w:t>危化品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管理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规范设置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危化品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仓库（2分）。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企业对应完成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危化品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仓库设置要求，得相应分值；反之，得0分。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安全违法情况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462DF6">
              <w:rPr>
                <w:rFonts w:ascii="宋体" w:eastAsia="宋体" w:hAnsi="宋体" w:cs="仿宋_GB2312" w:hint="eastAsia"/>
                <w:bCs/>
                <w:spacing w:val="-10"/>
                <w:sz w:val="24"/>
                <w:szCs w:val="24"/>
              </w:rPr>
              <w:t>——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企业受到安全违法处罚的，有1次扣1分，扣完为止。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32CA9" w:rsidTr="00516AA9">
        <w:trPr>
          <w:trHeight w:val="454"/>
          <w:jc w:val="center"/>
        </w:trPr>
        <w:tc>
          <w:tcPr>
            <w:tcW w:w="9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100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Pr="00462DF6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 w:rsidRPr="00462DF6">
              <w:rPr>
                <w:rFonts w:ascii="宋体" w:eastAsia="宋体" w:hAnsi="宋体" w:cs="仿宋_GB2312" w:hint="eastAsia"/>
                <w:bCs/>
                <w:spacing w:val="-10"/>
                <w:sz w:val="24"/>
                <w:szCs w:val="24"/>
              </w:rPr>
              <w:t>——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 w:rsidRPr="00462DF6">
              <w:rPr>
                <w:rFonts w:ascii="宋体" w:eastAsia="宋体" w:hAnsi="宋体" w:cs="仿宋_GB2312" w:hint="eastAsia"/>
                <w:bCs/>
                <w:spacing w:val="-10"/>
                <w:sz w:val="24"/>
                <w:szCs w:val="24"/>
              </w:rPr>
              <w:t>——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9" w:rsidRDefault="00F32CA9" w:rsidP="00516AA9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 w:rsidRPr="00462DF6">
              <w:rPr>
                <w:rFonts w:ascii="宋体" w:eastAsia="宋体" w:hAnsi="宋体" w:cs="仿宋_GB2312" w:hint="eastAsia"/>
                <w:bCs/>
                <w:spacing w:val="-10"/>
                <w:sz w:val="24"/>
                <w:szCs w:val="24"/>
              </w:rPr>
              <w:t>——</w:t>
            </w:r>
          </w:p>
        </w:tc>
      </w:tr>
    </w:tbl>
    <w:p w:rsidR="003608BA" w:rsidRDefault="00F32CA9" w:rsidP="00F32CA9">
      <w:pPr>
        <w:ind w:firstLine="480"/>
      </w:pPr>
      <w:r>
        <w:rPr>
          <w:rFonts w:ascii="仿宋_GB2312" w:hAnsi="仿宋_GB2312" w:cs="仿宋_GB2312" w:hint="eastAsia"/>
          <w:bCs/>
          <w:sz w:val="24"/>
          <w:szCs w:val="24"/>
        </w:rPr>
        <w:t>注：</w:t>
      </w:r>
      <w:proofErr w:type="gramStart"/>
      <w:r>
        <w:rPr>
          <w:rFonts w:ascii="仿宋_GB2312" w:hAnsi="仿宋_GB2312" w:cs="仿宋_GB2312" w:hint="eastAsia"/>
          <w:bCs/>
          <w:sz w:val="24"/>
          <w:szCs w:val="24"/>
        </w:rPr>
        <w:t>“*”项属2022年12月前</w:t>
      </w:r>
      <w:proofErr w:type="gramEnd"/>
      <w:r>
        <w:rPr>
          <w:rFonts w:ascii="仿宋_GB2312" w:hAnsi="仿宋_GB2312" w:cs="仿宋_GB2312" w:hint="eastAsia"/>
          <w:bCs/>
          <w:sz w:val="24"/>
          <w:szCs w:val="24"/>
        </w:rPr>
        <w:t>必须完成项。</w:t>
      </w:r>
    </w:p>
    <w:sectPr w:rsidR="003608BA" w:rsidSect="00F32CA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CA9"/>
    <w:rsid w:val="003608BA"/>
    <w:rsid w:val="00F3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A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2021-01-29T06:47:00Z</dcterms:created>
  <dcterms:modified xsi:type="dcterms:W3CDTF">2021-01-29T06:47:00Z</dcterms:modified>
</cp:coreProperties>
</file>