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C7" w:rsidRDefault="00C97DC7" w:rsidP="00C97DC7">
      <w:pPr>
        <w:spacing w:line="560" w:lineRule="exact"/>
        <w:ind w:firstLineChars="0" w:firstLine="0"/>
        <w:jc w:val="left"/>
        <w:rPr>
          <w:rFonts w:ascii="黑体" w:eastAsia="黑体" w:hAnsi="黑体" w:hint="eastAsia"/>
        </w:rPr>
      </w:pPr>
      <w:r>
        <w:rPr>
          <w:rFonts w:ascii="黑体" w:eastAsia="黑体" w:hAnsi="黑体" w:hint="eastAsia"/>
        </w:rPr>
        <w:t>附件</w:t>
      </w:r>
    </w:p>
    <w:p w:rsidR="00C97DC7" w:rsidRDefault="00C97DC7" w:rsidP="00C97DC7">
      <w:pPr>
        <w:spacing w:line="560" w:lineRule="exact"/>
        <w:ind w:firstLineChars="0" w:firstLine="0"/>
        <w:jc w:val="left"/>
        <w:rPr>
          <w:rFonts w:ascii="黑体" w:eastAsia="黑体" w:hAnsi="黑体" w:hint="eastAsia"/>
        </w:rPr>
      </w:pPr>
    </w:p>
    <w:p w:rsidR="00C97DC7" w:rsidRDefault="00C97DC7" w:rsidP="00C97DC7">
      <w:pPr>
        <w:pStyle w:val="a5"/>
        <w:rPr>
          <w:rFonts w:ascii="黑体" w:eastAsia="黑体" w:hint="eastAsia"/>
          <w:bCs/>
          <w:szCs w:val="32"/>
        </w:rPr>
      </w:pPr>
      <w:r>
        <w:rPr>
          <w:rFonts w:hint="eastAsia"/>
          <w:sz w:val="42"/>
          <w:szCs w:val="42"/>
        </w:rPr>
        <w:t>常州</w:t>
      </w:r>
      <w:r>
        <w:rPr>
          <w:sz w:val="42"/>
          <w:szCs w:val="42"/>
        </w:rPr>
        <w:t>国家高新区（</w:t>
      </w:r>
      <w:r>
        <w:rPr>
          <w:rFonts w:hint="eastAsia"/>
          <w:sz w:val="42"/>
          <w:szCs w:val="42"/>
        </w:rPr>
        <w:t>新北区</w:t>
      </w:r>
      <w:r>
        <w:rPr>
          <w:sz w:val="42"/>
          <w:szCs w:val="42"/>
        </w:rPr>
        <w:t>）</w:t>
      </w:r>
      <w:r>
        <w:rPr>
          <w:rFonts w:hint="eastAsia"/>
          <w:sz w:val="42"/>
          <w:szCs w:val="42"/>
        </w:rPr>
        <w:t>区级项目支出绩效评价管理暂行办法</w:t>
      </w:r>
    </w:p>
    <w:p w:rsidR="00C97DC7" w:rsidRDefault="00C97DC7" w:rsidP="00C97DC7">
      <w:pPr>
        <w:spacing w:beforeLines="50" w:afterLines="50" w:line="560" w:lineRule="exact"/>
        <w:ind w:firstLineChars="0" w:firstLine="0"/>
        <w:jc w:val="center"/>
        <w:rPr>
          <w:rFonts w:ascii="黑体" w:eastAsia="黑体"/>
          <w:bCs/>
          <w:szCs w:val="32"/>
        </w:rPr>
      </w:pPr>
      <w:r>
        <w:rPr>
          <w:rFonts w:ascii="黑体" w:eastAsia="黑体" w:hint="eastAsia"/>
          <w:bCs/>
          <w:szCs w:val="32"/>
        </w:rPr>
        <w:t>第一章  总则</w:t>
      </w:r>
    </w:p>
    <w:p w:rsidR="00C97DC7" w:rsidRDefault="00C97DC7" w:rsidP="00C97DC7">
      <w:pPr>
        <w:spacing w:line="560" w:lineRule="exact"/>
        <w:ind w:firstLine="640"/>
        <w:rPr>
          <w:bCs/>
          <w:szCs w:val="32"/>
        </w:rPr>
      </w:pPr>
      <w:r>
        <w:rPr>
          <w:rFonts w:hint="eastAsia"/>
          <w:bCs/>
          <w:szCs w:val="32"/>
        </w:rPr>
        <w:t>第一条</w:t>
      </w:r>
      <w:r>
        <w:rPr>
          <w:rFonts w:hint="eastAsia"/>
          <w:bCs/>
          <w:szCs w:val="32"/>
        </w:rPr>
        <w:t xml:space="preserve">  </w:t>
      </w:r>
      <w:r>
        <w:rPr>
          <w:rFonts w:hint="eastAsia"/>
          <w:bCs/>
          <w:szCs w:val="32"/>
        </w:rPr>
        <w:t>为全面深化预算绩效管理改革，建立科学、合理的项目支出绩效评价管理体系，进一步提高区级项目支出绩效评价工作质量，推进绩效评价结果应用，根据中央、省、市、</w:t>
      </w:r>
      <w:r>
        <w:rPr>
          <w:bCs/>
          <w:szCs w:val="32"/>
        </w:rPr>
        <w:t>区</w:t>
      </w:r>
      <w:r>
        <w:rPr>
          <w:rFonts w:hint="eastAsia"/>
          <w:bCs/>
          <w:szCs w:val="32"/>
        </w:rPr>
        <w:t>全面实施预算绩效管理的意见精神和《</w:t>
      </w:r>
      <w:hyperlink r:id="rId4" w:tgtFrame="_blank" w:history="1">
        <w:r>
          <w:rPr>
            <w:rFonts w:hint="eastAsia"/>
            <w:bCs/>
            <w:szCs w:val="32"/>
          </w:rPr>
          <w:t>中华人民共和国预算法</w:t>
        </w:r>
      </w:hyperlink>
      <w:r>
        <w:rPr>
          <w:rFonts w:hint="eastAsia"/>
          <w:bCs/>
          <w:szCs w:val="32"/>
        </w:rPr>
        <w:t>》、《</w:t>
      </w:r>
      <w:hyperlink r:id="rId5" w:tgtFrame="_blank" w:history="1">
        <w:r>
          <w:rPr>
            <w:rFonts w:hint="eastAsia"/>
            <w:bCs/>
            <w:szCs w:val="32"/>
          </w:rPr>
          <w:t>中华人民共和国预算法实施条例</w:t>
        </w:r>
      </w:hyperlink>
      <w:r>
        <w:rPr>
          <w:rFonts w:hint="eastAsia"/>
          <w:bCs/>
          <w:szCs w:val="32"/>
        </w:rPr>
        <w:t>》、《财政部关于印发〈项目支出绩效评价管理办法〉的通知》（财预〔</w:t>
      </w:r>
      <w:r>
        <w:rPr>
          <w:bCs/>
          <w:szCs w:val="32"/>
        </w:rPr>
        <w:t>2020</w:t>
      </w:r>
      <w:r>
        <w:rPr>
          <w:rFonts w:hint="eastAsia"/>
          <w:bCs/>
          <w:szCs w:val="32"/>
        </w:rPr>
        <w:t>〕</w:t>
      </w:r>
      <w:r>
        <w:rPr>
          <w:bCs/>
          <w:szCs w:val="32"/>
        </w:rPr>
        <w:t>10</w:t>
      </w:r>
      <w:r>
        <w:rPr>
          <w:rFonts w:hint="eastAsia"/>
          <w:bCs/>
          <w:szCs w:val="32"/>
        </w:rPr>
        <w:t>号）、《江苏省省级项目支出绩效评价管理办法》（苏财</w:t>
      </w:r>
      <w:proofErr w:type="gramStart"/>
      <w:r>
        <w:rPr>
          <w:rFonts w:hint="eastAsia"/>
          <w:bCs/>
          <w:szCs w:val="32"/>
        </w:rPr>
        <w:t>规</w:t>
      </w:r>
      <w:proofErr w:type="gramEnd"/>
      <w:r>
        <w:rPr>
          <w:rFonts w:hint="eastAsia"/>
          <w:bCs/>
          <w:szCs w:val="32"/>
        </w:rPr>
        <w:t>〔</w:t>
      </w:r>
      <w:r>
        <w:rPr>
          <w:bCs/>
          <w:szCs w:val="32"/>
        </w:rPr>
        <w:t>2020</w:t>
      </w:r>
      <w:r>
        <w:rPr>
          <w:rFonts w:hint="eastAsia"/>
          <w:bCs/>
          <w:szCs w:val="32"/>
        </w:rPr>
        <w:t>〕</w:t>
      </w:r>
      <w:r>
        <w:rPr>
          <w:bCs/>
          <w:szCs w:val="32"/>
        </w:rPr>
        <w:t>20</w:t>
      </w:r>
      <w:r>
        <w:rPr>
          <w:rFonts w:hint="eastAsia"/>
          <w:bCs/>
          <w:szCs w:val="32"/>
        </w:rPr>
        <w:t>号）、</w:t>
      </w:r>
      <w:r>
        <w:rPr>
          <w:bCs/>
          <w:szCs w:val="32"/>
        </w:rPr>
        <w:t>《</w:t>
      </w:r>
      <w:r>
        <w:rPr>
          <w:rFonts w:hint="eastAsia"/>
          <w:bCs/>
          <w:szCs w:val="32"/>
        </w:rPr>
        <w:t>常州市</w:t>
      </w:r>
      <w:r>
        <w:rPr>
          <w:bCs/>
          <w:szCs w:val="32"/>
        </w:rPr>
        <w:t>市级项目支出绩效评价管理暂行办法》</w:t>
      </w:r>
      <w:r>
        <w:rPr>
          <w:rFonts w:hint="eastAsia"/>
          <w:bCs/>
          <w:szCs w:val="32"/>
        </w:rPr>
        <w:t>（</w:t>
      </w:r>
      <w:proofErr w:type="gramStart"/>
      <w:r>
        <w:rPr>
          <w:rFonts w:hint="eastAsia"/>
          <w:bCs/>
          <w:szCs w:val="32"/>
        </w:rPr>
        <w:t>常财绩</w:t>
      </w:r>
      <w:proofErr w:type="gramEnd"/>
      <w:r>
        <w:rPr>
          <w:rFonts w:hint="eastAsia"/>
          <w:bCs/>
          <w:szCs w:val="32"/>
        </w:rPr>
        <w:t>〔</w:t>
      </w:r>
      <w:r>
        <w:rPr>
          <w:rFonts w:hint="eastAsia"/>
          <w:bCs/>
          <w:szCs w:val="32"/>
        </w:rPr>
        <w:t>2020</w:t>
      </w:r>
      <w:r>
        <w:rPr>
          <w:rFonts w:hint="eastAsia"/>
          <w:bCs/>
          <w:szCs w:val="32"/>
        </w:rPr>
        <w:t>〕</w:t>
      </w:r>
      <w:r>
        <w:rPr>
          <w:bCs/>
          <w:szCs w:val="32"/>
        </w:rPr>
        <w:t>6</w:t>
      </w:r>
      <w:r>
        <w:rPr>
          <w:rFonts w:hint="eastAsia"/>
          <w:bCs/>
          <w:szCs w:val="32"/>
        </w:rPr>
        <w:t>号）等规定，结合我区实际，制定本办法。</w:t>
      </w:r>
    </w:p>
    <w:p w:rsidR="00C97DC7" w:rsidRDefault="00C97DC7" w:rsidP="00C97DC7">
      <w:pPr>
        <w:spacing w:line="560" w:lineRule="exact"/>
        <w:ind w:firstLine="640"/>
        <w:rPr>
          <w:bCs/>
          <w:szCs w:val="32"/>
        </w:rPr>
      </w:pPr>
      <w:r>
        <w:rPr>
          <w:rFonts w:hint="eastAsia"/>
          <w:bCs/>
          <w:szCs w:val="32"/>
        </w:rPr>
        <w:t>第二条</w:t>
      </w:r>
      <w:r>
        <w:rPr>
          <w:rFonts w:hint="eastAsia"/>
          <w:bCs/>
          <w:szCs w:val="32"/>
        </w:rPr>
        <w:t xml:space="preserve">  </w:t>
      </w:r>
      <w:r>
        <w:rPr>
          <w:rFonts w:hint="eastAsia"/>
          <w:bCs/>
          <w:szCs w:val="32"/>
        </w:rPr>
        <w:t>项目支出绩效评价（以下简称绩效评价）是指财政部门、预算部门和单位，依据设定的绩效目标，对项目支出的经济性、效率性、效益性和公平性进行客观、公正的测量、分析和评判。</w:t>
      </w:r>
    </w:p>
    <w:p w:rsidR="00C97DC7" w:rsidRDefault="00C97DC7" w:rsidP="00C97DC7">
      <w:pPr>
        <w:spacing w:line="560" w:lineRule="exact"/>
        <w:ind w:firstLine="640"/>
        <w:rPr>
          <w:bCs/>
          <w:szCs w:val="32"/>
        </w:rPr>
      </w:pPr>
      <w:r>
        <w:rPr>
          <w:rFonts w:hint="eastAsia"/>
          <w:bCs/>
          <w:szCs w:val="32"/>
        </w:rPr>
        <w:t>第三条</w:t>
      </w:r>
      <w:r>
        <w:rPr>
          <w:rFonts w:hint="eastAsia"/>
          <w:bCs/>
          <w:szCs w:val="32"/>
        </w:rPr>
        <w:t xml:space="preserve">  </w:t>
      </w:r>
      <w:r>
        <w:rPr>
          <w:rFonts w:hint="eastAsia"/>
          <w:bCs/>
          <w:szCs w:val="32"/>
        </w:rPr>
        <w:t>一般公共预算、政府性基金预算、国有资本经营预算的项目支出绩效评价适用本办法。涉及预算资金及相关管理活动，如政府投资基金、政府和社会资本合作（</w:t>
      </w:r>
      <w:r>
        <w:rPr>
          <w:bCs/>
          <w:szCs w:val="32"/>
        </w:rPr>
        <w:t>PPP</w:t>
      </w:r>
      <w:r>
        <w:rPr>
          <w:rFonts w:hint="eastAsia"/>
          <w:bCs/>
          <w:szCs w:val="32"/>
        </w:rPr>
        <w:t>）、政府购买服务、政府债务项目等绩效评价可参照本办法执行。</w:t>
      </w:r>
    </w:p>
    <w:p w:rsidR="00C97DC7" w:rsidRDefault="00C97DC7" w:rsidP="00C97DC7">
      <w:pPr>
        <w:spacing w:line="560" w:lineRule="exact"/>
        <w:ind w:firstLine="640"/>
        <w:rPr>
          <w:bCs/>
          <w:szCs w:val="32"/>
        </w:rPr>
      </w:pPr>
      <w:r>
        <w:rPr>
          <w:rFonts w:hint="eastAsia"/>
          <w:bCs/>
          <w:szCs w:val="32"/>
        </w:rPr>
        <w:lastRenderedPageBreak/>
        <w:t>第四条</w:t>
      </w:r>
      <w:r>
        <w:rPr>
          <w:rFonts w:hint="eastAsia"/>
          <w:bCs/>
          <w:szCs w:val="32"/>
        </w:rPr>
        <w:t xml:space="preserve">  </w:t>
      </w:r>
      <w:r>
        <w:rPr>
          <w:rFonts w:hint="eastAsia"/>
          <w:bCs/>
          <w:szCs w:val="32"/>
        </w:rPr>
        <w:t>绩效评价分为单位自评、部门评价和财政评价三种方式。单位自评是指预算部门组织部门本级和所属单位（即各预算执行单位）对项目绩效目标完成情况进行自我评价。部门评价是指预算部门根据相关要求，运用科学、合理的绩效评价指标、评价标准和方法，对本部门的项目组织开展的绩效评价。财政评价是财政部门对预算部门的项目组织开展的绩效评价。</w:t>
      </w:r>
    </w:p>
    <w:p w:rsidR="00C97DC7" w:rsidRDefault="00C97DC7" w:rsidP="00C97DC7">
      <w:pPr>
        <w:spacing w:line="560" w:lineRule="exact"/>
        <w:ind w:firstLine="640"/>
        <w:rPr>
          <w:bCs/>
          <w:szCs w:val="32"/>
        </w:rPr>
      </w:pPr>
      <w:r>
        <w:rPr>
          <w:rFonts w:hint="eastAsia"/>
          <w:bCs/>
          <w:szCs w:val="32"/>
        </w:rPr>
        <w:t>第五条</w:t>
      </w:r>
      <w:r>
        <w:rPr>
          <w:rFonts w:hint="eastAsia"/>
          <w:bCs/>
          <w:szCs w:val="32"/>
        </w:rPr>
        <w:t xml:space="preserve">  </w:t>
      </w:r>
      <w:r>
        <w:rPr>
          <w:rFonts w:hint="eastAsia"/>
          <w:bCs/>
          <w:szCs w:val="32"/>
        </w:rPr>
        <w:t>绩效评价应当遵循以下基本原则：</w:t>
      </w:r>
    </w:p>
    <w:p w:rsidR="00C97DC7" w:rsidRDefault="00C97DC7" w:rsidP="00C97DC7">
      <w:pPr>
        <w:spacing w:line="560" w:lineRule="exact"/>
        <w:ind w:firstLine="640"/>
        <w:rPr>
          <w:bCs/>
          <w:szCs w:val="32"/>
        </w:rPr>
      </w:pPr>
      <w:r>
        <w:rPr>
          <w:rFonts w:hint="eastAsia"/>
          <w:bCs/>
          <w:szCs w:val="32"/>
        </w:rPr>
        <w:t>（一）科学公正。绩效评价应当运用科学合理的方法，按照规范的程序，对项目绩效进行客观、公正的反映。</w:t>
      </w:r>
    </w:p>
    <w:p w:rsidR="00C97DC7" w:rsidRDefault="00C97DC7" w:rsidP="00C97DC7">
      <w:pPr>
        <w:spacing w:line="560" w:lineRule="exact"/>
        <w:ind w:firstLine="640"/>
        <w:rPr>
          <w:bCs/>
          <w:szCs w:val="32"/>
        </w:rPr>
      </w:pPr>
      <w:r>
        <w:rPr>
          <w:rFonts w:hint="eastAsia"/>
          <w:bCs/>
          <w:szCs w:val="32"/>
        </w:rPr>
        <w:t>（二）统筹</w:t>
      </w:r>
      <w:r>
        <w:rPr>
          <w:bCs/>
          <w:szCs w:val="32"/>
        </w:rPr>
        <w:t>兼顾。单位自评、部门评价和财政评价应职责明确，各有</w:t>
      </w:r>
      <w:r>
        <w:rPr>
          <w:rFonts w:hint="eastAsia"/>
          <w:bCs/>
          <w:szCs w:val="32"/>
        </w:rPr>
        <w:t>侧</w:t>
      </w:r>
      <w:r>
        <w:rPr>
          <w:bCs/>
          <w:szCs w:val="32"/>
        </w:rPr>
        <w:t>重</w:t>
      </w:r>
      <w:r>
        <w:rPr>
          <w:rFonts w:hint="eastAsia"/>
          <w:bCs/>
          <w:szCs w:val="32"/>
        </w:rPr>
        <w:t>，</w:t>
      </w:r>
      <w:r>
        <w:rPr>
          <w:bCs/>
          <w:szCs w:val="32"/>
        </w:rPr>
        <w:t>相互衔接。单位</w:t>
      </w:r>
      <w:r>
        <w:rPr>
          <w:rFonts w:hint="eastAsia"/>
          <w:bCs/>
          <w:szCs w:val="32"/>
        </w:rPr>
        <w:t>自评</w:t>
      </w:r>
      <w:r>
        <w:rPr>
          <w:bCs/>
          <w:szCs w:val="32"/>
        </w:rPr>
        <w:t>应由</w:t>
      </w:r>
      <w:r>
        <w:rPr>
          <w:rFonts w:hint="eastAsia"/>
          <w:bCs/>
          <w:szCs w:val="32"/>
        </w:rPr>
        <w:t>各</w:t>
      </w:r>
      <w:r>
        <w:rPr>
          <w:bCs/>
          <w:szCs w:val="32"/>
        </w:rPr>
        <w:t>预算执行单位自主实施</w:t>
      </w:r>
      <w:r>
        <w:rPr>
          <w:rFonts w:hint="eastAsia"/>
          <w:bCs/>
          <w:szCs w:val="32"/>
        </w:rPr>
        <w:t>，即“谁支出、谁自评”。部门评价和财政评价应在单位自评的基础上开展，</w:t>
      </w:r>
      <w:r>
        <w:rPr>
          <w:bCs/>
          <w:szCs w:val="32"/>
        </w:rPr>
        <w:t>必要时可委托第三方机构参与实施</w:t>
      </w:r>
      <w:r>
        <w:rPr>
          <w:rFonts w:hint="eastAsia"/>
          <w:bCs/>
          <w:szCs w:val="32"/>
        </w:rPr>
        <w:t>。</w:t>
      </w:r>
    </w:p>
    <w:p w:rsidR="00C97DC7" w:rsidRDefault="00C97DC7" w:rsidP="00C97DC7">
      <w:pPr>
        <w:spacing w:line="560" w:lineRule="exact"/>
        <w:ind w:firstLine="640"/>
        <w:rPr>
          <w:bCs/>
          <w:szCs w:val="32"/>
        </w:rPr>
      </w:pPr>
      <w:r>
        <w:rPr>
          <w:rFonts w:hint="eastAsia"/>
          <w:bCs/>
          <w:szCs w:val="32"/>
        </w:rPr>
        <w:t>（三）分类开展。根据项目的不同特点，实施不同的评价管理模式，制定相适应的评价体系，提高评价工作的针对性和有效性。</w:t>
      </w:r>
    </w:p>
    <w:p w:rsidR="00C97DC7" w:rsidRDefault="00C97DC7" w:rsidP="00C97DC7">
      <w:pPr>
        <w:spacing w:line="560" w:lineRule="exact"/>
        <w:ind w:firstLine="640"/>
        <w:rPr>
          <w:bCs/>
          <w:szCs w:val="32"/>
        </w:rPr>
      </w:pPr>
      <w:r>
        <w:rPr>
          <w:rFonts w:hint="eastAsia"/>
          <w:bCs/>
          <w:szCs w:val="32"/>
        </w:rPr>
        <w:t>（四）激励约束。绩效评价结果应与预算安排、政策调整、改进管理实质性挂钩，体现奖优罚劣和激励相容导向，有效要安排、低效要压减、无效要问责。</w:t>
      </w:r>
    </w:p>
    <w:p w:rsidR="00C97DC7" w:rsidRDefault="00C97DC7" w:rsidP="00C97DC7">
      <w:pPr>
        <w:spacing w:line="560" w:lineRule="exact"/>
        <w:ind w:firstLine="640"/>
        <w:rPr>
          <w:bCs/>
          <w:szCs w:val="32"/>
        </w:rPr>
      </w:pPr>
      <w:r>
        <w:rPr>
          <w:rFonts w:hint="eastAsia"/>
          <w:bCs/>
          <w:szCs w:val="32"/>
        </w:rPr>
        <w:t>（五）公开透明。绩效评价结果应依法依规公开，并自觉接受社会监督。</w:t>
      </w:r>
    </w:p>
    <w:p w:rsidR="00C97DC7" w:rsidRDefault="00C97DC7" w:rsidP="00C97DC7">
      <w:pPr>
        <w:spacing w:line="560" w:lineRule="exact"/>
        <w:ind w:firstLine="640"/>
        <w:rPr>
          <w:bCs/>
          <w:szCs w:val="32"/>
        </w:rPr>
      </w:pPr>
      <w:r>
        <w:rPr>
          <w:rFonts w:hint="eastAsia"/>
          <w:bCs/>
          <w:szCs w:val="32"/>
        </w:rPr>
        <w:t>第六条</w:t>
      </w:r>
      <w:r>
        <w:rPr>
          <w:rFonts w:hint="eastAsia"/>
          <w:bCs/>
          <w:szCs w:val="32"/>
        </w:rPr>
        <w:t xml:space="preserve">  </w:t>
      </w:r>
      <w:r>
        <w:rPr>
          <w:rFonts w:hint="eastAsia"/>
          <w:bCs/>
          <w:szCs w:val="32"/>
        </w:rPr>
        <w:t>绩效评价的主要依据：</w:t>
      </w:r>
    </w:p>
    <w:p w:rsidR="00C97DC7" w:rsidRDefault="00C97DC7" w:rsidP="00C97DC7">
      <w:pPr>
        <w:spacing w:line="560" w:lineRule="exact"/>
        <w:ind w:firstLine="640"/>
        <w:rPr>
          <w:bCs/>
          <w:szCs w:val="32"/>
        </w:rPr>
      </w:pPr>
      <w:r>
        <w:rPr>
          <w:rFonts w:hint="eastAsia"/>
          <w:bCs/>
          <w:szCs w:val="32"/>
        </w:rPr>
        <w:t>（一）国家相关法律、法规和规章制度；</w:t>
      </w:r>
    </w:p>
    <w:p w:rsidR="00C97DC7" w:rsidRDefault="00C97DC7" w:rsidP="00C97DC7">
      <w:pPr>
        <w:spacing w:line="560" w:lineRule="exact"/>
        <w:ind w:firstLine="640"/>
        <w:rPr>
          <w:bCs/>
          <w:szCs w:val="32"/>
        </w:rPr>
      </w:pPr>
      <w:r>
        <w:rPr>
          <w:rFonts w:hint="eastAsia"/>
          <w:bCs/>
          <w:szCs w:val="32"/>
        </w:rPr>
        <w:lastRenderedPageBreak/>
        <w:t>（二）上级重大决策部署，地方经济社会发展目标；</w:t>
      </w:r>
    </w:p>
    <w:p w:rsidR="00C97DC7" w:rsidRDefault="00C97DC7" w:rsidP="00C97DC7">
      <w:pPr>
        <w:spacing w:line="560" w:lineRule="exact"/>
        <w:ind w:firstLine="640"/>
        <w:rPr>
          <w:bCs/>
          <w:szCs w:val="32"/>
        </w:rPr>
      </w:pPr>
      <w:r>
        <w:rPr>
          <w:rFonts w:hint="eastAsia"/>
          <w:bCs/>
          <w:szCs w:val="32"/>
        </w:rPr>
        <w:t>（三）部门职责相关规定；</w:t>
      </w:r>
    </w:p>
    <w:p w:rsidR="00C97DC7" w:rsidRDefault="00C97DC7" w:rsidP="00C97DC7">
      <w:pPr>
        <w:spacing w:line="560" w:lineRule="exact"/>
        <w:ind w:firstLine="640"/>
        <w:rPr>
          <w:bCs/>
          <w:szCs w:val="32"/>
        </w:rPr>
      </w:pPr>
      <w:r>
        <w:rPr>
          <w:rFonts w:hint="eastAsia"/>
          <w:bCs/>
          <w:szCs w:val="32"/>
        </w:rPr>
        <w:t>（四）相关行业政策、行业标准及专业技术规范；</w:t>
      </w:r>
    </w:p>
    <w:p w:rsidR="00C97DC7" w:rsidRDefault="00C97DC7" w:rsidP="00C97DC7">
      <w:pPr>
        <w:spacing w:line="560" w:lineRule="exact"/>
        <w:ind w:firstLine="640"/>
        <w:rPr>
          <w:bCs/>
          <w:szCs w:val="32"/>
        </w:rPr>
      </w:pPr>
      <w:r>
        <w:rPr>
          <w:rFonts w:hint="eastAsia"/>
          <w:bCs/>
          <w:szCs w:val="32"/>
        </w:rPr>
        <w:t>（五）预算管理制度及办法，项目及资金管理办法、财务和会计资料；</w:t>
      </w:r>
    </w:p>
    <w:p w:rsidR="00C97DC7" w:rsidRDefault="00C97DC7" w:rsidP="00C97DC7">
      <w:pPr>
        <w:spacing w:line="560" w:lineRule="exact"/>
        <w:ind w:firstLine="640"/>
        <w:rPr>
          <w:bCs/>
          <w:szCs w:val="32"/>
        </w:rPr>
      </w:pPr>
      <w:r>
        <w:rPr>
          <w:rFonts w:hint="eastAsia"/>
          <w:bCs/>
          <w:szCs w:val="32"/>
        </w:rPr>
        <w:t>（六）项目设立的政策依据和目标，预算执行情况，年度决算报告、项目决算或验收报告等相关材料；</w:t>
      </w:r>
    </w:p>
    <w:p w:rsidR="00C97DC7" w:rsidRDefault="00C97DC7" w:rsidP="00C97DC7">
      <w:pPr>
        <w:spacing w:line="560" w:lineRule="exact"/>
        <w:ind w:firstLine="640"/>
        <w:rPr>
          <w:bCs/>
          <w:szCs w:val="32"/>
        </w:rPr>
      </w:pPr>
      <w:r>
        <w:rPr>
          <w:rFonts w:hint="eastAsia"/>
          <w:bCs/>
          <w:szCs w:val="32"/>
        </w:rPr>
        <w:t>（七）审计报告及决定，财政监督稽核报告等；</w:t>
      </w:r>
    </w:p>
    <w:p w:rsidR="00C97DC7" w:rsidRDefault="00C97DC7" w:rsidP="00C97DC7">
      <w:pPr>
        <w:spacing w:line="560" w:lineRule="exact"/>
        <w:ind w:firstLine="640"/>
        <w:rPr>
          <w:bCs/>
          <w:szCs w:val="32"/>
        </w:rPr>
      </w:pPr>
      <w:r>
        <w:rPr>
          <w:rFonts w:hint="eastAsia"/>
          <w:bCs/>
          <w:szCs w:val="32"/>
        </w:rPr>
        <w:t>（八）其他相关资料。</w:t>
      </w:r>
    </w:p>
    <w:p w:rsidR="00C97DC7" w:rsidRDefault="00C97DC7" w:rsidP="00C97DC7">
      <w:pPr>
        <w:spacing w:line="560" w:lineRule="exact"/>
        <w:ind w:firstLine="640"/>
        <w:rPr>
          <w:bCs/>
          <w:szCs w:val="32"/>
        </w:rPr>
      </w:pPr>
      <w:r>
        <w:rPr>
          <w:rFonts w:hint="eastAsia"/>
          <w:bCs/>
          <w:szCs w:val="32"/>
        </w:rPr>
        <w:t>第七条</w:t>
      </w:r>
      <w:r>
        <w:rPr>
          <w:rFonts w:hint="eastAsia"/>
          <w:bCs/>
          <w:szCs w:val="32"/>
        </w:rPr>
        <w:t xml:space="preserve">  </w:t>
      </w:r>
      <w:r>
        <w:rPr>
          <w:rFonts w:hint="eastAsia"/>
          <w:bCs/>
          <w:szCs w:val="32"/>
        </w:rPr>
        <w:t>绩效评价期限包括年度、中期及项目实施期结束后；对于实施期</w:t>
      </w:r>
      <w:r>
        <w:rPr>
          <w:bCs/>
          <w:szCs w:val="32"/>
        </w:rPr>
        <w:t>5</w:t>
      </w:r>
      <w:r>
        <w:rPr>
          <w:rFonts w:hint="eastAsia"/>
          <w:bCs/>
          <w:szCs w:val="32"/>
        </w:rPr>
        <w:t>年及以上的项目，应适时开展中期和实施期后绩效评价。</w:t>
      </w:r>
    </w:p>
    <w:p w:rsidR="00C97DC7" w:rsidRDefault="00C97DC7" w:rsidP="00C97DC7">
      <w:pPr>
        <w:spacing w:beforeLines="50" w:afterLines="50" w:line="560" w:lineRule="exact"/>
        <w:ind w:firstLineChars="0" w:firstLine="0"/>
        <w:jc w:val="center"/>
        <w:rPr>
          <w:rFonts w:ascii="黑体" w:eastAsia="黑体"/>
          <w:bCs/>
          <w:szCs w:val="32"/>
        </w:rPr>
      </w:pPr>
      <w:r>
        <w:rPr>
          <w:rFonts w:ascii="黑体" w:eastAsia="黑体" w:hint="eastAsia"/>
          <w:bCs/>
          <w:szCs w:val="32"/>
        </w:rPr>
        <w:t>第二章  绩效评价的对象和内容</w:t>
      </w:r>
    </w:p>
    <w:p w:rsidR="00C97DC7" w:rsidRDefault="00C97DC7" w:rsidP="00C97DC7">
      <w:pPr>
        <w:spacing w:line="560" w:lineRule="exact"/>
        <w:ind w:firstLine="640"/>
        <w:rPr>
          <w:bCs/>
          <w:szCs w:val="32"/>
        </w:rPr>
      </w:pPr>
      <w:r>
        <w:rPr>
          <w:rFonts w:hint="eastAsia"/>
          <w:bCs/>
          <w:szCs w:val="32"/>
        </w:rPr>
        <w:t>第八条</w:t>
      </w:r>
      <w:r>
        <w:rPr>
          <w:rFonts w:hint="eastAsia"/>
          <w:bCs/>
          <w:szCs w:val="32"/>
        </w:rPr>
        <w:t xml:space="preserve">  </w:t>
      </w:r>
      <w:r>
        <w:rPr>
          <w:rFonts w:hint="eastAsia"/>
          <w:bCs/>
          <w:szCs w:val="32"/>
        </w:rPr>
        <w:t>单位自评的对象包括纳入政府预算管理的所有专项支出，分为部门专项支出及政府专项支出。</w:t>
      </w:r>
    </w:p>
    <w:p w:rsidR="00C97DC7" w:rsidRDefault="00C97DC7" w:rsidP="00C97DC7">
      <w:pPr>
        <w:spacing w:line="560" w:lineRule="exact"/>
        <w:ind w:firstLine="640"/>
        <w:rPr>
          <w:rFonts w:hint="eastAsia"/>
          <w:bCs/>
          <w:szCs w:val="32"/>
        </w:rPr>
      </w:pPr>
      <w:r>
        <w:rPr>
          <w:rFonts w:hint="eastAsia"/>
          <w:bCs/>
          <w:szCs w:val="32"/>
        </w:rPr>
        <w:t>第九条</w:t>
      </w:r>
      <w:r>
        <w:rPr>
          <w:rFonts w:hint="eastAsia"/>
          <w:bCs/>
          <w:szCs w:val="32"/>
        </w:rPr>
        <w:t xml:space="preserve">  </w:t>
      </w:r>
      <w:r>
        <w:rPr>
          <w:rFonts w:hint="eastAsia"/>
          <w:bCs/>
          <w:szCs w:val="32"/>
        </w:rPr>
        <w:t>部门评价对象应根据工作需要，优先选择部门履职的重大改革发展项目，随机选择一般性项目。对</w:t>
      </w:r>
      <w:r>
        <w:rPr>
          <w:rFonts w:hint="eastAsia"/>
          <w:szCs w:val="32"/>
        </w:rPr>
        <w:t>重点项目应周期性组织开展绩效评价，</w:t>
      </w:r>
      <w:r>
        <w:rPr>
          <w:rFonts w:hint="eastAsia"/>
          <w:bCs/>
          <w:szCs w:val="32"/>
        </w:rPr>
        <w:t>原则上</w:t>
      </w:r>
      <w:r>
        <w:rPr>
          <w:bCs/>
          <w:szCs w:val="32"/>
        </w:rPr>
        <w:t>应以</w:t>
      </w:r>
      <w:r>
        <w:rPr>
          <w:rFonts w:hint="eastAsia"/>
          <w:bCs/>
          <w:szCs w:val="32"/>
        </w:rPr>
        <w:t>5</w:t>
      </w:r>
      <w:r>
        <w:rPr>
          <w:rFonts w:hint="eastAsia"/>
          <w:bCs/>
          <w:szCs w:val="32"/>
        </w:rPr>
        <w:t>年为周期，实现部门评价重点项目全覆盖。对</w:t>
      </w:r>
      <w:r>
        <w:rPr>
          <w:bCs/>
          <w:szCs w:val="32"/>
        </w:rPr>
        <w:t>即将到期的重大支出项目（</w:t>
      </w:r>
      <w:r>
        <w:rPr>
          <w:rFonts w:hint="eastAsia"/>
          <w:bCs/>
          <w:szCs w:val="32"/>
        </w:rPr>
        <w:t>政策</w:t>
      </w:r>
      <w:r>
        <w:rPr>
          <w:bCs/>
          <w:szCs w:val="32"/>
        </w:rPr>
        <w:t>）</w:t>
      </w:r>
      <w:r>
        <w:rPr>
          <w:rFonts w:hint="eastAsia"/>
          <w:bCs/>
          <w:szCs w:val="32"/>
        </w:rPr>
        <w:t>原则上</w:t>
      </w:r>
      <w:r>
        <w:rPr>
          <w:bCs/>
          <w:szCs w:val="32"/>
        </w:rPr>
        <w:t>必评。</w:t>
      </w:r>
    </w:p>
    <w:p w:rsidR="00C97DC7" w:rsidRDefault="00C97DC7" w:rsidP="00C97DC7">
      <w:pPr>
        <w:spacing w:line="560" w:lineRule="exact"/>
        <w:ind w:firstLine="640"/>
        <w:rPr>
          <w:bCs/>
          <w:szCs w:val="32"/>
          <w:highlight w:val="yellow"/>
        </w:rPr>
      </w:pPr>
      <w:r>
        <w:rPr>
          <w:rFonts w:hint="eastAsia"/>
          <w:bCs/>
          <w:szCs w:val="32"/>
        </w:rPr>
        <w:t>第十条</w:t>
      </w:r>
      <w:r>
        <w:rPr>
          <w:rFonts w:hint="eastAsia"/>
          <w:bCs/>
          <w:szCs w:val="32"/>
        </w:rPr>
        <w:t xml:space="preserve">  </w:t>
      </w:r>
      <w:r>
        <w:rPr>
          <w:rFonts w:hint="eastAsia"/>
          <w:bCs/>
          <w:szCs w:val="32"/>
        </w:rPr>
        <w:t>财政评价对象应根据工作需要，优先选择贯彻落实上级重大方针政策和决策部署的项目，和覆盖面广、影响力大、社会关注度高、实施期长的项目以及部门评价不力的项目。</w:t>
      </w:r>
    </w:p>
    <w:p w:rsidR="00C97DC7" w:rsidRDefault="00C97DC7" w:rsidP="00C97DC7">
      <w:pPr>
        <w:spacing w:line="560" w:lineRule="exact"/>
        <w:ind w:firstLine="640"/>
        <w:rPr>
          <w:szCs w:val="32"/>
        </w:rPr>
      </w:pPr>
      <w:r>
        <w:rPr>
          <w:rFonts w:hint="eastAsia"/>
          <w:bCs/>
          <w:szCs w:val="32"/>
        </w:rPr>
        <w:lastRenderedPageBreak/>
        <w:t>第十一条</w:t>
      </w:r>
      <w:r>
        <w:rPr>
          <w:rFonts w:hint="eastAsia"/>
          <w:bCs/>
          <w:szCs w:val="32"/>
        </w:rPr>
        <w:t xml:space="preserve">  </w:t>
      </w:r>
      <w:r>
        <w:rPr>
          <w:rFonts w:hint="eastAsia"/>
          <w:bCs/>
          <w:szCs w:val="32"/>
        </w:rPr>
        <w:t>单位</w:t>
      </w:r>
      <w:r>
        <w:rPr>
          <w:rFonts w:hint="eastAsia"/>
          <w:szCs w:val="32"/>
        </w:rPr>
        <w:t>自评的内容主要包括总体绩效目标和各项绩效指标完成情况以及预算执行情况。</w:t>
      </w:r>
      <w:r>
        <w:rPr>
          <w:rFonts w:hint="eastAsia"/>
          <w:bCs/>
          <w:szCs w:val="32"/>
        </w:rPr>
        <w:t>对未完成绩效目标或偏离绩效目标较大的项目要分析并说明原因，研究提出改进措施。</w:t>
      </w:r>
    </w:p>
    <w:p w:rsidR="00C97DC7" w:rsidRDefault="00C97DC7" w:rsidP="00C97DC7">
      <w:pPr>
        <w:spacing w:line="560" w:lineRule="exact"/>
        <w:ind w:firstLine="640"/>
        <w:rPr>
          <w:bCs/>
          <w:szCs w:val="32"/>
        </w:rPr>
      </w:pPr>
      <w:r>
        <w:rPr>
          <w:rFonts w:hint="eastAsia"/>
          <w:bCs/>
          <w:szCs w:val="32"/>
        </w:rPr>
        <w:t>第十二条</w:t>
      </w:r>
      <w:r>
        <w:rPr>
          <w:rFonts w:hint="eastAsia"/>
          <w:bCs/>
          <w:szCs w:val="32"/>
        </w:rPr>
        <w:t xml:space="preserve">  </w:t>
      </w:r>
      <w:r>
        <w:rPr>
          <w:rFonts w:hint="eastAsia"/>
          <w:bCs/>
          <w:szCs w:val="32"/>
        </w:rPr>
        <w:t>财政和部门评价的内容主要包括：</w:t>
      </w:r>
    </w:p>
    <w:p w:rsidR="00C97DC7" w:rsidRDefault="00C97DC7" w:rsidP="00C97DC7">
      <w:pPr>
        <w:spacing w:line="560" w:lineRule="exact"/>
        <w:ind w:firstLine="640"/>
        <w:rPr>
          <w:bCs/>
          <w:szCs w:val="32"/>
        </w:rPr>
      </w:pPr>
      <w:r>
        <w:rPr>
          <w:rFonts w:hint="eastAsia"/>
          <w:bCs/>
          <w:szCs w:val="32"/>
        </w:rPr>
        <w:t>（一）决策情况；</w:t>
      </w:r>
    </w:p>
    <w:p w:rsidR="00C97DC7" w:rsidRDefault="00C97DC7" w:rsidP="00C97DC7">
      <w:pPr>
        <w:spacing w:line="560" w:lineRule="exact"/>
        <w:ind w:firstLine="640"/>
        <w:rPr>
          <w:bCs/>
          <w:szCs w:val="32"/>
        </w:rPr>
      </w:pPr>
      <w:r>
        <w:rPr>
          <w:rFonts w:hint="eastAsia"/>
          <w:bCs/>
          <w:szCs w:val="32"/>
        </w:rPr>
        <w:t>（二）资金管理和使用情况；</w:t>
      </w:r>
    </w:p>
    <w:p w:rsidR="00C97DC7" w:rsidRDefault="00C97DC7" w:rsidP="00C97DC7">
      <w:pPr>
        <w:spacing w:line="560" w:lineRule="exact"/>
        <w:ind w:firstLine="640"/>
        <w:rPr>
          <w:bCs/>
          <w:szCs w:val="32"/>
        </w:rPr>
      </w:pPr>
      <w:r>
        <w:rPr>
          <w:rFonts w:hint="eastAsia"/>
          <w:bCs/>
          <w:szCs w:val="32"/>
        </w:rPr>
        <w:t>（三）相关管理制度办法的健全性及执行情况；</w:t>
      </w:r>
    </w:p>
    <w:p w:rsidR="00C97DC7" w:rsidRDefault="00C97DC7" w:rsidP="00C97DC7">
      <w:pPr>
        <w:spacing w:line="560" w:lineRule="exact"/>
        <w:ind w:firstLine="640"/>
        <w:rPr>
          <w:bCs/>
          <w:szCs w:val="32"/>
        </w:rPr>
      </w:pPr>
      <w:r>
        <w:rPr>
          <w:rFonts w:hint="eastAsia"/>
          <w:bCs/>
          <w:szCs w:val="32"/>
        </w:rPr>
        <w:t>（四）实现的产出情况；</w:t>
      </w:r>
    </w:p>
    <w:p w:rsidR="00C97DC7" w:rsidRDefault="00C97DC7" w:rsidP="00C97DC7">
      <w:pPr>
        <w:spacing w:line="560" w:lineRule="exact"/>
        <w:ind w:firstLine="640"/>
        <w:rPr>
          <w:bCs/>
          <w:szCs w:val="32"/>
        </w:rPr>
      </w:pPr>
      <w:r>
        <w:rPr>
          <w:rFonts w:hint="eastAsia"/>
          <w:bCs/>
          <w:szCs w:val="32"/>
        </w:rPr>
        <w:t>（五）取得的效益情况；</w:t>
      </w:r>
    </w:p>
    <w:p w:rsidR="00C97DC7" w:rsidRDefault="00C97DC7" w:rsidP="00C97DC7">
      <w:pPr>
        <w:spacing w:line="560" w:lineRule="exact"/>
        <w:ind w:firstLine="640"/>
        <w:rPr>
          <w:bCs/>
          <w:szCs w:val="32"/>
        </w:rPr>
      </w:pPr>
      <w:r>
        <w:rPr>
          <w:rFonts w:hint="eastAsia"/>
          <w:bCs/>
          <w:szCs w:val="32"/>
        </w:rPr>
        <w:t>（六）其他相关内容。</w:t>
      </w:r>
    </w:p>
    <w:p w:rsidR="00C97DC7" w:rsidRDefault="00C97DC7" w:rsidP="00C97DC7">
      <w:pPr>
        <w:spacing w:beforeLines="50" w:afterLines="50" w:line="560" w:lineRule="exact"/>
        <w:ind w:firstLineChars="0" w:firstLine="0"/>
        <w:jc w:val="center"/>
        <w:rPr>
          <w:rFonts w:ascii="黑体" w:eastAsia="黑体"/>
          <w:bCs/>
          <w:szCs w:val="32"/>
        </w:rPr>
      </w:pPr>
      <w:r>
        <w:rPr>
          <w:rFonts w:ascii="黑体" w:eastAsia="黑体" w:hint="eastAsia"/>
          <w:bCs/>
          <w:szCs w:val="32"/>
        </w:rPr>
        <w:t>第三章  绩效评价指标、评价标准和方法</w:t>
      </w:r>
    </w:p>
    <w:p w:rsidR="00C97DC7" w:rsidRDefault="00C97DC7" w:rsidP="00C97DC7">
      <w:pPr>
        <w:spacing w:line="560" w:lineRule="exact"/>
        <w:ind w:firstLine="640"/>
        <w:rPr>
          <w:bCs/>
          <w:szCs w:val="32"/>
        </w:rPr>
      </w:pPr>
      <w:r>
        <w:rPr>
          <w:rFonts w:hint="eastAsia"/>
          <w:bCs/>
          <w:szCs w:val="32"/>
        </w:rPr>
        <w:t>第十三条</w:t>
      </w:r>
      <w:r>
        <w:rPr>
          <w:rFonts w:hint="eastAsia"/>
          <w:bCs/>
          <w:szCs w:val="32"/>
        </w:rPr>
        <w:t xml:space="preserve">  </w:t>
      </w:r>
      <w:r>
        <w:rPr>
          <w:rFonts w:hint="eastAsia"/>
          <w:bCs/>
          <w:szCs w:val="32"/>
        </w:rPr>
        <w:t>单位自评指标包括项目的产出数量、质量、时效、成本指标，以及相关效益指标。</w:t>
      </w:r>
    </w:p>
    <w:p w:rsidR="00C97DC7" w:rsidRDefault="00C97DC7" w:rsidP="00C97DC7">
      <w:pPr>
        <w:spacing w:line="560" w:lineRule="exact"/>
        <w:ind w:firstLine="640"/>
        <w:rPr>
          <w:rFonts w:ascii="黑体"/>
          <w:bCs/>
          <w:szCs w:val="32"/>
        </w:rPr>
      </w:pPr>
      <w:r>
        <w:rPr>
          <w:rFonts w:hint="eastAsia"/>
          <w:szCs w:val="32"/>
        </w:rPr>
        <w:t>第十四条</w:t>
      </w:r>
      <w:r>
        <w:rPr>
          <w:rFonts w:hint="eastAsia"/>
          <w:szCs w:val="32"/>
        </w:rPr>
        <w:t xml:space="preserve">  </w:t>
      </w:r>
      <w:r>
        <w:rPr>
          <w:rFonts w:hint="eastAsia"/>
          <w:bCs/>
          <w:szCs w:val="32"/>
        </w:rPr>
        <w:t>财政和部门绩效评价指标的确定应当符合以下要求：与评价对象密切相关，全面反映项目决策、项目和资金管理过程、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rsidR="00C97DC7" w:rsidRDefault="00C97DC7" w:rsidP="00C97DC7">
      <w:pPr>
        <w:spacing w:line="560" w:lineRule="exact"/>
        <w:ind w:firstLine="640"/>
        <w:rPr>
          <w:bCs/>
          <w:szCs w:val="32"/>
        </w:rPr>
      </w:pPr>
      <w:r>
        <w:rPr>
          <w:rFonts w:hint="eastAsia"/>
          <w:szCs w:val="32"/>
        </w:rPr>
        <w:t>财政和部门评价</w:t>
      </w:r>
      <w:r>
        <w:rPr>
          <w:rFonts w:hint="eastAsia"/>
          <w:bCs/>
          <w:szCs w:val="32"/>
        </w:rPr>
        <w:t>指标的权重根据各项指标在评价体系中的重要程度确定，应当突出结果导向，原则上产出、效益指标权重不低于</w:t>
      </w:r>
      <w:r>
        <w:rPr>
          <w:bCs/>
          <w:szCs w:val="32"/>
        </w:rPr>
        <w:t>60%</w:t>
      </w:r>
      <w:r>
        <w:rPr>
          <w:rFonts w:hint="eastAsia"/>
          <w:bCs/>
          <w:szCs w:val="32"/>
        </w:rPr>
        <w:t>。同</w:t>
      </w:r>
      <w:proofErr w:type="gramStart"/>
      <w:r>
        <w:rPr>
          <w:rFonts w:hint="eastAsia"/>
          <w:bCs/>
          <w:szCs w:val="32"/>
        </w:rPr>
        <w:t>一评价</w:t>
      </w:r>
      <w:proofErr w:type="gramEnd"/>
      <w:r>
        <w:rPr>
          <w:rFonts w:hint="eastAsia"/>
          <w:bCs/>
          <w:szCs w:val="32"/>
        </w:rPr>
        <w:t>对象处于不同实施阶段时，指标权重应体</w:t>
      </w:r>
      <w:r>
        <w:rPr>
          <w:rFonts w:hint="eastAsia"/>
          <w:bCs/>
          <w:szCs w:val="32"/>
        </w:rPr>
        <w:lastRenderedPageBreak/>
        <w:t>现差异性，其中，实施期间的评价更加注重决策、过程和产出，实施期结束后的评价更加注重产出和效益。</w:t>
      </w:r>
    </w:p>
    <w:p w:rsidR="00C97DC7" w:rsidRDefault="00C97DC7" w:rsidP="00C97DC7">
      <w:pPr>
        <w:spacing w:line="560" w:lineRule="exact"/>
        <w:ind w:firstLine="640"/>
        <w:rPr>
          <w:bCs/>
          <w:szCs w:val="32"/>
        </w:rPr>
      </w:pPr>
      <w:r>
        <w:rPr>
          <w:rFonts w:hint="eastAsia"/>
          <w:bCs/>
          <w:szCs w:val="32"/>
        </w:rPr>
        <w:t>第十五条</w:t>
      </w:r>
      <w:r>
        <w:rPr>
          <w:rFonts w:hint="eastAsia"/>
          <w:bCs/>
          <w:szCs w:val="32"/>
        </w:rPr>
        <w:t xml:space="preserve">  </w:t>
      </w:r>
      <w:r>
        <w:rPr>
          <w:rFonts w:hint="eastAsia"/>
          <w:bCs/>
          <w:szCs w:val="32"/>
        </w:rPr>
        <w:t>绩效评价标准通常包括计划标准、行业标准、历史标准等，用于对绩效指标完成情况进行比较。</w:t>
      </w:r>
    </w:p>
    <w:p w:rsidR="00C97DC7" w:rsidRDefault="00C97DC7" w:rsidP="00C97DC7">
      <w:pPr>
        <w:spacing w:line="560" w:lineRule="exact"/>
        <w:ind w:firstLine="640"/>
        <w:rPr>
          <w:bCs/>
          <w:szCs w:val="32"/>
        </w:rPr>
      </w:pPr>
      <w:r>
        <w:rPr>
          <w:rFonts w:hint="eastAsia"/>
          <w:bCs/>
          <w:szCs w:val="32"/>
        </w:rPr>
        <w:t>（一）计划标准。指以预先制定的目标、计划、预算、定额等作为评价标准。</w:t>
      </w:r>
    </w:p>
    <w:p w:rsidR="00C97DC7" w:rsidRDefault="00C97DC7" w:rsidP="00C97DC7">
      <w:pPr>
        <w:spacing w:line="560" w:lineRule="exact"/>
        <w:ind w:firstLine="640"/>
        <w:rPr>
          <w:bCs/>
          <w:szCs w:val="32"/>
        </w:rPr>
      </w:pPr>
      <w:r>
        <w:rPr>
          <w:rFonts w:hint="eastAsia"/>
          <w:bCs/>
          <w:szCs w:val="32"/>
        </w:rPr>
        <w:t>（二）行业标准。指参照国家公布的行业指标数据制定的评价标准。</w:t>
      </w:r>
    </w:p>
    <w:p w:rsidR="00C97DC7" w:rsidRDefault="00C97DC7" w:rsidP="00C97DC7">
      <w:pPr>
        <w:spacing w:line="560" w:lineRule="exact"/>
        <w:ind w:firstLine="640"/>
        <w:rPr>
          <w:bCs/>
          <w:szCs w:val="32"/>
        </w:rPr>
      </w:pPr>
      <w:r>
        <w:rPr>
          <w:rFonts w:hint="eastAsia"/>
          <w:bCs/>
          <w:szCs w:val="32"/>
        </w:rPr>
        <w:t>（三）历史标准。指参照历史数据制定的评价标准，为体现绩效改进的原则，在可实现的条件下应当确定相对较高的评价标准。</w:t>
      </w:r>
    </w:p>
    <w:p w:rsidR="00C97DC7" w:rsidRDefault="00C97DC7" w:rsidP="00C97DC7">
      <w:pPr>
        <w:spacing w:line="560" w:lineRule="exact"/>
        <w:ind w:firstLine="640"/>
        <w:rPr>
          <w:bCs/>
          <w:szCs w:val="32"/>
        </w:rPr>
      </w:pPr>
      <w:r>
        <w:rPr>
          <w:rFonts w:hint="eastAsia"/>
          <w:bCs/>
          <w:szCs w:val="32"/>
        </w:rPr>
        <w:t>（四）财政部门和预算部门确认或认可的其他标准。</w:t>
      </w:r>
    </w:p>
    <w:p w:rsidR="00C97DC7" w:rsidRDefault="00C97DC7" w:rsidP="00C97DC7">
      <w:pPr>
        <w:spacing w:line="560" w:lineRule="exact"/>
        <w:ind w:firstLine="640"/>
        <w:rPr>
          <w:bCs/>
          <w:szCs w:val="32"/>
        </w:rPr>
      </w:pPr>
      <w:r>
        <w:rPr>
          <w:rFonts w:hint="eastAsia"/>
          <w:bCs/>
          <w:szCs w:val="32"/>
        </w:rPr>
        <w:t>第十六条</w:t>
      </w:r>
      <w:r>
        <w:rPr>
          <w:rFonts w:hint="eastAsia"/>
          <w:bCs/>
          <w:szCs w:val="32"/>
        </w:rPr>
        <w:t xml:space="preserve">  </w:t>
      </w:r>
      <w:r>
        <w:rPr>
          <w:rFonts w:hint="eastAsia"/>
          <w:bCs/>
          <w:szCs w:val="32"/>
        </w:rPr>
        <w:t>单位自评采用目标与结果比较法，并根据比较结果划分评价等次。</w:t>
      </w:r>
    </w:p>
    <w:p w:rsidR="00C97DC7" w:rsidRDefault="00C97DC7" w:rsidP="00C97DC7">
      <w:pPr>
        <w:spacing w:line="560" w:lineRule="exact"/>
        <w:ind w:firstLine="640"/>
        <w:rPr>
          <w:bCs/>
          <w:color w:val="FF0000"/>
          <w:szCs w:val="32"/>
        </w:rPr>
      </w:pPr>
      <w:r>
        <w:rPr>
          <w:rFonts w:hint="eastAsia"/>
          <w:bCs/>
          <w:szCs w:val="32"/>
        </w:rPr>
        <w:t>单位自评等级分为优、良、中、差。年度预算执行进度低于</w:t>
      </w:r>
      <w:r>
        <w:rPr>
          <w:bCs/>
          <w:szCs w:val="32"/>
        </w:rPr>
        <w:t>95%</w:t>
      </w:r>
      <w:r>
        <w:rPr>
          <w:rFonts w:hint="eastAsia"/>
          <w:bCs/>
          <w:szCs w:val="32"/>
        </w:rPr>
        <w:t>的，自评等级在优以下，低于</w:t>
      </w:r>
      <w:r>
        <w:rPr>
          <w:bCs/>
          <w:szCs w:val="32"/>
        </w:rPr>
        <w:t>85%</w:t>
      </w:r>
      <w:r>
        <w:rPr>
          <w:rFonts w:hint="eastAsia"/>
          <w:bCs/>
          <w:szCs w:val="32"/>
        </w:rPr>
        <w:t>的，自评等级在良以下；整体产出完成率低于</w:t>
      </w:r>
      <w:r>
        <w:rPr>
          <w:bCs/>
          <w:szCs w:val="32"/>
        </w:rPr>
        <w:t>90%</w:t>
      </w:r>
      <w:r>
        <w:rPr>
          <w:rFonts w:hint="eastAsia"/>
          <w:bCs/>
          <w:szCs w:val="32"/>
        </w:rPr>
        <w:t>的，自评等级在优以下，低于</w:t>
      </w:r>
      <w:r>
        <w:rPr>
          <w:bCs/>
          <w:szCs w:val="32"/>
        </w:rPr>
        <w:t>80%</w:t>
      </w:r>
      <w:r>
        <w:rPr>
          <w:rFonts w:hint="eastAsia"/>
          <w:bCs/>
          <w:szCs w:val="32"/>
        </w:rPr>
        <w:t>的，自评等级在良以下；评价年度中项目管理出现重大违法违纪行为的，自评等级为差。</w:t>
      </w:r>
    </w:p>
    <w:p w:rsidR="00C97DC7" w:rsidRDefault="00C97DC7" w:rsidP="00C97DC7">
      <w:pPr>
        <w:spacing w:line="560" w:lineRule="exact"/>
        <w:ind w:firstLine="640"/>
        <w:rPr>
          <w:bCs/>
          <w:szCs w:val="32"/>
        </w:rPr>
      </w:pPr>
      <w:r>
        <w:rPr>
          <w:rFonts w:hint="eastAsia"/>
          <w:bCs/>
          <w:szCs w:val="32"/>
        </w:rPr>
        <w:t>第十七条</w:t>
      </w:r>
      <w:r>
        <w:rPr>
          <w:rFonts w:hint="eastAsia"/>
          <w:bCs/>
          <w:szCs w:val="32"/>
        </w:rPr>
        <w:t xml:space="preserve">  </w:t>
      </w:r>
      <w:r>
        <w:rPr>
          <w:rFonts w:hint="eastAsia"/>
          <w:bCs/>
          <w:szCs w:val="32"/>
        </w:rPr>
        <w:t>财政和部门评价的方法主要包括成本效益分析法、比较法、因素分析法、最低成本法、公众评判法、标杆管理法等。根据评价对象的具体情况，可采用一种或多种方法。</w:t>
      </w:r>
    </w:p>
    <w:p w:rsidR="00C97DC7" w:rsidRDefault="00C97DC7" w:rsidP="00C97DC7">
      <w:pPr>
        <w:spacing w:line="560" w:lineRule="exact"/>
        <w:ind w:firstLine="640"/>
        <w:rPr>
          <w:bCs/>
          <w:szCs w:val="32"/>
        </w:rPr>
      </w:pPr>
      <w:r>
        <w:rPr>
          <w:rFonts w:hint="eastAsia"/>
          <w:bCs/>
          <w:szCs w:val="32"/>
        </w:rPr>
        <w:t>（一）成本效益分析法。是指将投入与产出、效益进行关联</w:t>
      </w:r>
      <w:r>
        <w:rPr>
          <w:rFonts w:hint="eastAsia"/>
          <w:bCs/>
          <w:szCs w:val="32"/>
        </w:rPr>
        <w:lastRenderedPageBreak/>
        <w:t>性分析的方法。</w:t>
      </w:r>
    </w:p>
    <w:p w:rsidR="00C97DC7" w:rsidRDefault="00C97DC7" w:rsidP="00C97DC7">
      <w:pPr>
        <w:spacing w:line="560" w:lineRule="exact"/>
        <w:ind w:firstLine="640"/>
        <w:rPr>
          <w:bCs/>
          <w:szCs w:val="32"/>
        </w:rPr>
      </w:pPr>
      <w:r>
        <w:rPr>
          <w:rFonts w:hint="eastAsia"/>
          <w:bCs/>
          <w:szCs w:val="32"/>
        </w:rPr>
        <w:t>（二）比较法。是指将实施情况与绩效目标、历史情况、不同部门和地区同类支出情况进行比较的方法。</w:t>
      </w:r>
    </w:p>
    <w:p w:rsidR="00C97DC7" w:rsidRDefault="00C97DC7" w:rsidP="00C97DC7">
      <w:pPr>
        <w:spacing w:line="560" w:lineRule="exact"/>
        <w:ind w:firstLine="640"/>
        <w:rPr>
          <w:bCs/>
          <w:szCs w:val="32"/>
        </w:rPr>
      </w:pPr>
      <w:r>
        <w:rPr>
          <w:rFonts w:hint="eastAsia"/>
          <w:bCs/>
          <w:szCs w:val="32"/>
        </w:rPr>
        <w:t>（三）因素分析法。是指综合分析影响绩效目标实现、实施效果的内外部因素的方法。</w:t>
      </w:r>
    </w:p>
    <w:p w:rsidR="00C97DC7" w:rsidRDefault="00C97DC7" w:rsidP="00C97DC7">
      <w:pPr>
        <w:spacing w:line="560" w:lineRule="exact"/>
        <w:ind w:firstLine="640"/>
        <w:rPr>
          <w:bCs/>
          <w:szCs w:val="32"/>
        </w:rPr>
      </w:pPr>
      <w:r>
        <w:rPr>
          <w:rFonts w:hint="eastAsia"/>
          <w:bCs/>
          <w:szCs w:val="32"/>
        </w:rPr>
        <w:t>（四）最低成本法。是指在绩效目标确定的前提下，成本最小者为优的方法。</w:t>
      </w:r>
    </w:p>
    <w:p w:rsidR="00C97DC7" w:rsidRDefault="00C97DC7" w:rsidP="00C97DC7">
      <w:pPr>
        <w:spacing w:line="560" w:lineRule="exact"/>
        <w:ind w:firstLine="640"/>
        <w:rPr>
          <w:bCs/>
          <w:szCs w:val="32"/>
        </w:rPr>
      </w:pPr>
      <w:r>
        <w:rPr>
          <w:rFonts w:hint="eastAsia"/>
          <w:bCs/>
          <w:szCs w:val="32"/>
        </w:rPr>
        <w:t>（五）公众评判法。是指通过专家评估、公众问卷及抽样调查等方式进行评判的方法。</w:t>
      </w:r>
    </w:p>
    <w:p w:rsidR="00C97DC7" w:rsidRDefault="00C97DC7" w:rsidP="00C97DC7">
      <w:pPr>
        <w:spacing w:line="560" w:lineRule="exact"/>
        <w:ind w:firstLine="640"/>
        <w:rPr>
          <w:bCs/>
          <w:szCs w:val="32"/>
        </w:rPr>
      </w:pPr>
      <w:r>
        <w:rPr>
          <w:rFonts w:hint="eastAsia"/>
          <w:bCs/>
          <w:szCs w:val="32"/>
        </w:rPr>
        <w:t>（六）标杆管理法。是指以国内外同行业中较高的绩效水平为标杆进行评判的方法。</w:t>
      </w:r>
    </w:p>
    <w:p w:rsidR="00C97DC7" w:rsidRDefault="00C97DC7" w:rsidP="00C97DC7">
      <w:pPr>
        <w:spacing w:line="560" w:lineRule="exact"/>
        <w:ind w:firstLine="640"/>
        <w:rPr>
          <w:bCs/>
          <w:szCs w:val="32"/>
        </w:rPr>
      </w:pPr>
      <w:r>
        <w:rPr>
          <w:rFonts w:hint="eastAsia"/>
          <w:bCs/>
          <w:szCs w:val="32"/>
        </w:rPr>
        <w:t>（七）其他评价方法。</w:t>
      </w:r>
    </w:p>
    <w:p w:rsidR="00C97DC7" w:rsidRDefault="00C97DC7" w:rsidP="00C97DC7">
      <w:pPr>
        <w:spacing w:line="560" w:lineRule="exact"/>
        <w:ind w:firstLine="640"/>
        <w:rPr>
          <w:bCs/>
          <w:szCs w:val="32"/>
        </w:rPr>
      </w:pPr>
      <w:r>
        <w:rPr>
          <w:rFonts w:hint="eastAsia"/>
          <w:bCs/>
          <w:szCs w:val="32"/>
        </w:rPr>
        <w:t>第十八条</w:t>
      </w:r>
      <w:r>
        <w:rPr>
          <w:rFonts w:hint="eastAsia"/>
          <w:bCs/>
          <w:szCs w:val="32"/>
        </w:rPr>
        <w:t xml:space="preserve">  </w:t>
      </w:r>
      <w:r>
        <w:rPr>
          <w:rFonts w:hint="eastAsia"/>
          <w:bCs/>
          <w:szCs w:val="32"/>
        </w:rPr>
        <w:t>财政和部门</w:t>
      </w:r>
      <w:r>
        <w:rPr>
          <w:rFonts w:hint="eastAsia"/>
          <w:szCs w:val="32"/>
        </w:rPr>
        <w:t>绩效评价结果采取评分和评级相结合的方式，具体分值和等级可根据</w:t>
      </w:r>
      <w:r>
        <w:rPr>
          <w:rFonts w:hint="eastAsia"/>
          <w:bCs/>
          <w:szCs w:val="32"/>
        </w:rPr>
        <w:t>不同评价内容设定。总分一般设置为</w:t>
      </w:r>
      <w:r>
        <w:rPr>
          <w:bCs/>
          <w:szCs w:val="32"/>
        </w:rPr>
        <w:t>100</w:t>
      </w:r>
      <w:r>
        <w:rPr>
          <w:rFonts w:hint="eastAsia"/>
          <w:bCs/>
          <w:szCs w:val="32"/>
        </w:rPr>
        <w:t>分，等级一般划分为四档：</w:t>
      </w:r>
      <w:r>
        <w:rPr>
          <w:rFonts w:hAnsi="华文中宋"/>
          <w:szCs w:val="32"/>
        </w:rPr>
        <w:t>90</w:t>
      </w:r>
      <w:r>
        <w:rPr>
          <w:rFonts w:hAnsi="华文中宋" w:hint="eastAsia"/>
          <w:szCs w:val="32"/>
        </w:rPr>
        <w:t>（含）</w:t>
      </w:r>
      <w:r>
        <w:rPr>
          <w:rFonts w:hAnsi="华文中宋"/>
          <w:szCs w:val="32"/>
        </w:rPr>
        <w:t>-100</w:t>
      </w:r>
      <w:r>
        <w:rPr>
          <w:rFonts w:hAnsi="华文中宋" w:hint="eastAsia"/>
          <w:szCs w:val="32"/>
        </w:rPr>
        <w:t>分为优、</w:t>
      </w:r>
      <w:r>
        <w:rPr>
          <w:rFonts w:hAnsi="华文中宋"/>
          <w:szCs w:val="32"/>
        </w:rPr>
        <w:t>80</w:t>
      </w:r>
      <w:r>
        <w:rPr>
          <w:rFonts w:hAnsi="华文中宋" w:hint="eastAsia"/>
          <w:szCs w:val="32"/>
        </w:rPr>
        <w:t>（含）</w:t>
      </w:r>
      <w:r>
        <w:rPr>
          <w:rFonts w:hAnsi="华文中宋"/>
          <w:szCs w:val="32"/>
        </w:rPr>
        <w:t>-90</w:t>
      </w:r>
      <w:r>
        <w:rPr>
          <w:rFonts w:hAnsi="华文中宋" w:hint="eastAsia"/>
          <w:szCs w:val="32"/>
        </w:rPr>
        <w:t>分为良、</w:t>
      </w:r>
      <w:r>
        <w:rPr>
          <w:rFonts w:hAnsi="华文中宋"/>
          <w:szCs w:val="32"/>
        </w:rPr>
        <w:t>60</w:t>
      </w:r>
      <w:r>
        <w:rPr>
          <w:rFonts w:hAnsi="华文中宋" w:hint="eastAsia"/>
          <w:szCs w:val="32"/>
        </w:rPr>
        <w:t>（含）</w:t>
      </w:r>
      <w:r>
        <w:rPr>
          <w:rFonts w:hAnsi="华文中宋"/>
          <w:szCs w:val="32"/>
        </w:rPr>
        <w:t>-80</w:t>
      </w:r>
      <w:r>
        <w:rPr>
          <w:rFonts w:hAnsi="华文中宋" w:hint="eastAsia"/>
          <w:szCs w:val="32"/>
        </w:rPr>
        <w:t>分为中、</w:t>
      </w:r>
      <w:r>
        <w:rPr>
          <w:rFonts w:hAnsi="华文中宋"/>
          <w:szCs w:val="32"/>
        </w:rPr>
        <w:t>60</w:t>
      </w:r>
      <w:r>
        <w:rPr>
          <w:rFonts w:hAnsi="华文中宋" w:hint="eastAsia"/>
          <w:szCs w:val="32"/>
        </w:rPr>
        <w:t>分以下为差。</w:t>
      </w:r>
    </w:p>
    <w:p w:rsidR="00C97DC7" w:rsidRDefault="00C97DC7" w:rsidP="00C97DC7">
      <w:pPr>
        <w:spacing w:beforeLines="50" w:afterLines="50" w:line="560" w:lineRule="exact"/>
        <w:ind w:firstLineChars="0" w:firstLine="0"/>
        <w:jc w:val="center"/>
        <w:rPr>
          <w:rFonts w:ascii="黑体" w:eastAsia="黑体"/>
          <w:bCs/>
          <w:szCs w:val="32"/>
        </w:rPr>
      </w:pPr>
      <w:r>
        <w:rPr>
          <w:rFonts w:ascii="黑体" w:eastAsia="黑体" w:hint="eastAsia"/>
          <w:bCs/>
          <w:szCs w:val="32"/>
        </w:rPr>
        <w:t>第四章  绩效评价的组织管理与实施</w:t>
      </w:r>
    </w:p>
    <w:p w:rsidR="00C97DC7" w:rsidRDefault="00C97DC7" w:rsidP="00C97DC7">
      <w:pPr>
        <w:spacing w:line="560" w:lineRule="exact"/>
        <w:ind w:firstLine="640"/>
        <w:rPr>
          <w:bCs/>
          <w:szCs w:val="32"/>
        </w:rPr>
      </w:pPr>
      <w:r>
        <w:rPr>
          <w:rFonts w:hint="eastAsia"/>
          <w:bCs/>
          <w:szCs w:val="32"/>
        </w:rPr>
        <w:t>第十九条</w:t>
      </w:r>
      <w:r>
        <w:rPr>
          <w:rFonts w:hint="eastAsia"/>
          <w:bCs/>
          <w:szCs w:val="32"/>
        </w:rPr>
        <w:t xml:space="preserve">  </w:t>
      </w:r>
      <w:r>
        <w:rPr>
          <w:rFonts w:hint="eastAsia"/>
          <w:bCs/>
          <w:szCs w:val="32"/>
        </w:rPr>
        <w:t>财政部门负责拟定绩效评价制度办法，指导区级各部门开展绩效评价工作；会同有关部门确定</w:t>
      </w:r>
      <w:r>
        <w:rPr>
          <w:bCs/>
          <w:szCs w:val="32"/>
        </w:rPr>
        <w:t>部门评价项目，</w:t>
      </w:r>
      <w:r>
        <w:rPr>
          <w:rFonts w:hint="eastAsia"/>
          <w:bCs/>
          <w:szCs w:val="32"/>
        </w:rPr>
        <w:t>对部门评价情况进行考评，督促部门充分应用自评和评价结果；根据需要组织实施绩效评价，加强评价结果反馈和应用。</w:t>
      </w:r>
    </w:p>
    <w:p w:rsidR="00C97DC7" w:rsidRDefault="00C97DC7" w:rsidP="00C97DC7">
      <w:pPr>
        <w:spacing w:line="560" w:lineRule="exact"/>
        <w:ind w:firstLine="640"/>
        <w:rPr>
          <w:bCs/>
          <w:szCs w:val="32"/>
        </w:rPr>
      </w:pPr>
      <w:r>
        <w:rPr>
          <w:rFonts w:hint="eastAsia"/>
          <w:bCs/>
          <w:szCs w:val="32"/>
        </w:rPr>
        <w:t>第二十条</w:t>
      </w:r>
      <w:r>
        <w:rPr>
          <w:rFonts w:hint="eastAsia"/>
          <w:bCs/>
          <w:szCs w:val="32"/>
        </w:rPr>
        <w:t xml:space="preserve">  </w:t>
      </w:r>
      <w:r>
        <w:rPr>
          <w:rFonts w:hint="eastAsia"/>
          <w:bCs/>
          <w:szCs w:val="32"/>
        </w:rPr>
        <w:t>预算部门负责制定本部门绩效评价办法，组织部</w:t>
      </w:r>
      <w:r>
        <w:rPr>
          <w:rFonts w:hint="eastAsia"/>
          <w:bCs/>
          <w:szCs w:val="32"/>
        </w:rPr>
        <w:lastRenderedPageBreak/>
        <w:t>门本级和所属单位开展自评工作，汇总自评结果，加强自评结果审核和应用；具体组织实施部门评价工作，加强评价结果反馈和应用。积极配合财政评价工作，落实评价整改意见。</w:t>
      </w:r>
    </w:p>
    <w:p w:rsidR="00C97DC7" w:rsidRDefault="00C97DC7" w:rsidP="00C97DC7">
      <w:pPr>
        <w:spacing w:line="560" w:lineRule="exact"/>
        <w:ind w:firstLine="640"/>
        <w:rPr>
          <w:bCs/>
          <w:szCs w:val="32"/>
        </w:rPr>
      </w:pPr>
      <w:r>
        <w:rPr>
          <w:rFonts w:hint="eastAsia"/>
          <w:bCs/>
          <w:szCs w:val="32"/>
        </w:rPr>
        <w:t>第二十一条</w:t>
      </w:r>
      <w:r>
        <w:rPr>
          <w:rFonts w:hint="eastAsia"/>
          <w:bCs/>
          <w:szCs w:val="32"/>
        </w:rPr>
        <w:t xml:space="preserve">  </w:t>
      </w:r>
      <w:r>
        <w:rPr>
          <w:rFonts w:hint="eastAsia"/>
          <w:bCs/>
          <w:szCs w:val="32"/>
        </w:rPr>
        <w:t>部门本级和所属单位按照要求具体负责自评工作，对自评结果的真实性和准确性负责，自评中发现的问题要及时进行整改。单位自评工作原则上应当在次年</w:t>
      </w:r>
      <w:r>
        <w:rPr>
          <w:bCs/>
          <w:szCs w:val="32"/>
        </w:rPr>
        <w:t>3</w:t>
      </w:r>
      <w:r>
        <w:rPr>
          <w:rFonts w:hint="eastAsia"/>
          <w:bCs/>
          <w:szCs w:val="32"/>
        </w:rPr>
        <w:t>月份完成。</w:t>
      </w:r>
    </w:p>
    <w:p w:rsidR="00C97DC7" w:rsidRDefault="00C97DC7" w:rsidP="00C97DC7">
      <w:pPr>
        <w:spacing w:line="560" w:lineRule="exact"/>
        <w:ind w:firstLine="640"/>
        <w:rPr>
          <w:bCs/>
          <w:szCs w:val="32"/>
        </w:rPr>
      </w:pPr>
      <w:r>
        <w:rPr>
          <w:rFonts w:hint="eastAsia"/>
          <w:bCs/>
          <w:szCs w:val="32"/>
        </w:rPr>
        <w:t>第二十二条</w:t>
      </w:r>
      <w:r>
        <w:rPr>
          <w:rFonts w:hint="eastAsia"/>
          <w:bCs/>
          <w:szCs w:val="32"/>
        </w:rPr>
        <w:t xml:space="preserve">  </w:t>
      </w:r>
      <w:r>
        <w:rPr>
          <w:rFonts w:hint="eastAsia"/>
          <w:bCs/>
          <w:szCs w:val="32"/>
        </w:rPr>
        <w:t>财政和部门评价工作主要包括以下环节：</w:t>
      </w:r>
    </w:p>
    <w:p w:rsidR="00C97DC7" w:rsidRDefault="00C97DC7" w:rsidP="00C97DC7">
      <w:pPr>
        <w:spacing w:line="560" w:lineRule="exact"/>
        <w:ind w:firstLine="640"/>
        <w:rPr>
          <w:bCs/>
          <w:szCs w:val="32"/>
        </w:rPr>
      </w:pPr>
      <w:r>
        <w:rPr>
          <w:rFonts w:hint="eastAsia"/>
          <w:bCs/>
          <w:szCs w:val="32"/>
        </w:rPr>
        <w:t>（一）确定绩效评价对象和范围；</w:t>
      </w:r>
    </w:p>
    <w:p w:rsidR="00C97DC7" w:rsidRDefault="00C97DC7" w:rsidP="00C97DC7">
      <w:pPr>
        <w:spacing w:line="560" w:lineRule="exact"/>
        <w:ind w:firstLine="640"/>
        <w:rPr>
          <w:bCs/>
          <w:szCs w:val="32"/>
        </w:rPr>
      </w:pPr>
      <w:r>
        <w:rPr>
          <w:rFonts w:hint="eastAsia"/>
          <w:bCs/>
          <w:szCs w:val="32"/>
        </w:rPr>
        <w:t>（二）下达绩效评价通知；</w:t>
      </w:r>
    </w:p>
    <w:p w:rsidR="00C97DC7" w:rsidRDefault="00C97DC7" w:rsidP="00C97DC7">
      <w:pPr>
        <w:spacing w:line="560" w:lineRule="exact"/>
        <w:ind w:firstLine="640"/>
        <w:rPr>
          <w:bCs/>
          <w:szCs w:val="32"/>
        </w:rPr>
      </w:pPr>
      <w:r>
        <w:rPr>
          <w:rFonts w:hint="eastAsia"/>
          <w:bCs/>
          <w:szCs w:val="32"/>
        </w:rPr>
        <w:t>（三）开展调研，拟订并完善绩效评价工作方案；</w:t>
      </w:r>
    </w:p>
    <w:p w:rsidR="00C97DC7" w:rsidRDefault="00C97DC7" w:rsidP="00C97DC7">
      <w:pPr>
        <w:spacing w:line="560" w:lineRule="exact"/>
        <w:ind w:firstLine="640"/>
        <w:rPr>
          <w:bCs/>
          <w:szCs w:val="32"/>
        </w:rPr>
      </w:pPr>
      <w:r>
        <w:rPr>
          <w:rFonts w:hint="eastAsia"/>
          <w:bCs/>
          <w:szCs w:val="32"/>
        </w:rPr>
        <w:t>（四）收集绩效评价相关数据资料，并进行现场调研、座谈、测评；</w:t>
      </w:r>
    </w:p>
    <w:p w:rsidR="00C97DC7" w:rsidRDefault="00C97DC7" w:rsidP="00C97DC7">
      <w:pPr>
        <w:spacing w:line="560" w:lineRule="exact"/>
        <w:ind w:firstLine="640"/>
        <w:rPr>
          <w:bCs/>
          <w:szCs w:val="32"/>
        </w:rPr>
      </w:pPr>
      <w:r>
        <w:rPr>
          <w:rFonts w:hint="eastAsia"/>
          <w:bCs/>
          <w:szCs w:val="32"/>
        </w:rPr>
        <w:t>（五）核实有关情况，分析形成初步结论；</w:t>
      </w:r>
    </w:p>
    <w:p w:rsidR="00C97DC7" w:rsidRDefault="00C97DC7" w:rsidP="00C97DC7">
      <w:pPr>
        <w:spacing w:line="560" w:lineRule="exact"/>
        <w:ind w:firstLine="640"/>
        <w:rPr>
          <w:bCs/>
          <w:szCs w:val="32"/>
        </w:rPr>
      </w:pPr>
      <w:r>
        <w:rPr>
          <w:rFonts w:hint="eastAsia"/>
          <w:bCs/>
          <w:szCs w:val="32"/>
        </w:rPr>
        <w:t>（六）与被评价部门（单位）交换意见；</w:t>
      </w:r>
    </w:p>
    <w:p w:rsidR="00C97DC7" w:rsidRDefault="00C97DC7" w:rsidP="00C97DC7">
      <w:pPr>
        <w:spacing w:line="560" w:lineRule="exact"/>
        <w:ind w:firstLine="640"/>
        <w:rPr>
          <w:bCs/>
          <w:szCs w:val="32"/>
        </w:rPr>
      </w:pPr>
      <w:r>
        <w:rPr>
          <w:rFonts w:hint="eastAsia"/>
          <w:bCs/>
          <w:szCs w:val="32"/>
        </w:rPr>
        <w:t>（七）综合分析并形成最终结论；</w:t>
      </w:r>
    </w:p>
    <w:p w:rsidR="00C97DC7" w:rsidRDefault="00C97DC7" w:rsidP="00C97DC7">
      <w:pPr>
        <w:spacing w:line="560" w:lineRule="exact"/>
        <w:ind w:firstLine="640"/>
        <w:rPr>
          <w:bCs/>
          <w:szCs w:val="32"/>
        </w:rPr>
      </w:pPr>
      <w:r>
        <w:rPr>
          <w:rFonts w:hint="eastAsia"/>
          <w:bCs/>
          <w:szCs w:val="32"/>
        </w:rPr>
        <w:t>（八）提交绩效评价报告；</w:t>
      </w:r>
    </w:p>
    <w:p w:rsidR="00C97DC7" w:rsidRDefault="00C97DC7" w:rsidP="00C97DC7">
      <w:pPr>
        <w:spacing w:line="560" w:lineRule="exact"/>
        <w:ind w:firstLine="640"/>
        <w:rPr>
          <w:bCs/>
          <w:szCs w:val="32"/>
        </w:rPr>
      </w:pPr>
      <w:r>
        <w:rPr>
          <w:rFonts w:hint="eastAsia"/>
          <w:bCs/>
          <w:szCs w:val="32"/>
        </w:rPr>
        <w:t>（九）建立绩效评价档案。</w:t>
      </w:r>
    </w:p>
    <w:p w:rsidR="00C97DC7" w:rsidRDefault="00C97DC7" w:rsidP="00C97DC7">
      <w:pPr>
        <w:spacing w:line="560" w:lineRule="exact"/>
        <w:ind w:firstLine="640"/>
        <w:rPr>
          <w:bCs/>
          <w:color w:val="FF0000"/>
          <w:szCs w:val="32"/>
        </w:rPr>
      </w:pPr>
      <w:r>
        <w:rPr>
          <w:rFonts w:hint="eastAsia"/>
          <w:bCs/>
          <w:szCs w:val="32"/>
        </w:rPr>
        <w:t>第二十三条</w:t>
      </w:r>
      <w:r>
        <w:rPr>
          <w:rFonts w:hint="eastAsia"/>
          <w:bCs/>
          <w:szCs w:val="32"/>
        </w:rPr>
        <w:t xml:space="preserve">  </w:t>
      </w:r>
      <w:r>
        <w:rPr>
          <w:rFonts w:hint="eastAsia"/>
          <w:bCs/>
          <w:szCs w:val="32"/>
        </w:rPr>
        <w:t>财政和部门评价根据需要可委托第三方机构或相关领域专家（以下简称第三方）参与，并加强对第三方的指导，</w:t>
      </w:r>
      <w:r>
        <w:rPr>
          <w:rFonts w:hint="eastAsia"/>
          <w:szCs w:val="32"/>
        </w:rPr>
        <w:t>对第三方工作质量进行监督管理</w:t>
      </w:r>
      <w:r>
        <w:rPr>
          <w:rFonts w:hint="eastAsia"/>
          <w:bCs/>
          <w:szCs w:val="32"/>
        </w:rPr>
        <w:t>，推动提高评价的客观性和公正性。财政和部门评价工作原则上在次年</w:t>
      </w:r>
      <w:r>
        <w:rPr>
          <w:bCs/>
          <w:szCs w:val="32"/>
        </w:rPr>
        <w:t>5</w:t>
      </w:r>
      <w:r>
        <w:rPr>
          <w:rFonts w:hint="eastAsia"/>
          <w:bCs/>
          <w:szCs w:val="32"/>
        </w:rPr>
        <w:t>月份完成。</w:t>
      </w:r>
    </w:p>
    <w:p w:rsidR="00C97DC7" w:rsidRDefault="00C97DC7" w:rsidP="00C97DC7">
      <w:pPr>
        <w:spacing w:line="560" w:lineRule="exact"/>
        <w:ind w:firstLine="640"/>
        <w:rPr>
          <w:bCs/>
          <w:szCs w:val="32"/>
        </w:rPr>
      </w:pPr>
      <w:r>
        <w:rPr>
          <w:rFonts w:hint="eastAsia"/>
          <w:bCs/>
          <w:szCs w:val="32"/>
        </w:rPr>
        <w:t>第二十四条</w:t>
      </w:r>
      <w:r>
        <w:rPr>
          <w:rFonts w:hint="eastAsia"/>
          <w:bCs/>
          <w:szCs w:val="32"/>
        </w:rPr>
        <w:t xml:space="preserve">  </w:t>
      </w:r>
      <w:r>
        <w:rPr>
          <w:rFonts w:hint="eastAsia"/>
          <w:bCs/>
          <w:szCs w:val="32"/>
        </w:rPr>
        <w:t>部门委托第三方开展绩效评价的，要体现委托人与项目实施主体相分离的原则，未设立独立评价机构的，一般</w:t>
      </w:r>
      <w:r>
        <w:rPr>
          <w:rFonts w:hint="eastAsia"/>
          <w:bCs/>
          <w:szCs w:val="32"/>
        </w:rPr>
        <w:lastRenderedPageBreak/>
        <w:t>由主管财务的机构委托，确保绩效评价的独立、客观、公正。</w:t>
      </w:r>
    </w:p>
    <w:p w:rsidR="00C97DC7" w:rsidRDefault="00C97DC7" w:rsidP="00C97DC7">
      <w:pPr>
        <w:spacing w:beforeLines="50" w:afterLines="50" w:line="560" w:lineRule="exact"/>
        <w:ind w:firstLineChars="0" w:firstLine="0"/>
        <w:jc w:val="center"/>
        <w:rPr>
          <w:rFonts w:ascii="黑体" w:eastAsia="黑体"/>
          <w:bCs/>
          <w:szCs w:val="32"/>
        </w:rPr>
      </w:pPr>
      <w:r>
        <w:rPr>
          <w:rFonts w:ascii="黑体" w:eastAsia="黑体" w:hint="eastAsia"/>
          <w:bCs/>
          <w:szCs w:val="32"/>
        </w:rPr>
        <w:t>第五章　绩效评价结果应用及公开</w:t>
      </w:r>
    </w:p>
    <w:p w:rsidR="00C97DC7" w:rsidRDefault="00C97DC7" w:rsidP="00C97DC7">
      <w:pPr>
        <w:spacing w:line="560" w:lineRule="exact"/>
        <w:ind w:firstLine="640"/>
        <w:rPr>
          <w:bCs/>
          <w:szCs w:val="32"/>
        </w:rPr>
      </w:pPr>
      <w:r>
        <w:rPr>
          <w:rFonts w:hint="eastAsia"/>
          <w:bCs/>
          <w:szCs w:val="32"/>
        </w:rPr>
        <w:t>第二十五条</w:t>
      </w:r>
      <w:r>
        <w:rPr>
          <w:rFonts w:hint="eastAsia"/>
          <w:bCs/>
          <w:szCs w:val="32"/>
        </w:rPr>
        <w:t xml:space="preserve">  </w:t>
      </w:r>
      <w:r>
        <w:rPr>
          <w:rFonts w:hint="eastAsia"/>
          <w:bCs/>
          <w:szCs w:val="32"/>
        </w:rPr>
        <w:t>单位自评结果主要通过项目支出绩效自评表的形式反映（自评表式参见附件</w:t>
      </w:r>
      <w:r>
        <w:rPr>
          <w:bCs/>
          <w:szCs w:val="32"/>
        </w:rPr>
        <w:t>1</w:t>
      </w:r>
      <w:r>
        <w:rPr>
          <w:rFonts w:hint="eastAsia"/>
          <w:bCs/>
          <w:szCs w:val="32"/>
        </w:rPr>
        <w:t>、</w:t>
      </w:r>
      <w:r>
        <w:rPr>
          <w:bCs/>
          <w:szCs w:val="32"/>
        </w:rPr>
        <w:t>2</w:t>
      </w:r>
      <w:r>
        <w:rPr>
          <w:rFonts w:hint="eastAsia"/>
          <w:bCs/>
          <w:szCs w:val="32"/>
        </w:rPr>
        <w:t>），做到内容完整、数据真实、结论客观。财政和部门评价结果主要以绩效评价报告的形式体现，绩效评价报告应当依据充分、分析透彻、逻辑清晰、客观公正（报告格式参见附件</w:t>
      </w:r>
      <w:r>
        <w:rPr>
          <w:bCs/>
          <w:szCs w:val="32"/>
        </w:rPr>
        <w:t>4</w:t>
      </w:r>
      <w:r>
        <w:rPr>
          <w:rFonts w:hint="eastAsia"/>
          <w:bCs/>
          <w:szCs w:val="32"/>
        </w:rPr>
        <w:t>）。</w:t>
      </w:r>
    </w:p>
    <w:p w:rsidR="00C97DC7" w:rsidRDefault="00C97DC7" w:rsidP="00C97DC7">
      <w:pPr>
        <w:spacing w:line="560" w:lineRule="exact"/>
        <w:ind w:firstLine="640"/>
        <w:rPr>
          <w:bCs/>
          <w:szCs w:val="32"/>
        </w:rPr>
      </w:pPr>
      <w:r>
        <w:rPr>
          <w:rFonts w:hint="eastAsia"/>
          <w:bCs/>
          <w:szCs w:val="32"/>
        </w:rPr>
        <w:t>第二十六条</w:t>
      </w:r>
      <w:r>
        <w:rPr>
          <w:rFonts w:hint="eastAsia"/>
          <w:bCs/>
          <w:szCs w:val="32"/>
        </w:rPr>
        <w:t xml:space="preserve">  </w:t>
      </w:r>
      <w:r>
        <w:rPr>
          <w:rFonts w:hint="eastAsia"/>
          <w:bCs/>
          <w:szCs w:val="32"/>
        </w:rPr>
        <w:t>各部门应按要求将单位</w:t>
      </w:r>
      <w:r>
        <w:rPr>
          <w:bCs/>
          <w:szCs w:val="32"/>
        </w:rPr>
        <w:t>自评、</w:t>
      </w:r>
      <w:r>
        <w:rPr>
          <w:rFonts w:hint="eastAsia"/>
          <w:bCs/>
          <w:szCs w:val="32"/>
        </w:rPr>
        <w:t>部门评价结果报送财政部门。部门评价、单位自评结果作为本部门、本单位安排预算、完善政策和改进管理的重要依据。对预算执行率偏低、结果较差的项目，要分析原因，研究整改措施</w:t>
      </w:r>
      <w:r>
        <w:rPr>
          <w:rFonts w:hint="eastAsia"/>
          <w:szCs w:val="32"/>
        </w:rPr>
        <w:t>。</w:t>
      </w:r>
    </w:p>
    <w:p w:rsidR="00C97DC7" w:rsidRDefault="00C97DC7" w:rsidP="00C97DC7">
      <w:pPr>
        <w:spacing w:line="560" w:lineRule="exact"/>
        <w:ind w:firstLine="640"/>
        <w:rPr>
          <w:bCs/>
          <w:szCs w:val="32"/>
        </w:rPr>
      </w:pPr>
      <w:r>
        <w:rPr>
          <w:rFonts w:hint="eastAsia"/>
          <w:bCs/>
          <w:szCs w:val="32"/>
        </w:rPr>
        <w:t>第二十七条</w:t>
      </w:r>
      <w:r>
        <w:rPr>
          <w:rFonts w:hint="eastAsia"/>
          <w:bCs/>
          <w:szCs w:val="32"/>
        </w:rPr>
        <w:t xml:space="preserve">  </w:t>
      </w:r>
      <w:r>
        <w:rPr>
          <w:rFonts w:hint="eastAsia"/>
          <w:bCs/>
          <w:szCs w:val="32"/>
        </w:rPr>
        <w:t>财政部门应在绩效评价工作完成后，及时将评价结果反馈被评价部门（单位）；被评价部门（单位）应当按要求向财政部门报送整改落实情况。</w:t>
      </w:r>
    </w:p>
    <w:p w:rsidR="00C97DC7" w:rsidRDefault="00C97DC7" w:rsidP="00C97DC7">
      <w:pPr>
        <w:spacing w:line="560" w:lineRule="exact"/>
        <w:ind w:firstLine="640"/>
        <w:rPr>
          <w:rFonts w:hint="eastAsia"/>
          <w:bCs/>
          <w:szCs w:val="32"/>
        </w:rPr>
      </w:pPr>
      <w:r>
        <w:rPr>
          <w:rFonts w:hint="eastAsia"/>
          <w:bCs/>
          <w:szCs w:val="32"/>
        </w:rPr>
        <w:t>财政评价结果作为安排政府预算、完善政策和改进管理的重要依据。原则上，等级为优的，</w:t>
      </w:r>
      <w:r>
        <w:rPr>
          <w:rFonts w:hAnsi="仿宋" w:hint="eastAsia"/>
          <w:bCs/>
          <w:szCs w:val="32"/>
        </w:rPr>
        <w:t>根据需要和财力可能，适当优先给予保障；等级为良的，据实予以合理保障；等级为中的，视情核减下一年度预算安排；等级为差的，视情可取消或暂停下一年度预算安排。</w:t>
      </w:r>
    </w:p>
    <w:p w:rsidR="00C97DC7" w:rsidRDefault="00C97DC7" w:rsidP="00C97DC7">
      <w:pPr>
        <w:spacing w:line="560" w:lineRule="exact"/>
        <w:ind w:firstLine="640"/>
        <w:rPr>
          <w:bCs/>
          <w:szCs w:val="32"/>
        </w:rPr>
      </w:pPr>
      <w:r>
        <w:rPr>
          <w:rFonts w:hint="eastAsia"/>
          <w:bCs/>
          <w:szCs w:val="32"/>
        </w:rPr>
        <w:t>第二十八条</w:t>
      </w:r>
      <w:r>
        <w:rPr>
          <w:rFonts w:hint="eastAsia"/>
          <w:bCs/>
          <w:szCs w:val="32"/>
        </w:rPr>
        <w:t xml:space="preserve">  </w:t>
      </w:r>
      <w:r>
        <w:rPr>
          <w:rFonts w:hint="eastAsia"/>
          <w:bCs/>
          <w:szCs w:val="32"/>
        </w:rPr>
        <w:t>绩效评价结果应当依法依规予以公开，主动接受审计、人大监督。</w:t>
      </w:r>
    </w:p>
    <w:p w:rsidR="00C97DC7" w:rsidRDefault="00C97DC7" w:rsidP="00C97DC7">
      <w:pPr>
        <w:spacing w:beforeLines="50" w:afterLines="50" w:line="560" w:lineRule="exact"/>
        <w:ind w:firstLineChars="0" w:firstLine="0"/>
        <w:jc w:val="center"/>
        <w:rPr>
          <w:rFonts w:ascii="黑体" w:eastAsia="黑体" w:hint="eastAsia"/>
          <w:bCs/>
          <w:szCs w:val="32"/>
        </w:rPr>
      </w:pPr>
    </w:p>
    <w:p w:rsidR="00C97DC7" w:rsidRDefault="00C97DC7" w:rsidP="00C97DC7">
      <w:pPr>
        <w:spacing w:beforeLines="50" w:afterLines="50" w:line="560" w:lineRule="exact"/>
        <w:ind w:firstLineChars="0" w:firstLine="0"/>
        <w:jc w:val="center"/>
        <w:rPr>
          <w:rFonts w:ascii="黑体" w:eastAsia="黑体"/>
          <w:bCs/>
          <w:szCs w:val="32"/>
        </w:rPr>
      </w:pPr>
      <w:r>
        <w:rPr>
          <w:rFonts w:ascii="黑体" w:eastAsia="黑体" w:hint="eastAsia"/>
          <w:bCs/>
          <w:szCs w:val="32"/>
        </w:rPr>
        <w:lastRenderedPageBreak/>
        <w:t>第六章　法律责任</w:t>
      </w:r>
    </w:p>
    <w:p w:rsidR="00C97DC7" w:rsidRDefault="00C97DC7" w:rsidP="00C97DC7">
      <w:pPr>
        <w:spacing w:line="560" w:lineRule="exact"/>
        <w:ind w:firstLine="640"/>
        <w:rPr>
          <w:bCs/>
          <w:szCs w:val="32"/>
        </w:rPr>
      </w:pPr>
      <w:r>
        <w:rPr>
          <w:rFonts w:hint="eastAsia"/>
          <w:bCs/>
          <w:szCs w:val="32"/>
        </w:rPr>
        <w:t>第二十九条</w:t>
      </w:r>
      <w:r>
        <w:rPr>
          <w:rFonts w:hint="eastAsia"/>
          <w:bCs/>
          <w:szCs w:val="32"/>
        </w:rPr>
        <w:t xml:space="preserve">  </w:t>
      </w:r>
      <w:r>
        <w:rPr>
          <w:rFonts w:hint="eastAsia"/>
          <w:bCs/>
          <w:szCs w:val="32"/>
        </w:rPr>
        <w:t>对使用财政资金严重低效无效并造成重大损失的责任人，要按照相关规定追责问责。对绩效评价过程中发现的资金使用单位和个人的财政违法行为，依照《中华人民共和国预算法》、《财政违法行为处罚处分条例》等有关规定追究责任；发现违纪违法问题线索的，应当及时移送纪检监察机关。</w:t>
      </w:r>
    </w:p>
    <w:p w:rsidR="00C97DC7" w:rsidRDefault="00C97DC7" w:rsidP="00C97DC7">
      <w:pPr>
        <w:spacing w:line="560" w:lineRule="exact"/>
        <w:ind w:firstLine="640"/>
        <w:rPr>
          <w:szCs w:val="32"/>
        </w:rPr>
      </w:pPr>
      <w:r>
        <w:rPr>
          <w:rFonts w:hint="eastAsia"/>
          <w:bCs/>
          <w:szCs w:val="32"/>
        </w:rPr>
        <w:t>第三十条</w:t>
      </w:r>
      <w:r>
        <w:rPr>
          <w:rFonts w:hint="eastAsia"/>
          <w:bCs/>
          <w:szCs w:val="32"/>
        </w:rPr>
        <w:t xml:space="preserve">  </w:t>
      </w:r>
      <w:r>
        <w:rPr>
          <w:rFonts w:hint="eastAsia"/>
          <w:szCs w:val="32"/>
        </w:rPr>
        <w:t>财政部门、预算部门和单位及其工作人员在绩效评价管理工作中存在违反本办法的行为，以及其他滥用职权、玩忽职守、徇私舞弊等违法违纪行为的，依照《中华人民共和国预算法》、《中华人民共和国公务员法》、《中华人民共和国监察法》、《财政违法行为处罚处分条例》等国家有关规定追究相应责任；涉嫌犯罪的，依法移送司法机关处理。</w:t>
      </w:r>
    </w:p>
    <w:p w:rsidR="00C97DC7" w:rsidRDefault="00C97DC7" w:rsidP="00C97DC7">
      <w:pPr>
        <w:spacing w:line="560" w:lineRule="exact"/>
        <w:ind w:firstLine="640"/>
        <w:rPr>
          <w:bCs/>
          <w:szCs w:val="32"/>
        </w:rPr>
      </w:pPr>
      <w:r>
        <w:rPr>
          <w:rFonts w:hint="eastAsia"/>
          <w:bCs/>
          <w:szCs w:val="32"/>
        </w:rPr>
        <w:t>第三十一条</w:t>
      </w:r>
      <w:r>
        <w:rPr>
          <w:rFonts w:hint="eastAsia"/>
          <w:bCs/>
          <w:szCs w:val="32"/>
        </w:rPr>
        <w:t xml:space="preserve">  </w:t>
      </w:r>
      <w:r>
        <w:rPr>
          <w:rFonts w:hint="eastAsia"/>
          <w:bCs/>
          <w:szCs w:val="32"/>
        </w:rPr>
        <w:t>第三方机构在</w:t>
      </w:r>
      <w:r>
        <w:rPr>
          <w:bCs/>
          <w:szCs w:val="32"/>
        </w:rPr>
        <w:t>绩效评价工作中</w:t>
      </w:r>
      <w:r>
        <w:rPr>
          <w:rFonts w:hint="eastAsia"/>
          <w:bCs/>
          <w:szCs w:val="32"/>
        </w:rPr>
        <w:t>有违背职业操守，或违反财政部门、预算部门相关规定及有关法律法规等行为的，应依法依规及时处理。</w:t>
      </w:r>
    </w:p>
    <w:p w:rsidR="00C97DC7" w:rsidRDefault="00C97DC7" w:rsidP="00C97DC7">
      <w:pPr>
        <w:spacing w:beforeLines="50" w:afterLines="50" w:line="560" w:lineRule="exact"/>
        <w:ind w:firstLineChars="0" w:firstLine="0"/>
        <w:jc w:val="center"/>
        <w:rPr>
          <w:rFonts w:ascii="黑体" w:eastAsia="黑体"/>
          <w:bCs/>
          <w:szCs w:val="32"/>
        </w:rPr>
      </w:pPr>
      <w:r>
        <w:rPr>
          <w:rFonts w:ascii="黑体" w:eastAsia="黑体" w:hint="eastAsia"/>
          <w:bCs/>
          <w:szCs w:val="32"/>
        </w:rPr>
        <w:t>第七章　附则</w:t>
      </w:r>
    </w:p>
    <w:p w:rsidR="00C97DC7" w:rsidRDefault="00C97DC7" w:rsidP="00C97DC7">
      <w:pPr>
        <w:spacing w:line="560" w:lineRule="exact"/>
        <w:ind w:firstLine="640"/>
        <w:rPr>
          <w:bCs/>
          <w:szCs w:val="32"/>
        </w:rPr>
      </w:pPr>
      <w:r>
        <w:rPr>
          <w:rFonts w:hint="eastAsia"/>
          <w:bCs/>
          <w:szCs w:val="32"/>
        </w:rPr>
        <w:t>第三十二条</w:t>
      </w:r>
      <w:r>
        <w:rPr>
          <w:rFonts w:hint="eastAsia"/>
          <w:bCs/>
          <w:szCs w:val="32"/>
        </w:rPr>
        <w:t xml:space="preserve">  </w:t>
      </w:r>
      <w:r>
        <w:rPr>
          <w:rFonts w:hint="eastAsia"/>
          <w:bCs/>
          <w:szCs w:val="32"/>
        </w:rPr>
        <w:t>预算部门可结合实际制定具体的管理办法和实施细则。</w:t>
      </w:r>
    </w:p>
    <w:p w:rsidR="00C97DC7" w:rsidRDefault="00C97DC7" w:rsidP="00C97DC7">
      <w:pPr>
        <w:spacing w:line="560" w:lineRule="exact"/>
        <w:ind w:firstLine="640"/>
        <w:rPr>
          <w:rFonts w:ascii="Times New Roman" w:hAnsi="Times New Roman"/>
          <w:szCs w:val="32"/>
        </w:rPr>
      </w:pPr>
      <w:r>
        <w:rPr>
          <w:rFonts w:hint="eastAsia"/>
          <w:bCs/>
          <w:szCs w:val="32"/>
        </w:rPr>
        <w:t>第三十三条</w:t>
      </w:r>
      <w:r>
        <w:rPr>
          <w:rFonts w:hint="eastAsia"/>
          <w:bCs/>
          <w:szCs w:val="32"/>
        </w:rPr>
        <w:t xml:space="preserve">  </w:t>
      </w:r>
      <w:r>
        <w:rPr>
          <w:rFonts w:hint="eastAsia"/>
          <w:bCs/>
          <w:szCs w:val="32"/>
        </w:rPr>
        <w:t>本办法自印发之日起施行。</w:t>
      </w:r>
    </w:p>
    <w:p w:rsidR="00C97DC7" w:rsidRDefault="00C97DC7" w:rsidP="00C97DC7">
      <w:pPr>
        <w:adjustRightInd w:val="0"/>
        <w:snapToGrid w:val="0"/>
        <w:spacing w:line="360" w:lineRule="auto"/>
        <w:ind w:firstLineChars="0" w:firstLine="0"/>
        <w:rPr>
          <w:rFonts w:ascii="Times New Roman" w:hAnsi="Times New Roman"/>
          <w:szCs w:val="32"/>
        </w:rPr>
      </w:pPr>
    </w:p>
    <w:p w:rsidR="00C97DC7" w:rsidRDefault="00C97DC7" w:rsidP="00C97DC7">
      <w:pPr>
        <w:adjustRightInd w:val="0"/>
        <w:snapToGrid w:val="0"/>
        <w:spacing w:line="560" w:lineRule="exact"/>
        <w:ind w:firstLineChars="0" w:firstLine="0"/>
        <w:rPr>
          <w:rFonts w:ascii="Times New Roman" w:hAnsi="Times New Roman"/>
          <w:szCs w:val="32"/>
        </w:rPr>
      </w:pPr>
    </w:p>
    <w:p w:rsidR="00C97DC7" w:rsidRDefault="00C97DC7" w:rsidP="00C97DC7">
      <w:pPr>
        <w:pStyle w:val="a7"/>
        <w:ind w:firstLineChars="0" w:firstLine="0"/>
        <w:rPr>
          <w:rFonts w:hint="eastAsia"/>
        </w:rPr>
      </w:pPr>
    </w:p>
    <w:p w:rsidR="00C97DC7" w:rsidRDefault="00C97DC7" w:rsidP="00C97DC7">
      <w:pPr>
        <w:pStyle w:val="a7"/>
        <w:ind w:firstLineChars="0" w:firstLine="0"/>
      </w:pPr>
      <w:r>
        <w:rPr>
          <w:rFonts w:hint="eastAsia"/>
        </w:rPr>
        <w:lastRenderedPageBreak/>
        <w:t>附件</w:t>
      </w:r>
      <w:r>
        <w:t>1</w:t>
      </w:r>
    </w:p>
    <w:p w:rsidR="00C97DC7" w:rsidRDefault="00C97DC7" w:rsidP="00C97DC7">
      <w:pPr>
        <w:pStyle w:val="a7"/>
        <w:spacing w:line="300" w:lineRule="exact"/>
        <w:ind w:firstLineChars="0" w:firstLine="0"/>
      </w:pPr>
    </w:p>
    <w:p w:rsidR="00C97DC7" w:rsidRDefault="00C97DC7" w:rsidP="00C97DC7">
      <w:pPr>
        <w:ind w:firstLineChars="0" w:firstLine="0"/>
        <w:jc w:val="center"/>
        <w:rPr>
          <w:rFonts w:ascii="方正小标宋简体" w:eastAsia="方正小标宋简体" w:hint="eastAsia"/>
          <w:sz w:val="42"/>
          <w:szCs w:val="42"/>
        </w:rPr>
      </w:pPr>
      <w:r>
        <w:rPr>
          <w:rFonts w:ascii="方正小标宋简体" w:eastAsia="方正小标宋简体" w:hint="eastAsia"/>
          <w:sz w:val="42"/>
          <w:szCs w:val="42"/>
        </w:rPr>
        <w:t>部门专项支出绩效自评表</w:t>
      </w:r>
    </w:p>
    <w:p w:rsidR="00C97DC7" w:rsidRDefault="00C97DC7" w:rsidP="00C97DC7">
      <w:pPr>
        <w:ind w:firstLineChars="0" w:firstLine="0"/>
        <w:jc w:val="center"/>
        <w:rPr>
          <w:rFonts w:ascii="黑体" w:eastAsia="黑体" w:hAnsi="黑体"/>
        </w:rPr>
      </w:pPr>
      <w:r>
        <w:rPr>
          <w:rFonts w:hint="eastAsia"/>
        </w:rPr>
        <w:t xml:space="preserve">（　　</w:t>
      </w:r>
      <w:r>
        <w:rPr>
          <w:rStyle w:val="Char0"/>
          <w:rFonts w:hint="eastAsia"/>
        </w:rPr>
        <w:t>年度</w:t>
      </w:r>
      <w:r>
        <w:rPr>
          <w:rFonts w:hint="eastAsia"/>
        </w:rPr>
        <w:t>）</w:t>
      </w:r>
    </w:p>
    <w:tbl>
      <w:tblPr>
        <w:tblW w:w="10079" w:type="dxa"/>
        <w:jc w:val="center"/>
        <w:tblLook w:val="0000"/>
      </w:tblPr>
      <w:tblGrid>
        <w:gridCol w:w="1701"/>
        <w:gridCol w:w="1276"/>
        <w:gridCol w:w="1180"/>
        <w:gridCol w:w="228"/>
        <w:gridCol w:w="1114"/>
        <w:gridCol w:w="1220"/>
        <w:gridCol w:w="1220"/>
        <w:gridCol w:w="1080"/>
        <w:gridCol w:w="1060"/>
      </w:tblGrid>
      <w:tr w:rsidR="00C97DC7" w:rsidTr="00F87D21">
        <w:trPr>
          <w:trHeight w:val="375"/>
          <w:jc w:val="center"/>
        </w:trPr>
        <w:tc>
          <w:tcPr>
            <w:tcW w:w="2977" w:type="dxa"/>
            <w:gridSpan w:val="2"/>
            <w:tcBorders>
              <w:top w:val="nil"/>
              <w:left w:val="nil"/>
              <w:bottom w:val="nil"/>
              <w:right w:val="nil"/>
            </w:tcBorders>
          </w:tcPr>
          <w:p w:rsidR="00C97DC7" w:rsidRDefault="00C97DC7"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填报单位：</w:t>
            </w:r>
          </w:p>
        </w:tc>
        <w:tc>
          <w:tcPr>
            <w:tcW w:w="1180" w:type="dxa"/>
            <w:tcBorders>
              <w:top w:val="nil"/>
              <w:left w:val="nil"/>
              <w:bottom w:val="nil"/>
              <w:right w:val="nil"/>
            </w:tcBorders>
          </w:tcPr>
          <w:p w:rsidR="00C97DC7" w:rsidRDefault="00C97DC7" w:rsidP="00F87D21">
            <w:pPr>
              <w:widowControl/>
              <w:spacing w:line="360" w:lineRule="exact"/>
              <w:ind w:firstLineChars="0" w:firstLine="0"/>
              <w:jc w:val="center"/>
              <w:rPr>
                <w:rFonts w:hAnsi="宋体" w:cs="Arial"/>
                <w:kern w:val="0"/>
                <w:sz w:val="28"/>
                <w:szCs w:val="28"/>
              </w:rPr>
            </w:pPr>
          </w:p>
        </w:tc>
        <w:tc>
          <w:tcPr>
            <w:tcW w:w="1342" w:type="dxa"/>
            <w:gridSpan w:val="2"/>
            <w:tcBorders>
              <w:top w:val="nil"/>
              <w:left w:val="nil"/>
              <w:bottom w:val="nil"/>
              <w:right w:val="nil"/>
            </w:tcBorders>
          </w:tcPr>
          <w:p w:rsidR="00C97DC7" w:rsidRDefault="00C97DC7" w:rsidP="00F87D21">
            <w:pPr>
              <w:widowControl/>
              <w:spacing w:line="360" w:lineRule="exact"/>
              <w:ind w:firstLineChars="0" w:firstLine="0"/>
              <w:jc w:val="center"/>
              <w:rPr>
                <w:rFonts w:hAnsi="宋体" w:cs="Arial"/>
                <w:kern w:val="0"/>
                <w:sz w:val="28"/>
                <w:szCs w:val="28"/>
              </w:rPr>
            </w:pPr>
          </w:p>
        </w:tc>
        <w:tc>
          <w:tcPr>
            <w:tcW w:w="4580" w:type="dxa"/>
            <w:gridSpan w:val="4"/>
            <w:tcBorders>
              <w:top w:val="nil"/>
              <w:left w:val="nil"/>
              <w:bottom w:val="nil"/>
              <w:right w:val="nil"/>
            </w:tcBorders>
          </w:tcPr>
          <w:p w:rsidR="00C97DC7" w:rsidRDefault="00C97DC7" w:rsidP="00F87D21">
            <w:pPr>
              <w:widowControl/>
              <w:spacing w:line="360" w:lineRule="exact"/>
              <w:ind w:firstLineChars="0" w:firstLine="0"/>
              <w:jc w:val="right"/>
              <w:rPr>
                <w:rFonts w:hAnsi="宋体" w:cs="Arial"/>
                <w:kern w:val="0"/>
                <w:sz w:val="28"/>
                <w:szCs w:val="28"/>
              </w:rPr>
            </w:pPr>
            <w:r>
              <w:rPr>
                <w:rFonts w:hAnsi="宋体" w:cs="Arial" w:hint="eastAsia"/>
                <w:kern w:val="0"/>
                <w:sz w:val="28"/>
                <w:szCs w:val="28"/>
              </w:rPr>
              <w:t>自评等级：□优□良□中□差</w:t>
            </w:r>
          </w:p>
        </w:tc>
      </w:tr>
      <w:tr w:rsidR="00C97DC7" w:rsidTr="00F87D21">
        <w:trPr>
          <w:trHeight w:val="1041"/>
          <w:jc w:val="center"/>
        </w:trPr>
        <w:tc>
          <w:tcPr>
            <w:tcW w:w="1701" w:type="dxa"/>
            <w:tcBorders>
              <w:top w:val="single" w:sz="4" w:space="0" w:color="auto"/>
              <w:left w:val="single" w:sz="4" w:space="0" w:color="auto"/>
              <w:bottom w:val="single" w:sz="4" w:space="0" w:color="auto"/>
              <w:right w:val="single" w:sz="4" w:space="0" w:color="auto"/>
            </w:tcBorders>
            <w:vAlign w:val="center"/>
          </w:tcPr>
          <w:p w:rsidR="00C97DC7" w:rsidRDefault="00C97DC7" w:rsidP="00F87D21">
            <w:pPr>
              <w:spacing w:line="340" w:lineRule="exact"/>
              <w:ind w:firstLineChars="0" w:firstLine="0"/>
              <w:jc w:val="center"/>
              <w:rPr>
                <w:rFonts w:hAnsi="黑体" w:cs="Arial"/>
                <w:kern w:val="0"/>
                <w:sz w:val="28"/>
                <w:szCs w:val="28"/>
              </w:rPr>
            </w:pPr>
            <w:r>
              <w:rPr>
                <w:rFonts w:hAnsi="黑体" w:cs="Arial" w:hint="eastAsia"/>
                <w:kern w:val="0"/>
                <w:sz w:val="28"/>
                <w:szCs w:val="28"/>
              </w:rPr>
              <w:t>年度重点</w:t>
            </w:r>
          </w:p>
          <w:p w:rsidR="00C97DC7" w:rsidRDefault="00C97DC7" w:rsidP="00F87D21">
            <w:pPr>
              <w:spacing w:line="340" w:lineRule="exact"/>
              <w:ind w:firstLineChars="0" w:firstLine="0"/>
              <w:jc w:val="center"/>
              <w:rPr>
                <w:rFonts w:hAnsi="黑体" w:cs="Arial"/>
                <w:kern w:val="0"/>
                <w:sz w:val="28"/>
                <w:szCs w:val="28"/>
              </w:rPr>
            </w:pPr>
            <w:r>
              <w:rPr>
                <w:rFonts w:hAnsi="黑体" w:cs="Arial" w:hint="eastAsia"/>
                <w:kern w:val="0"/>
                <w:sz w:val="28"/>
                <w:szCs w:val="28"/>
              </w:rPr>
              <w:t>工作和目标</w:t>
            </w:r>
          </w:p>
          <w:p w:rsidR="00C97DC7" w:rsidRDefault="00C97DC7" w:rsidP="00F87D21">
            <w:pPr>
              <w:spacing w:line="340" w:lineRule="exact"/>
              <w:ind w:firstLineChars="0" w:firstLine="0"/>
              <w:jc w:val="center"/>
              <w:rPr>
                <w:rFonts w:hAnsi="黑体" w:cs="Arial"/>
                <w:kern w:val="0"/>
                <w:sz w:val="28"/>
                <w:szCs w:val="28"/>
              </w:rPr>
            </w:pPr>
            <w:r>
              <w:rPr>
                <w:rFonts w:hAnsi="黑体" w:cs="Arial" w:hint="eastAsia"/>
                <w:kern w:val="0"/>
                <w:sz w:val="28"/>
                <w:szCs w:val="28"/>
              </w:rPr>
              <w:t>完成情况</w:t>
            </w:r>
            <w:r>
              <w:rPr>
                <w:rFonts w:hAnsi="黑体" w:cs="Arial" w:hint="eastAsia"/>
                <w:kern w:val="0"/>
                <w:sz w:val="28"/>
                <w:szCs w:val="28"/>
              </w:rPr>
              <w:t xml:space="preserve"> </w:t>
            </w:r>
          </w:p>
        </w:tc>
        <w:tc>
          <w:tcPr>
            <w:tcW w:w="8378" w:type="dxa"/>
            <w:gridSpan w:val="8"/>
            <w:tcBorders>
              <w:top w:val="single" w:sz="4" w:space="0" w:color="auto"/>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1121"/>
          <w:jc w:val="center"/>
        </w:trPr>
        <w:tc>
          <w:tcPr>
            <w:tcW w:w="1701" w:type="dxa"/>
            <w:tcBorders>
              <w:top w:val="single" w:sz="4" w:space="0" w:color="auto"/>
              <w:left w:val="single" w:sz="4" w:space="0" w:color="auto"/>
              <w:bottom w:val="single" w:sz="4" w:space="0" w:color="auto"/>
              <w:right w:val="single" w:sz="4" w:space="0" w:color="auto"/>
            </w:tcBorders>
            <w:vAlign w:val="center"/>
          </w:tcPr>
          <w:p w:rsidR="00C97DC7" w:rsidRDefault="00C97DC7" w:rsidP="00F87D21">
            <w:pPr>
              <w:spacing w:line="340" w:lineRule="exact"/>
              <w:ind w:firstLineChars="0" w:firstLine="0"/>
              <w:jc w:val="center"/>
              <w:rPr>
                <w:rFonts w:hAnsi="黑体" w:cs="Arial"/>
                <w:kern w:val="0"/>
                <w:sz w:val="28"/>
                <w:szCs w:val="28"/>
              </w:rPr>
            </w:pPr>
            <w:r>
              <w:rPr>
                <w:rFonts w:hAnsi="黑体" w:cs="Arial" w:hint="eastAsia"/>
                <w:kern w:val="0"/>
                <w:sz w:val="28"/>
                <w:szCs w:val="28"/>
              </w:rPr>
              <w:t>存在问题及目标偏离</w:t>
            </w:r>
          </w:p>
          <w:p w:rsidR="00C97DC7" w:rsidRDefault="00C97DC7" w:rsidP="00F87D21">
            <w:pPr>
              <w:spacing w:line="340" w:lineRule="exact"/>
              <w:ind w:firstLineChars="0" w:firstLine="0"/>
              <w:jc w:val="center"/>
              <w:rPr>
                <w:rFonts w:hAnsi="黑体" w:cs="Arial"/>
                <w:kern w:val="0"/>
                <w:sz w:val="28"/>
                <w:szCs w:val="28"/>
              </w:rPr>
            </w:pPr>
            <w:r>
              <w:rPr>
                <w:rFonts w:hAnsi="黑体" w:cs="Arial" w:hint="eastAsia"/>
                <w:kern w:val="0"/>
                <w:sz w:val="28"/>
                <w:szCs w:val="28"/>
              </w:rPr>
              <w:t>原因分析</w:t>
            </w:r>
          </w:p>
        </w:tc>
        <w:tc>
          <w:tcPr>
            <w:tcW w:w="8378" w:type="dxa"/>
            <w:gridSpan w:val="8"/>
            <w:tcBorders>
              <w:top w:val="single" w:sz="4" w:space="0" w:color="auto"/>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835"/>
          <w:jc w:val="center"/>
        </w:trPr>
        <w:tc>
          <w:tcPr>
            <w:tcW w:w="1701" w:type="dxa"/>
            <w:tcBorders>
              <w:top w:val="single" w:sz="4" w:space="0" w:color="auto"/>
              <w:left w:val="single" w:sz="4" w:space="0" w:color="auto"/>
              <w:bottom w:val="single" w:sz="4" w:space="0" w:color="auto"/>
              <w:right w:val="single" w:sz="4" w:space="0" w:color="auto"/>
            </w:tcBorders>
            <w:vAlign w:val="center"/>
          </w:tcPr>
          <w:p w:rsidR="00C97DC7" w:rsidRDefault="00C97DC7" w:rsidP="00F87D21">
            <w:pPr>
              <w:spacing w:line="340" w:lineRule="exact"/>
              <w:ind w:firstLineChars="0" w:firstLine="0"/>
              <w:jc w:val="center"/>
              <w:rPr>
                <w:rFonts w:hAnsi="黑体" w:cs="Arial"/>
                <w:kern w:val="0"/>
                <w:sz w:val="28"/>
                <w:szCs w:val="28"/>
              </w:rPr>
            </w:pPr>
            <w:r>
              <w:rPr>
                <w:rFonts w:hAnsi="黑体" w:cs="Arial" w:hint="eastAsia"/>
                <w:kern w:val="0"/>
                <w:sz w:val="28"/>
                <w:szCs w:val="28"/>
              </w:rPr>
              <w:t>后续改进</w:t>
            </w:r>
          </w:p>
          <w:p w:rsidR="00C97DC7" w:rsidRDefault="00C97DC7" w:rsidP="00F87D21">
            <w:pPr>
              <w:spacing w:line="340" w:lineRule="exact"/>
              <w:ind w:firstLineChars="0" w:firstLine="0"/>
              <w:jc w:val="center"/>
              <w:rPr>
                <w:rFonts w:hAnsi="黑体" w:cs="Arial"/>
                <w:kern w:val="0"/>
                <w:sz w:val="28"/>
                <w:szCs w:val="28"/>
              </w:rPr>
            </w:pPr>
            <w:r>
              <w:rPr>
                <w:rFonts w:hAnsi="黑体" w:cs="Arial" w:hint="eastAsia"/>
                <w:kern w:val="0"/>
                <w:sz w:val="28"/>
                <w:szCs w:val="28"/>
              </w:rPr>
              <w:t>措施</w:t>
            </w:r>
          </w:p>
        </w:tc>
        <w:tc>
          <w:tcPr>
            <w:tcW w:w="8378" w:type="dxa"/>
            <w:gridSpan w:val="8"/>
            <w:tcBorders>
              <w:top w:val="single" w:sz="4" w:space="0" w:color="auto"/>
              <w:left w:val="nil"/>
              <w:bottom w:val="single" w:sz="4" w:space="0" w:color="auto"/>
              <w:right w:val="single" w:sz="4" w:space="0" w:color="auto"/>
            </w:tcBorders>
            <w:vAlign w:val="center"/>
          </w:tcPr>
          <w:p w:rsidR="00C97DC7" w:rsidRDefault="00C97DC7" w:rsidP="00F87D21">
            <w:pPr>
              <w:spacing w:line="340" w:lineRule="exact"/>
              <w:ind w:firstLineChars="0" w:firstLine="0"/>
              <w:jc w:val="center"/>
              <w:rPr>
                <w:rFonts w:hAnsi="宋体" w:cs="Arial"/>
                <w:kern w:val="0"/>
                <w:sz w:val="28"/>
                <w:szCs w:val="28"/>
              </w:rPr>
            </w:pPr>
          </w:p>
        </w:tc>
      </w:tr>
      <w:tr w:rsidR="00C97DC7" w:rsidTr="00F87D21">
        <w:trPr>
          <w:trHeight w:val="555"/>
          <w:jc w:val="center"/>
        </w:trPr>
        <w:tc>
          <w:tcPr>
            <w:tcW w:w="1701" w:type="dxa"/>
            <w:tcBorders>
              <w:top w:val="nil"/>
              <w:left w:val="single" w:sz="4" w:space="0" w:color="auto"/>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部门预算</w:t>
            </w:r>
          </w:p>
          <w:p w:rsidR="00C97DC7" w:rsidRDefault="00C97DC7" w:rsidP="00F87D21">
            <w:pPr>
              <w:widowControl/>
              <w:spacing w:line="34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项目名称</w:t>
            </w: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内容</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预算执行数（万元）</w:t>
            </w: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数量</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质量</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时效</w:t>
            </w: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ascii="黑体" w:eastAsia="黑体" w:hAnsi="黑体" w:cs="Arial"/>
                <w:kern w:val="0"/>
                <w:sz w:val="28"/>
                <w:szCs w:val="28"/>
              </w:rPr>
            </w:pPr>
            <w:proofErr w:type="gramStart"/>
            <w:r>
              <w:rPr>
                <w:rFonts w:ascii="黑体" w:eastAsia="黑体" w:hAnsi="黑体" w:cs="Arial" w:hint="eastAsia"/>
                <w:kern w:val="0"/>
                <w:sz w:val="28"/>
                <w:szCs w:val="28"/>
              </w:rPr>
              <w:t>实际单位</w:t>
            </w:r>
            <w:proofErr w:type="gramEnd"/>
            <w:r>
              <w:rPr>
                <w:rFonts w:ascii="黑体" w:eastAsia="黑体" w:hAnsi="黑体" w:cs="Arial" w:hint="eastAsia"/>
                <w:kern w:val="0"/>
                <w:sz w:val="28"/>
                <w:szCs w:val="28"/>
              </w:rPr>
              <w:t>成本</w:t>
            </w: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备注</w:t>
            </w:r>
          </w:p>
        </w:tc>
      </w:tr>
      <w:tr w:rsidR="00C97DC7" w:rsidTr="00F87D21">
        <w:trPr>
          <w:trHeight w:val="465"/>
          <w:jc w:val="center"/>
        </w:trPr>
        <w:tc>
          <w:tcPr>
            <w:tcW w:w="1701" w:type="dxa"/>
            <w:vMerge w:val="restart"/>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项目</w:t>
            </w:r>
            <w:r>
              <w:rPr>
                <w:rFonts w:hAnsi="宋体" w:cs="Arial" w:hint="eastAsia"/>
                <w:kern w:val="0"/>
                <w:sz w:val="28"/>
                <w:szCs w:val="28"/>
              </w:rPr>
              <w:t>1</w:t>
            </w: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1</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2</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小计</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p>
        </w:tc>
      </w:tr>
      <w:tr w:rsidR="00C97DC7" w:rsidTr="00F87D21">
        <w:trPr>
          <w:trHeight w:val="465"/>
          <w:jc w:val="center"/>
        </w:trPr>
        <w:tc>
          <w:tcPr>
            <w:tcW w:w="1701" w:type="dxa"/>
            <w:vMerge w:val="restart"/>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项目</w:t>
            </w:r>
            <w:r>
              <w:rPr>
                <w:rFonts w:hAnsi="宋体" w:cs="Arial" w:hint="eastAsia"/>
                <w:kern w:val="0"/>
                <w:sz w:val="28"/>
                <w:szCs w:val="28"/>
              </w:rPr>
              <w:t>2</w:t>
            </w: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1</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2</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小计</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w:t>
            </w: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w:t>
            </w: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val="restart"/>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项目…</w:t>
            </w: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1</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2</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r>
              <w:rPr>
                <w:rFonts w:hAnsi="宋体" w:cs="Arial" w:hint="eastAsia"/>
                <w:kern w:val="0"/>
                <w:sz w:val="28"/>
                <w:szCs w:val="28"/>
              </w:rPr>
              <w:t>内容…</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1701" w:type="dxa"/>
            <w:vMerge/>
            <w:tcBorders>
              <w:top w:val="nil"/>
              <w:left w:val="single" w:sz="4" w:space="0" w:color="auto"/>
              <w:bottom w:val="single" w:sz="4" w:space="0" w:color="000000"/>
              <w:right w:val="single" w:sz="4" w:space="0" w:color="auto"/>
            </w:tcBorders>
            <w:vAlign w:val="center"/>
          </w:tcPr>
          <w:p w:rsidR="00C97DC7" w:rsidRDefault="00C97DC7" w:rsidP="00F87D21">
            <w:pPr>
              <w:widowControl/>
              <w:spacing w:line="340" w:lineRule="exact"/>
              <w:ind w:firstLineChars="0" w:firstLine="0"/>
              <w:jc w:val="left"/>
              <w:rPr>
                <w:rFonts w:hAnsi="宋体" w:cs="Arial"/>
                <w:kern w:val="0"/>
                <w:sz w:val="28"/>
                <w:szCs w:val="28"/>
              </w:rPr>
            </w:pPr>
          </w:p>
        </w:tc>
        <w:tc>
          <w:tcPr>
            <w:tcW w:w="1276"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小计</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w:t>
            </w: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r>
              <w:rPr>
                <w:rFonts w:hAnsi="宋体" w:cs="Arial" w:hint="eastAsia"/>
                <w:kern w:val="0"/>
                <w:sz w:val="28"/>
                <w:szCs w:val="28"/>
              </w:rPr>
              <w:t>——</w:t>
            </w: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kern w:val="0"/>
                <w:sz w:val="28"/>
                <w:szCs w:val="28"/>
              </w:rPr>
            </w:pPr>
          </w:p>
        </w:tc>
      </w:tr>
      <w:tr w:rsidR="00C97DC7" w:rsidTr="00F87D21">
        <w:trPr>
          <w:trHeight w:val="465"/>
          <w:jc w:val="center"/>
        </w:trPr>
        <w:tc>
          <w:tcPr>
            <w:tcW w:w="2977" w:type="dxa"/>
            <w:gridSpan w:val="2"/>
            <w:tcBorders>
              <w:top w:val="single" w:sz="4" w:space="0" w:color="auto"/>
              <w:left w:val="single" w:sz="4" w:space="0" w:color="auto"/>
              <w:bottom w:val="single" w:sz="4" w:space="0" w:color="auto"/>
              <w:right w:val="single" w:sz="4" w:space="0" w:color="000000"/>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合计</w:t>
            </w:r>
          </w:p>
        </w:tc>
        <w:tc>
          <w:tcPr>
            <w:tcW w:w="1408" w:type="dxa"/>
            <w:gridSpan w:val="2"/>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p>
        </w:tc>
        <w:tc>
          <w:tcPr>
            <w:tcW w:w="1114"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22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08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060" w:type="dxa"/>
            <w:tcBorders>
              <w:top w:val="nil"/>
              <w:left w:val="nil"/>
              <w:bottom w:val="single" w:sz="4" w:space="0" w:color="auto"/>
              <w:right w:val="single" w:sz="4" w:space="0" w:color="auto"/>
            </w:tcBorders>
            <w:vAlign w:val="center"/>
          </w:tcPr>
          <w:p w:rsidR="00C97DC7" w:rsidRDefault="00C97DC7" w:rsidP="00F87D21">
            <w:pPr>
              <w:widowControl/>
              <w:spacing w:line="340" w:lineRule="exact"/>
              <w:ind w:firstLineChars="0" w:firstLine="0"/>
              <w:jc w:val="center"/>
              <w:rPr>
                <w:rFonts w:hAnsi="宋体" w:cs="Arial"/>
                <w:b/>
                <w:kern w:val="0"/>
                <w:sz w:val="28"/>
                <w:szCs w:val="28"/>
              </w:rPr>
            </w:pPr>
          </w:p>
        </w:tc>
      </w:tr>
    </w:tbl>
    <w:p w:rsidR="00C97DC7" w:rsidRDefault="00C97DC7" w:rsidP="00C97DC7">
      <w:pPr>
        <w:pStyle w:val="a7"/>
        <w:ind w:firstLineChars="0" w:firstLine="0"/>
      </w:pPr>
      <w:r>
        <w:rPr>
          <w:rFonts w:hint="eastAsia"/>
        </w:rPr>
        <w:br w:type="page"/>
      </w:r>
      <w:r>
        <w:rPr>
          <w:rFonts w:hint="eastAsia"/>
        </w:rPr>
        <w:lastRenderedPageBreak/>
        <w:t>附件</w:t>
      </w:r>
      <w:r>
        <w:t>2</w:t>
      </w:r>
    </w:p>
    <w:p w:rsidR="00C97DC7" w:rsidRDefault="00C97DC7" w:rsidP="00C97DC7">
      <w:pPr>
        <w:pStyle w:val="a7"/>
        <w:ind w:firstLineChars="0" w:firstLine="0"/>
        <w:jc w:val="center"/>
        <w:rPr>
          <w:rFonts w:ascii="方正小标宋简体" w:eastAsia="方正小标宋简体" w:hAnsi="Times New Roman"/>
          <w:sz w:val="42"/>
          <w:szCs w:val="42"/>
        </w:rPr>
      </w:pPr>
      <w:r>
        <w:rPr>
          <w:rFonts w:ascii="方正小标宋简体" w:eastAsia="方正小标宋简体" w:hAnsi="Times New Roman" w:hint="eastAsia"/>
          <w:sz w:val="42"/>
          <w:szCs w:val="42"/>
        </w:rPr>
        <w:t>政府专项支出绩效自评表</w:t>
      </w:r>
    </w:p>
    <w:p w:rsidR="00C97DC7" w:rsidRDefault="00C97DC7" w:rsidP="00C97DC7">
      <w:pPr>
        <w:pStyle w:val="a6"/>
        <w:spacing w:before="289" w:after="289"/>
        <w:rPr>
          <w:rFonts w:ascii="黑体" w:eastAsia="黑体" w:hAnsi="黑体"/>
        </w:rPr>
      </w:pPr>
      <w:r>
        <w:rPr>
          <w:rFonts w:hint="eastAsia"/>
        </w:rPr>
        <w:t>（　　年度）</w:t>
      </w:r>
    </w:p>
    <w:tbl>
      <w:tblPr>
        <w:tblW w:w="9951" w:type="dxa"/>
        <w:jc w:val="center"/>
        <w:tblLook w:val="0000"/>
      </w:tblPr>
      <w:tblGrid>
        <w:gridCol w:w="1843"/>
        <w:gridCol w:w="1180"/>
        <w:gridCol w:w="554"/>
        <w:gridCol w:w="1135"/>
        <w:gridCol w:w="19"/>
        <w:gridCol w:w="1291"/>
        <w:gridCol w:w="149"/>
        <w:gridCol w:w="1160"/>
        <w:gridCol w:w="280"/>
        <w:gridCol w:w="1165"/>
        <w:gridCol w:w="55"/>
        <w:gridCol w:w="1120"/>
      </w:tblGrid>
      <w:tr w:rsidR="00C97DC7" w:rsidTr="00F87D21">
        <w:trPr>
          <w:trHeight w:val="567"/>
          <w:jc w:val="center"/>
        </w:trPr>
        <w:tc>
          <w:tcPr>
            <w:tcW w:w="3023" w:type="dxa"/>
            <w:gridSpan w:val="2"/>
            <w:tcBorders>
              <w:top w:val="nil"/>
              <w:left w:val="nil"/>
              <w:bottom w:val="nil"/>
              <w:right w:val="nil"/>
            </w:tcBorders>
            <w:vAlign w:val="bottom"/>
          </w:tcPr>
          <w:p w:rsidR="00C97DC7" w:rsidRDefault="00C97DC7" w:rsidP="00F87D21">
            <w:pPr>
              <w:widowControl/>
              <w:spacing w:line="400" w:lineRule="exact"/>
              <w:ind w:firstLineChars="0" w:firstLine="0"/>
              <w:rPr>
                <w:rFonts w:hAnsi="宋体" w:cs="Arial"/>
                <w:kern w:val="0"/>
                <w:sz w:val="28"/>
                <w:szCs w:val="28"/>
              </w:rPr>
            </w:pPr>
            <w:r>
              <w:rPr>
                <w:rFonts w:hAnsi="宋体" w:cs="Arial" w:hint="eastAsia"/>
                <w:kern w:val="0"/>
                <w:sz w:val="28"/>
                <w:szCs w:val="28"/>
              </w:rPr>
              <w:t>填报单位：</w:t>
            </w:r>
          </w:p>
        </w:tc>
        <w:tc>
          <w:tcPr>
            <w:tcW w:w="1708" w:type="dxa"/>
            <w:gridSpan w:val="3"/>
            <w:tcBorders>
              <w:top w:val="nil"/>
              <w:left w:val="nil"/>
              <w:bottom w:val="nil"/>
              <w:right w:val="nil"/>
            </w:tcBorders>
          </w:tcPr>
          <w:p w:rsidR="00C97DC7" w:rsidRDefault="00C97DC7" w:rsidP="00F87D21">
            <w:pPr>
              <w:widowControl/>
              <w:spacing w:line="400" w:lineRule="exact"/>
              <w:ind w:firstLineChars="0" w:firstLine="0"/>
              <w:jc w:val="center"/>
              <w:rPr>
                <w:rFonts w:hAnsi="宋体" w:cs="Arial"/>
                <w:kern w:val="0"/>
                <w:sz w:val="28"/>
                <w:szCs w:val="28"/>
              </w:rPr>
            </w:pPr>
          </w:p>
        </w:tc>
        <w:tc>
          <w:tcPr>
            <w:tcW w:w="1440" w:type="dxa"/>
            <w:gridSpan w:val="2"/>
            <w:tcBorders>
              <w:top w:val="nil"/>
              <w:left w:val="nil"/>
              <w:bottom w:val="nil"/>
              <w:right w:val="nil"/>
            </w:tcBorders>
          </w:tcPr>
          <w:p w:rsidR="00C97DC7" w:rsidRDefault="00C97DC7" w:rsidP="00F87D21">
            <w:pPr>
              <w:widowControl/>
              <w:spacing w:line="400" w:lineRule="exact"/>
              <w:ind w:firstLineChars="0" w:firstLine="0"/>
              <w:jc w:val="center"/>
              <w:rPr>
                <w:rFonts w:hAnsi="宋体" w:cs="Arial"/>
                <w:kern w:val="0"/>
                <w:sz w:val="28"/>
                <w:szCs w:val="28"/>
              </w:rPr>
            </w:pPr>
          </w:p>
        </w:tc>
        <w:tc>
          <w:tcPr>
            <w:tcW w:w="1440" w:type="dxa"/>
            <w:gridSpan w:val="2"/>
            <w:tcBorders>
              <w:top w:val="nil"/>
              <w:left w:val="nil"/>
              <w:bottom w:val="nil"/>
              <w:right w:val="nil"/>
            </w:tcBorders>
          </w:tcPr>
          <w:p w:rsidR="00C97DC7" w:rsidRDefault="00C97DC7" w:rsidP="00F87D21">
            <w:pPr>
              <w:widowControl/>
              <w:spacing w:line="400" w:lineRule="exact"/>
              <w:ind w:firstLineChars="0" w:firstLine="0"/>
              <w:jc w:val="center"/>
              <w:rPr>
                <w:rFonts w:hAnsi="宋体" w:cs="Arial"/>
                <w:kern w:val="0"/>
                <w:sz w:val="28"/>
                <w:szCs w:val="28"/>
              </w:rPr>
            </w:pPr>
          </w:p>
        </w:tc>
        <w:tc>
          <w:tcPr>
            <w:tcW w:w="1220" w:type="dxa"/>
            <w:gridSpan w:val="2"/>
            <w:tcBorders>
              <w:top w:val="nil"/>
              <w:left w:val="nil"/>
              <w:bottom w:val="nil"/>
              <w:right w:val="nil"/>
            </w:tcBorders>
          </w:tcPr>
          <w:p w:rsidR="00C97DC7" w:rsidRDefault="00C97DC7" w:rsidP="00F87D21">
            <w:pPr>
              <w:widowControl/>
              <w:spacing w:line="400" w:lineRule="exact"/>
              <w:ind w:firstLineChars="0" w:firstLine="0"/>
              <w:jc w:val="center"/>
              <w:rPr>
                <w:rFonts w:hAnsi="宋体" w:cs="Arial"/>
                <w:kern w:val="0"/>
                <w:sz w:val="28"/>
                <w:szCs w:val="28"/>
              </w:rPr>
            </w:pPr>
          </w:p>
        </w:tc>
        <w:tc>
          <w:tcPr>
            <w:tcW w:w="1120" w:type="dxa"/>
            <w:tcBorders>
              <w:top w:val="nil"/>
              <w:left w:val="nil"/>
              <w:bottom w:val="nil"/>
              <w:right w:val="nil"/>
            </w:tcBorders>
          </w:tcPr>
          <w:p w:rsidR="00C97DC7" w:rsidRDefault="00C97DC7" w:rsidP="00F87D21">
            <w:pPr>
              <w:widowControl/>
              <w:spacing w:line="400" w:lineRule="exact"/>
              <w:ind w:firstLineChars="0" w:firstLine="0"/>
              <w:jc w:val="center"/>
              <w:rPr>
                <w:rFonts w:hAnsi="宋体" w:cs="Arial"/>
                <w:kern w:val="0"/>
                <w:sz w:val="28"/>
                <w:szCs w:val="28"/>
              </w:rPr>
            </w:pPr>
          </w:p>
        </w:tc>
      </w:tr>
      <w:tr w:rsidR="00C97DC7" w:rsidTr="00F87D21">
        <w:trPr>
          <w:trHeight w:val="567"/>
          <w:jc w:val="center"/>
        </w:trPr>
        <w:tc>
          <w:tcPr>
            <w:tcW w:w="3023" w:type="dxa"/>
            <w:gridSpan w:val="2"/>
            <w:tcBorders>
              <w:top w:val="nil"/>
              <w:left w:val="nil"/>
              <w:bottom w:val="nil"/>
              <w:right w:val="nil"/>
            </w:tcBorders>
            <w:vAlign w:val="bottom"/>
          </w:tcPr>
          <w:p w:rsidR="00C97DC7" w:rsidRDefault="00C97DC7" w:rsidP="00F87D21">
            <w:pPr>
              <w:widowControl/>
              <w:spacing w:line="400" w:lineRule="exact"/>
              <w:ind w:firstLineChars="0" w:firstLine="0"/>
              <w:rPr>
                <w:rFonts w:hAnsi="宋体" w:cs="Arial"/>
                <w:kern w:val="0"/>
                <w:sz w:val="28"/>
                <w:szCs w:val="28"/>
              </w:rPr>
            </w:pPr>
            <w:r>
              <w:rPr>
                <w:rFonts w:hAnsi="宋体" w:cs="Arial" w:hint="eastAsia"/>
                <w:kern w:val="0"/>
                <w:sz w:val="28"/>
                <w:szCs w:val="28"/>
              </w:rPr>
              <w:t>专项名称：</w:t>
            </w:r>
          </w:p>
        </w:tc>
        <w:tc>
          <w:tcPr>
            <w:tcW w:w="1708" w:type="dxa"/>
            <w:gridSpan w:val="3"/>
            <w:tcBorders>
              <w:top w:val="nil"/>
              <w:left w:val="nil"/>
              <w:bottom w:val="nil"/>
              <w:right w:val="nil"/>
            </w:tcBorders>
          </w:tcPr>
          <w:p w:rsidR="00C97DC7" w:rsidRDefault="00C97DC7" w:rsidP="00F87D21">
            <w:pPr>
              <w:widowControl/>
              <w:spacing w:line="400" w:lineRule="exact"/>
              <w:ind w:firstLineChars="0" w:firstLine="0"/>
              <w:jc w:val="center"/>
              <w:rPr>
                <w:rFonts w:hAnsi="宋体" w:cs="Arial"/>
                <w:kern w:val="0"/>
                <w:sz w:val="28"/>
                <w:szCs w:val="28"/>
              </w:rPr>
            </w:pPr>
          </w:p>
        </w:tc>
        <w:tc>
          <w:tcPr>
            <w:tcW w:w="5220" w:type="dxa"/>
            <w:gridSpan w:val="7"/>
            <w:tcBorders>
              <w:top w:val="nil"/>
              <w:left w:val="nil"/>
              <w:bottom w:val="nil"/>
              <w:right w:val="nil"/>
            </w:tcBorders>
            <w:vAlign w:val="bottom"/>
          </w:tcPr>
          <w:p w:rsidR="00C97DC7" w:rsidRDefault="00C97DC7" w:rsidP="00F87D21">
            <w:pPr>
              <w:widowControl/>
              <w:spacing w:line="400" w:lineRule="exact"/>
              <w:ind w:firstLineChars="0" w:firstLine="0"/>
              <w:jc w:val="right"/>
              <w:rPr>
                <w:rFonts w:hAnsi="宋体" w:cs="Arial"/>
                <w:kern w:val="0"/>
                <w:sz w:val="28"/>
                <w:szCs w:val="28"/>
              </w:rPr>
            </w:pPr>
            <w:r>
              <w:rPr>
                <w:rFonts w:hAnsi="宋体" w:cs="Arial" w:hint="eastAsia"/>
                <w:kern w:val="0"/>
                <w:sz w:val="28"/>
                <w:szCs w:val="28"/>
              </w:rPr>
              <w:t>自评等级：□优□良□中□差</w:t>
            </w:r>
          </w:p>
        </w:tc>
      </w:tr>
      <w:tr w:rsidR="00C97DC7" w:rsidTr="00F87D21">
        <w:trPr>
          <w:trHeight w:val="1127"/>
          <w:jc w:val="center"/>
        </w:trPr>
        <w:tc>
          <w:tcPr>
            <w:tcW w:w="1843" w:type="dxa"/>
            <w:tcBorders>
              <w:top w:val="single" w:sz="4" w:space="0" w:color="auto"/>
              <w:left w:val="single" w:sz="4" w:space="0" w:color="auto"/>
              <w:bottom w:val="single" w:sz="4" w:space="0" w:color="auto"/>
              <w:right w:val="single" w:sz="4" w:space="0" w:color="auto"/>
            </w:tcBorders>
            <w:vAlign w:val="center"/>
          </w:tcPr>
          <w:p w:rsidR="00C97DC7" w:rsidRDefault="00C97DC7" w:rsidP="00F87D21">
            <w:pPr>
              <w:widowControl/>
              <w:spacing w:line="400" w:lineRule="exact"/>
              <w:ind w:firstLineChars="0" w:firstLine="0"/>
              <w:jc w:val="center"/>
              <w:rPr>
                <w:rFonts w:hAnsi="黑体" w:cs="Arial"/>
                <w:kern w:val="0"/>
                <w:sz w:val="28"/>
                <w:szCs w:val="28"/>
              </w:rPr>
            </w:pPr>
            <w:r>
              <w:rPr>
                <w:rFonts w:hAnsi="黑体" w:cs="Arial" w:hint="eastAsia"/>
                <w:kern w:val="0"/>
                <w:sz w:val="28"/>
                <w:szCs w:val="28"/>
              </w:rPr>
              <w:t>项目年度</w:t>
            </w:r>
          </w:p>
          <w:p w:rsidR="00C97DC7" w:rsidRDefault="00C97DC7" w:rsidP="00F87D21">
            <w:pPr>
              <w:widowControl/>
              <w:spacing w:line="400" w:lineRule="exact"/>
              <w:ind w:firstLineChars="0" w:firstLine="0"/>
              <w:jc w:val="center"/>
              <w:rPr>
                <w:rFonts w:hAnsi="黑体" w:cs="Arial"/>
                <w:kern w:val="0"/>
                <w:sz w:val="28"/>
                <w:szCs w:val="28"/>
              </w:rPr>
            </w:pPr>
            <w:r>
              <w:rPr>
                <w:rFonts w:hAnsi="黑体" w:cs="Arial" w:hint="eastAsia"/>
                <w:kern w:val="0"/>
                <w:sz w:val="28"/>
                <w:szCs w:val="28"/>
              </w:rPr>
              <w:t>实施概况</w:t>
            </w:r>
          </w:p>
        </w:tc>
        <w:tc>
          <w:tcPr>
            <w:tcW w:w="8108" w:type="dxa"/>
            <w:gridSpan w:val="11"/>
            <w:tcBorders>
              <w:top w:val="single" w:sz="4" w:space="0" w:color="auto"/>
              <w:left w:val="nil"/>
              <w:bottom w:val="single" w:sz="4" w:space="0" w:color="auto"/>
              <w:right w:val="single" w:sz="4" w:space="0" w:color="auto"/>
            </w:tcBorders>
            <w:vAlign w:val="center"/>
          </w:tcPr>
          <w:p w:rsidR="00C97DC7" w:rsidRDefault="00C97DC7" w:rsidP="00F87D21">
            <w:pPr>
              <w:widowControl/>
              <w:spacing w:line="400" w:lineRule="exact"/>
              <w:ind w:firstLineChars="0" w:firstLine="0"/>
              <w:jc w:val="center"/>
              <w:rPr>
                <w:rFonts w:hAnsi="宋体" w:cs="Arial"/>
                <w:kern w:val="0"/>
                <w:sz w:val="28"/>
                <w:szCs w:val="28"/>
              </w:rPr>
            </w:pPr>
          </w:p>
        </w:tc>
      </w:tr>
      <w:tr w:rsidR="00C97DC7" w:rsidTr="00F87D21">
        <w:trPr>
          <w:trHeight w:val="1271"/>
          <w:jc w:val="center"/>
        </w:trPr>
        <w:tc>
          <w:tcPr>
            <w:tcW w:w="1843" w:type="dxa"/>
            <w:tcBorders>
              <w:top w:val="nil"/>
              <w:left w:val="single" w:sz="4" w:space="0" w:color="auto"/>
              <w:bottom w:val="single" w:sz="4" w:space="0" w:color="auto"/>
              <w:right w:val="single" w:sz="4" w:space="0" w:color="auto"/>
            </w:tcBorders>
            <w:vAlign w:val="center"/>
          </w:tcPr>
          <w:p w:rsidR="00C97DC7" w:rsidRDefault="00C97DC7" w:rsidP="00F87D21">
            <w:pPr>
              <w:widowControl/>
              <w:spacing w:line="400" w:lineRule="exact"/>
              <w:ind w:firstLineChars="0" w:firstLine="0"/>
              <w:jc w:val="center"/>
              <w:rPr>
                <w:rFonts w:hAnsi="黑体" w:cs="Arial"/>
                <w:kern w:val="0"/>
                <w:sz w:val="28"/>
                <w:szCs w:val="28"/>
              </w:rPr>
            </w:pPr>
            <w:r>
              <w:rPr>
                <w:rFonts w:hAnsi="黑体" w:cs="Arial" w:hint="eastAsia"/>
                <w:kern w:val="0"/>
                <w:sz w:val="28"/>
                <w:szCs w:val="28"/>
              </w:rPr>
              <w:t>项目年度绩效目标完成情况</w:t>
            </w:r>
          </w:p>
        </w:tc>
        <w:tc>
          <w:tcPr>
            <w:tcW w:w="8108" w:type="dxa"/>
            <w:gridSpan w:val="11"/>
            <w:tcBorders>
              <w:top w:val="single" w:sz="4" w:space="0" w:color="auto"/>
              <w:left w:val="nil"/>
              <w:bottom w:val="single" w:sz="4" w:space="0" w:color="auto"/>
              <w:right w:val="single" w:sz="4" w:space="0" w:color="auto"/>
            </w:tcBorders>
            <w:vAlign w:val="center"/>
          </w:tcPr>
          <w:p w:rsidR="00C97DC7" w:rsidRDefault="00C97DC7" w:rsidP="00F87D21">
            <w:pPr>
              <w:widowControl/>
              <w:spacing w:line="400" w:lineRule="exact"/>
              <w:ind w:firstLineChars="0" w:firstLine="0"/>
              <w:jc w:val="center"/>
              <w:rPr>
                <w:rFonts w:hAnsi="宋体" w:cs="Arial"/>
                <w:kern w:val="0"/>
                <w:sz w:val="28"/>
                <w:szCs w:val="28"/>
              </w:rPr>
            </w:pPr>
          </w:p>
        </w:tc>
      </w:tr>
      <w:tr w:rsidR="00C97DC7" w:rsidTr="00F87D21">
        <w:trPr>
          <w:trHeight w:val="1334"/>
          <w:jc w:val="center"/>
        </w:trPr>
        <w:tc>
          <w:tcPr>
            <w:tcW w:w="1843" w:type="dxa"/>
            <w:tcBorders>
              <w:top w:val="nil"/>
              <w:left w:val="single" w:sz="4" w:space="0" w:color="auto"/>
              <w:bottom w:val="single" w:sz="4" w:space="0" w:color="auto"/>
              <w:right w:val="single" w:sz="4" w:space="0" w:color="auto"/>
            </w:tcBorders>
            <w:vAlign w:val="center"/>
          </w:tcPr>
          <w:p w:rsidR="00C97DC7" w:rsidRDefault="00C97DC7" w:rsidP="00F87D21">
            <w:pPr>
              <w:spacing w:line="400" w:lineRule="exact"/>
              <w:ind w:firstLineChars="0" w:firstLine="0"/>
              <w:jc w:val="center"/>
              <w:rPr>
                <w:rFonts w:hAnsi="黑体" w:cs="Arial"/>
                <w:kern w:val="0"/>
                <w:sz w:val="28"/>
                <w:szCs w:val="28"/>
              </w:rPr>
            </w:pPr>
            <w:r>
              <w:rPr>
                <w:rFonts w:hAnsi="黑体" w:cs="Arial" w:hint="eastAsia"/>
                <w:kern w:val="0"/>
                <w:sz w:val="28"/>
                <w:szCs w:val="28"/>
              </w:rPr>
              <w:t>存在问题及目标偏离原因分析</w:t>
            </w:r>
          </w:p>
        </w:tc>
        <w:tc>
          <w:tcPr>
            <w:tcW w:w="8108" w:type="dxa"/>
            <w:gridSpan w:val="11"/>
            <w:tcBorders>
              <w:top w:val="single" w:sz="4" w:space="0" w:color="auto"/>
              <w:left w:val="nil"/>
              <w:bottom w:val="single" w:sz="4" w:space="0" w:color="auto"/>
              <w:right w:val="single" w:sz="4" w:space="0" w:color="auto"/>
            </w:tcBorders>
            <w:vAlign w:val="center"/>
          </w:tcPr>
          <w:p w:rsidR="00C97DC7" w:rsidRDefault="00C97DC7" w:rsidP="00F87D21">
            <w:pPr>
              <w:widowControl/>
              <w:spacing w:line="400" w:lineRule="exact"/>
              <w:ind w:firstLineChars="0" w:firstLine="0"/>
              <w:jc w:val="center"/>
              <w:rPr>
                <w:rFonts w:hAnsi="宋体" w:cs="Arial"/>
                <w:kern w:val="0"/>
                <w:sz w:val="28"/>
                <w:szCs w:val="28"/>
              </w:rPr>
            </w:pPr>
          </w:p>
        </w:tc>
      </w:tr>
      <w:tr w:rsidR="00C97DC7" w:rsidTr="00F87D21">
        <w:trPr>
          <w:trHeight w:val="1113"/>
          <w:jc w:val="center"/>
        </w:trPr>
        <w:tc>
          <w:tcPr>
            <w:tcW w:w="1843" w:type="dxa"/>
            <w:tcBorders>
              <w:top w:val="nil"/>
              <w:left w:val="single" w:sz="4" w:space="0" w:color="auto"/>
              <w:bottom w:val="single" w:sz="4" w:space="0" w:color="auto"/>
              <w:right w:val="single" w:sz="4" w:space="0" w:color="auto"/>
            </w:tcBorders>
            <w:vAlign w:val="center"/>
          </w:tcPr>
          <w:p w:rsidR="00C97DC7" w:rsidRDefault="00C97DC7" w:rsidP="00F87D21">
            <w:pPr>
              <w:spacing w:line="400" w:lineRule="exact"/>
              <w:ind w:firstLineChars="0" w:firstLine="0"/>
              <w:jc w:val="center"/>
              <w:rPr>
                <w:rFonts w:hAnsi="黑体" w:cs="Arial"/>
                <w:kern w:val="0"/>
                <w:sz w:val="28"/>
                <w:szCs w:val="28"/>
              </w:rPr>
            </w:pPr>
            <w:r>
              <w:rPr>
                <w:rFonts w:hAnsi="黑体" w:cs="Arial" w:hint="eastAsia"/>
                <w:kern w:val="0"/>
                <w:sz w:val="28"/>
                <w:szCs w:val="28"/>
              </w:rPr>
              <w:t>后续改进</w:t>
            </w:r>
          </w:p>
          <w:p w:rsidR="00C97DC7" w:rsidRDefault="00C97DC7" w:rsidP="00F87D21">
            <w:pPr>
              <w:spacing w:line="400" w:lineRule="exact"/>
              <w:ind w:firstLineChars="0" w:firstLine="0"/>
              <w:jc w:val="center"/>
              <w:rPr>
                <w:rFonts w:hAnsi="黑体" w:cs="Arial"/>
                <w:kern w:val="0"/>
                <w:sz w:val="28"/>
                <w:szCs w:val="28"/>
              </w:rPr>
            </w:pPr>
            <w:r>
              <w:rPr>
                <w:rFonts w:hAnsi="黑体" w:cs="Arial" w:hint="eastAsia"/>
                <w:kern w:val="0"/>
                <w:sz w:val="28"/>
                <w:szCs w:val="28"/>
              </w:rPr>
              <w:t>措施</w:t>
            </w:r>
          </w:p>
        </w:tc>
        <w:tc>
          <w:tcPr>
            <w:tcW w:w="8108" w:type="dxa"/>
            <w:gridSpan w:val="11"/>
            <w:tcBorders>
              <w:top w:val="single" w:sz="4" w:space="0" w:color="auto"/>
              <w:left w:val="nil"/>
              <w:bottom w:val="single" w:sz="4" w:space="0" w:color="auto"/>
              <w:right w:val="single" w:sz="4" w:space="0" w:color="000000"/>
            </w:tcBorders>
            <w:vAlign w:val="center"/>
          </w:tcPr>
          <w:p w:rsidR="00C97DC7" w:rsidRDefault="00C97DC7" w:rsidP="00F87D21">
            <w:pPr>
              <w:widowControl/>
              <w:spacing w:line="400" w:lineRule="exact"/>
              <w:ind w:firstLineChars="0" w:firstLine="0"/>
              <w:jc w:val="center"/>
              <w:rPr>
                <w:rFonts w:hAnsi="宋体" w:cs="Arial"/>
                <w:kern w:val="0"/>
                <w:sz w:val="28"/>
                <w:szCs w:val="28"/>
              </w:rPr>
            </w:pPr>
          </w:p>
        </w:tc>
      </w:tr>
      <w:tr w:rsidR="00C97DC7" w:rsidTr="00F87D21">
        <w:trPr>
          <w:trHeight w:val="555"/>
          <w:jc w:val="center"/>
        </w:trPr>
        <w:tc>
          <w:tcPr>
            <w:tcW w:w="1843" w:type="dxa"/>
            <w:tcBorders>
              <w:top w:val="nil"/>
              <w:left w:val="single" w:sz="4" w:space="0" w:color="auto"/>
              <w:bottom w:val="single" w:sz="4" w:space="0" w:color="auto"/>
              <w:right w:val="single" w:sz="4" w:space="0" w:color="auto"/>
            </w:tcBorders>
            <w:vAlign w:val="center"/>
          </w:tcPr>
          <w:p w:rsidR="00C97DC7" w:rsidRDefault="00C97DC7"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项目支出</w:t>
            </w:r>
          </w:p>
          <w:p w:rsidR="00C97DC7" w:rsidRDefault="00C97DC7"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内容</w:t>
            </w:r>
          </w:p>
        </w:tc>
        <w:tc>
          <w:tcPr>
            <w:tcW w:w="1734" w:type="dxa"/>
            <w:gridSpan w:val="2"/>
            <w:tcBorders>
              <w:top w:val="nil"/>
              <w:left w:val="nil"/>
              <w:bottom w:val="single" w:sz="4" w:space="0" w:color="auto"/>
              <w:right w:val="single" w:sz="4" w:space="0" w:color="auto"/>
            </w:tcBorders>
            <w:vAlign w:val="center"/>
          </w:tcPr>
          <w:p w:rsidR="00C97DC7" w:rsidRDefault="00C97DC7"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预算执行数（万元）</w:t>
            </w:r>
          </w:p>
        </w:tc>
        <w:tc>
          <w:tcPr>
            <w:tcW w:w="1135" w:type="dxa"/>
            <w:tcBorders>
              <w:top w:val="nil"/>
              <w:left w:val="nil"/>
              <w:bottom w:val="single" w:sz="4" w:space="0" w:color="auto"/>
              <w:right w:val="single" w:sz="4" w:space="0" w:color="auto"/>
            </w:tcBorders>
            <w:vAlign w:val="center"/>
          </w:tcPr>
          <w:p w:rsidR="00C97DC7" w:rsidRDefault="00C97DC7"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数量</w:t>
            </w:r>
          </w:p>
        </w:tc>
        <w:tc>
          <w:tcPr>
            <w:tcW w:w="1310" w:type="dxa"/>
            <w:gridSpan w:val="2"/>
            <w:tcBorders>
              <w:top w:val="nil"/>
              <w:left w:val="nil"/>
              <w:bottom w:val="single" w:sz="4" w:space="0" w:color="auto"/>
              <w:right w:val="single" w:sz="4" w:space="0" w:color="auto"/>
            </w:tcBorders>
            <w:vAlign w:val="center"/>
          </w:tcPr>
          <w:p w:rsidR="00C97DC7" w:rsidRDefault="00C97DC7"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质量</w:t>
            </w:r>
          </w:p>
        </w:tc>
        <w:tc>
          <w:tcPr>
            <w:tcW w:w="1309" w:type="dxa"/>
            <w:gridSpan w:val="2"/>
            <w:tcBorders>
              <w:top w:val="nil"/>
              <w:left w:val="nil"/>
              <w:bottom w:val="single" w:sz="4" w:space="0" w:color="auto"/>
              <w:right w:val="single" w:sz="4" w:space="0" w:color="auto"/>
            </w:tcBorders>
            <w:vAlign w:val="center"/>
          </w:tcPr>
          <w:p w:rsidR="00C97DC7" w:rsidRDefault="00C97DC7"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时效</w:t>
            </w:r>
          </w:p>
        </w:tc>
        <w:tc>
          <w:tcPr>
            <w:tcW w:w="1445" w:type="dxa"/>
            <w:gridSpan w:val="2"/>
            <w:tcBorders>
              <w:top w:val="nil"/>
              <w:left w:val="nil"/>
              <w:bottom w:val="single" w:sz="4" w:space="0" w:color="auto"/>
              <w:right w:val="single" w:sz="4" w:space="0" w:color="auto"/>
            </w:tcBorders>
            <w:vAlign w:val="center"/>
          </w:tcPr>
          <w:p w:rsidR="00C97DC7" w:rsidRDefault="00C97DC7"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实际成本</w:t>
            </w:r>
          </w:p>
        </w:tc>
        <w:tc>
          <w:tcPr>
            <w:tcW w:w="1175" w:type="dxa"/>
            <w:gridSpan w:val="2"/>
            <w:tcBorders>
              <w:top w:val="nil"/>
              <w:left w:val="nil"/>
              <w:bottom w:val="single" w:sz="4" w:space="0" w:color="auto"/>
              <w:right w:val="single" w:sz="4" w:space="0" w:color="auto"/>
            </w:tcBorders>
            <w:vAlign w:val="center"/>
          </w:tcPr>
          <w:p w:rsidR="00C97DC7" w:rsidRDefault="00C97DC7"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备注</w:t>
            </w:r>
          </w:p>
        </w:tc>
      </w:tr>
      <w:tr w:rsidR="00C97DC7" w:rsidTr="00F87D21">
        <w:trPr>
          <w:trHeight w:val="510"/>
          <w:jc w:val="center"/>
        </w:trPr>
        <w:tc>
          <w:tcPr>
            <w:tcW w:w="1843" w:type="dxa"/>
            <w:tcBorders>
              <w:top w:val="nil"/>
              <w:left w:val="single" w:sz="4" w:space="0" w:color="auto"/>
              <w:bottom w:val="nil"/>
              <w:right w:val="single" w:sz="4" w:space="0" w:color="auto"/>
            </w:tcBorders>
            <w:vAlign w:val="center"/>
          </w:tcPr>
          <w:p w:rsidR="00C97DC7" w:rsidRDefault="00C97DC7" w:rsidP="00F87D21">
            <w:pPr>
              <w:widowControl/>
              <w:spacing w:line="4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1</w:t>
            </w:r>
          </w:p>
        </w:tc>
        <w:tc>
          <w:tcPr>
            <w:tcW w:w="1734"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35" w:type="dxa"/>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10"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09"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44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7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r>
      <w:tr w:rsidR="00C97DC7" w:rsidTr="00F87D21">
        <w:trPr>
          <w:trHeight w:val="510"/>
          <w:jc w:val="center"/>
        </w:trPr>
        <w:tc>
          <w:tcPr>
            <w:tcW w:w="1843" w:type="dxa"/>
            <w:tcBorders>
              <w:top w:val="single" w:sz="4" w:space="0" w:color="auto"/>
              <w:left w:val="single" w:sz="4" w:space="0" w:color="auto"/>
              <w:bottom w:val="nil"/>
              <w:right w:val="single" w:sz="4" w:space="0" w:color="auto"/>
            </w:tcBorders>
            <w:vAlign w:val="center"/>
          </w:tcPr>
          <w:p w:rsidR="00C97DC7" w:rsidRDefault="00C97DC7" w:rsidP="00F87D21">
            <w:pPr>
              <w:widowControl/>
              <w:spacing w:line="4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2</w:t>
            </w:r>
          </w:p>
        </w:tc>
        <w:tc>
          <w:tcPr>
            <w:tcW w:w="1734"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35" w:type="dxa"/>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10"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09"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44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7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r>
      <w:tr w:rsidR="00C97DC7" w:rsidTr="00F87D21">
        <w:trPr>
          <w:trHeight w:val="510"/>
          <w:jc w:val="center"/>
        </w:trPr>
        <w:tc>
          <w:tcPr>
            <w:tcW w:w="1843" w:type="dxa"/>
            <w:tcBorders>
              <w:top w:val="single" w:sz="4" w:space="0" w:color="auto"/>
              <w:left w:val="single" w:sz="4" w:space="0" w:color="auto"/>
              <w:bottom w:val="nil"/>
              <w:right w:val="single" w:sz="4" w:space="0" w:color="auto"/>
            </w:tcBorders>
            <w:vAlign w:val="center"/>
          </w:tcPr>
          <w:p w:rsidR="00C97DC7" w:rsidRDefault="00C97DC7" w:rsidP="00F87D21">
            <w:pPr>
              <w:widowControl/>
              <w:spacing w:line="4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3</w:t>
            </w:r>
          </w:p>
        </w:tc>
        <w:tc>
          <w:tcPr>
            <w:tcW w:w="1734"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35" w:type="dxa"/>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10"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09"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44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7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r>
      <w:tr w:rsidR="00C97DC7" w:rsidTr="00F87D21">
        <w:trPr>
          <w:trHeight w:val="510"/>
          <w:jc w:val="center"/>
        </w:trPr>
        <w:tc>
          <w:tcPr>
            <w:tcW w:w="1843" w:type="dxa"/>
            <w:tcBorders>
              <w:top w:val="single" w:sz="4" w:space="0" w:color="auto"/>
              <w:left w:val="single" w:sz="4" w:space="0" w:color="auto"/>
              <w:bottom w:val="nil"/>
              <w:right w:val="single" w:sz="4" w:space="0" w:color="auto"/>
            </w:tcBorders>
            <w:vAlign w:val="center"/>
          </w:tcPr>
          <w:p w:rsidR="00C97DC7" w:rsidRDefault="00C97DC7" w:rsidP="00F87D21">
            <w:pPr>
              <w:widowControl/>
              <w:spacing w:line="4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4</w:t>
            </w:r>
          </w:p>
        </w:tc>
        <w:tc>
          <w:tcPr>
            <w:tcW w:w="1734"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35" w:type="dxa"/>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10"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09"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44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7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r>
      <w:tr w:rsidR="00C97DC7" w:rsidTr="00F87D21">
        <w:trPr>
          <w:trHeight w:val="510"/>
          <w:jc w:val="center"/>
        </w:trPr>
        <w:tc>
          <w:tcPr>
            <w:tcW w:w="1843" w:type="dxa"/>
            <w:tcBorders>
              <w:top w:val="single" w:sz="4" w:space="0" w:color="auto"/>
              <w:left w:val="single" w:sz="4" w:space="0" w:color="auto"/>
              <w:bottom w:val="nil"/>
              <w:right w:val="single" w:sz="4" w:space="0" w:color="auto"/>
            </w:tcBorders>
            <w:vAlign w:val="center"/>
          </w:tcPr>
          <w:p w:rsidR="00C97DC7" w:rsidRDefault="00C97DC7" w:rsidP="00F87D21">
            <w:pPr>
              <w:widowControl/>
              <w:spacing w:line="44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5</w:t>
            </w:r>
          </w:p>
        </w:tc>
        <w:tc>
          <w:tcPr>
            <w:tcW w:w="1734"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35" w:type="dxa"/>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10"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09"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44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7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r>
      <w:tr w:rsidR="00C97DC7" w:rsidTr="00F87D21">
        <w:trPr>
          <w:trHeight w:val="510"/>
          <w:jc w:val="center"/>
        </w:trPr>
        <w:tc>
          <w:tcPr>
            <w:tcW w:w="1843" w:type="dxa"/>
            <w:tcBorders>
              <w:top w:val="single" w:sz="4" w:space="0" w:color="auto"/>
              <w:left w:val="single" w:sz="4" w:space="0" w:color="auto"/>
              <w:bottom w:val="nil"/>
              <w:right w:val="single" w:sz="4" w:space="0" w:color="auto"/>
            </w:tcBorders>
            <w:vAlign w:val="center"/>
          </w:tcPr>
          <w:p w:rsidR="00C97DC7" w:rsidRDefault="00C97DC7" w:rsidP="00F87D21">
            <w:pPr>
              <w:widowControl/>
              <w:spacing w:line="440" w:lineRule="exact"/>
              <w:ind w:firstLineChars="0" w:firstLine="0"/>
              <w:jc w:val="left"/>
              <w:rPr>
                <w:rFonts w:hAnsi="宋体" w:cs="Arial"/>
                <w:kern w:val="0"/>
                <w:sz w:val="28"/>
                <w:szCs w:val="28"/>
              </w:rPr>
            </w:pPr>
            <w:r>
              <w:rPr>
                <w:rFonts w:hAnsi="宋体" w:cs="Arial" w:hint="eastAsia"/>
                <w:kern w:val="0"/>
                <w:sz w:val="28"/>
                <w:szCs w:val="28"/>
              </w:rPr>
              <w:t>内容…</w:t>
            </w:r>
          </w:p>
        </w:tc>
        <w:tc>
          <w:tcPr>
            <w:tcW w:w="1734"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35" w:type="dxa"/>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10"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309"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44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c>
          <w:tcPr>
            <w:tcW w:w="117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kern w:val="0"/>
                <w:sz w:val="28"/>
                <w:szCs w:val="28"/>
              </w:rPr>
            </w:pPr>
          </w:p>
        </w:tc>
      </w:tr>
      <w:tr w:rsidR="00C97DC7" w:rsidTr="00F87D21">
        <w:trPr>
          <w:trHeight w:val="510"/>
          <w:jc w:val="center"/>
        </w:trPr>
        <w:tc>
          <w:tcPr>
            <w:tcW w:w="1843" w:type="dxa"/>
            <w:tcBorders>
              <w:top w:val="single" w:sz="4" w:space="0" w:color="auto"/>
              <w:left w:val="single" w:sz="4" w:space="0" w:color="auto"/>
              <w:bottom w:val="single" w:sz="4" w:space="0" w:color="auto"/>
              <w:right w:val="nil"/>
            </w:tcBorders>
            <w:vAlign w:val="center"/>
          </w:tcPr>
          <w:p w:rsidR="00C97DC7" w:rsidRDefault="00C97DC7" w:rsidP="00F87D21">
            <w:pPr>
              <w:widowControl/>
              <w:spacing w:line="440" w:lineRule="exact"/>
              <w:ind w:firstLineChars="0" w:firstLine="0"/>
              <w:jc w:val="center"/>
              <w:rPr>
                <w:rFonts w:hAnsi="宋体" w:cs="Arial"/>
                <w:b/>
                <w:kern w:val="0"/>
                <w:sz w:val="28"/>
                <w:szCs w:val="28"/>
              </w:rPr>
            </w:pPr>
            <w:r>
              <w:rPr>
                <w:rFonts w:hAnsi="宋体" w:cs="Arial" w:hint="eastAsia"/>
                <w:b/>
                <w:kern w:val="0"/>
                <w:sz w:val="28"/>
                <w:szCs w:val="28"/>
              </w:rPr>
              <w:t>合计</w:t>
            </w:r>
          </w:p>
        </w:tc>
        <w:tc>
          <w:tcPr>
            <w:tcW w:w="1734" w:type="dxa"/>
            <w:gridSpan w:val="2"/>
            <w:tcBorders>
              <w:top w:val="nil"/>
              <w:left w:val="single" w:sz="4" w:space="0" w:color="auto"/>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b/>
                <w:kern w:val="0"/>
                <w:sz w:val="28"/>
                <w:szCs w:val="28"/>
              </w:rPr>
            </w:pPr>
          </w:p>
        </w:tc>
        <w:tc>
          <w:tcPr>
            <w:tcW w:w="1135" w:type="dxa"/>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310"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309"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44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b/>
                <w:kern w:val="0"/>
                <w:sz w:val="28"/>
                <w:szCs w:val="28"/>
              </w:rPr>
            </w:pPr>
            <w:r>
              <w:rPr>
                <w:rFonts w:hAnsi="宋体" w:cs="Arial" w:hint="eastAsia"/>
                <w:b/>
                <w:kern w:val="0"/>
                <w:sz w:val="28"/>
                <w:szCs w:val="28"/>
              </w:rPr>
              <w:t>——</w:t>
            </w:r>
          </w:p>
        </w:tc>
        <w:tc>
          <w:tcPr>
            <w:tcW w:w="1175" w:type="dxa"/>
            <w:gridSpan w:val="2"/>
            <w:tcBorders>
              <w:top w:val="nil"/>
              <w:left w:val="nil"/>
              <w:bottom w:val="single" w:sz="4" w:space="0" w:color="auto"/>
              <w:right w:val="single" w:sz="4" w:space="0" w:color="auto"/>
            </w:tcBorders>
            <w:vAlign w:val="center"/>
          </w:tcPr>
          <w:p w:rsidR="00C97DC7" w:rsidRDefault="00C97DC7" w:rsidP="00F87D21">
            <w:pPr>
              <w:widowControl/>
              <w:spacing w:line="440" w:lineRule="exact"/>
              <w:ind w:firstLineChars="0" w:firstLine="0"/>
              <w:jc w:val="center"/>
              <w:rPr>
                <w:rFonts w:hAnsi="宋体" w:cs="Arial"/>
                <w:b/>
                <w:kern w:val="0"/>
                <w:sz w:val="28"/>
                <w:szCs w:val="28"/>
              </w:rPr>
            </w:pPr>
          </w:p>
        </w:tc>
      </w:tr>
    </w:tbl>
    <w:p w:rsidR="00C97DC7" w:rsidRDefault="00C97DC7" w:rsidP="00C97DC7">
      <w:pPr>
        <w:ind w:firstLineChars="0" w:firstLine="0"/>
        <w:rPr>
          <w:rFonts w:ascii="黑体" w:eastAsia="黑体" w:hAnsi="黑体" w:hint="eastAsia"/>
        </w:rPr>
        <w:sectPr w:rsidR="00C97DC7">
          <w:headerReference w:type="default" r:id="rId6"/>
          <w:footerReference w:type="default" r:id="rId7"/>
          <w:pgSz w:w="11906" w:h="16838"/>
          <w:pgMar w:top="1417" w:right="1531" w:bottom="1984" w:left="1531" w:header="709" w:footer="1361" w:gutter="0"/>
          <w:cols w:space="720"/>
          <w:docGrid w:type="lines" w:linePitch="579" w:charSpace="-849"/>
        </w:sectPr>
      </w:pPr>
    </w:p>
    <w:p w:rsidR="00C97DC7" w:rsidRDefault="00C97DC7" w:rsidP="00C97DC7">
      <w:pPr>
        <w:pStyle w:val="a7"/>
        <w:ind w:firstLineChars="0" w:firstLine="0"/>
      </w:pPr>
      <w:r>
        <w:rPr>
          <w:rFonts w:hint="eastAsia"/>
        </w:rPr>
        <w:lastRenderedPageBreak/>
        <w:t>附件</w:t>
      </w:r>
      <w:r>
        <w:t>3</w:t>
      </w:r>
    </w:p>
    <w:p w:rsidR="00C97DC7" w:rsidRDefault="00C97DC7" w:rsidP="00C97DC7">
      <w:pPr>
        <w:pStyle w:val="a7"/>
        <w:ind w:firstLineChars="0" w:firstLine="0"/>
        <w:jc w:val="center"/>
        <w:rPr>
          <w:rFonts w:ascii="方正小标宋简体" w:eastAsia="方正小标宋简体" w:hAnsi="Times New Roman"/>
          <w:sz w:val="42"/>
          <w:szCs w:val="42"/>
        </w:rPr>
      </w:pPr>
      <w:r>
        <w:rPr>
          <w:rFonts w:ascii="方正小标宋简体" w:eastAsia="方正小标宋简体" w:hAnsi="Times New Roman" w:hint="eastAsia"/>
          <w:sz w:val="42"/>
          <w:szCs w:val="42"/>
        </w:rPr>
        <w:t>项目支出绩效评价指标体系框架（参考）</w:t>
      </w:r>
    </w:p>
    <w:p w:rsidR="00C97DC7" w:rsidRDefault="00C97DC7" w:rsidP="00C97DC7">
      <w:pPr>
        <w:pStyle w:val="a7"/>
        <w:spacing w:line="400" w:lineRule="exact"/>
        <w:ind w:firstLineChars="0" w:firstLine="0"/>
      </w:pPr>
    </w:p>
    <w:tbl>
      <w:tblPr>
        <w:tblW w:w="15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77"/>
        <w:gridCol w:w="1128"/>
        <w:gridCol w:w="1411"/>
        <w:gridCol w:w="3810"/>
        <w:gridCol w:w="7640"/>
      </w:tblGrid>
      <w:tr w:rsidR="00C97DC7" w:rsidTr="00F87D21">
        <w:trPr>
          <w:trHeight w:val="454"/>
          <w:tblHeader/>
          <w:jc w:val="center"/>
        </w:trPr>
        <w:tc>
          <w:tcPr>
            <w:tcW w:w="1177" w:type="dxa"/>
            <w:vAlign w:val="center"/>
          </w:tcPr>
          <w:p w:rsidR="00C97DC7" w:rsidRDefault="00C97DC7" w:rsidP="00F87D21">
            <w:pPr>
              <w:widowControl/>
              <w:spacing w:line="30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一级指标</w:t>
            </w:r>
          </w:p>
        </w:tc>
        <w:tc>
          <w:tcPr>
            <w:tcW w:w="1128" w:type="dxa"/>
            <w:vAlign w:val="center"/>
          </w:tcPr>
          <w:p w:rsidR="00C97DC7" w:rsidRDefault="00C97DC7" w:rsidP="00F87D21">
            <w:pPr>
              <w:widowControl/>
              <w:spacing w:line="30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二级指标</w:t>
            </w:r>
          </w:p>
        </w:tc>
        <w:tc>
          <w:tcPr>
            <w:tcW w:w="1411" w:type="dxa"/>
            <w:vAlign w:val="center"/>
          </w:tcPr>
          <w:p w:rsidR="00C97DC7" w:rsidRDefault="00C97DC7" w:rsidP="00F87D21">
            <w:pPr>
              <w:widowControl/>
              <w:spacing w:line="30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三级指标</w:t>
            </w:r>
          </w:p>
        </w:tc>
        <w:tc>
          <w:tcPr>
            <w:tcW w:w="3810" w:type="dxa"/>
            <w:vAlign w:val="center"/>
          </w:tcPr>
          <w:p w:rsidR="00C97DC7" w:rsidRDefault="00C97DC7" w:rsidP="00F87D21">
            <w:pPr>
              <w:widowControl/>
              <w:spacing w:line="30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指标解释</w:t>
            </w:r>
          </w:p>
        </w:tc>
        <w:tc>
          <w:tcPr>
            <w:tcW w:w="7640" w:type="dxa"/>
            <w:vAlign w:val="center"/>
          </w:tcPr>
          <w:p w:rsidR="00C97DC7" w:rsidRDefault="00C97DC7" w:rsidP="00F87D21">
            <w:pPr>
              <w:widowControl/>
              <w:spacing w:line="30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评分规则</w:t>
            </w:r>
          </w:p>
        </w:tc>
      </w:tr>
      <w:tr w:rsidR="00C97DC7" w:rsidTr="00F87D21">
        <w:trPr>
          <w:trHeight w:val="454"/>
          <w:jc w:val="center"/>
        </w:trPr>
        <w:tc>
          <w:tcPr>
            <w:tcW w:w="1177" w:type="dxa"/>
            <w:vMerge w:val="restart"/>
            <w:vAlign w:val="center"/>
          </w:tcPr>
          <w:p w:rsidR="00C97DC7" w:rsidRDefault="00C97DC7" w:rsidP="00F87D21">
            <w:pPr>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决策</w:t>
            </w:r>
          </w:p>
          <w:p w:rsidR="00C97DC7" w:rsidRDefault="00C97DC7" w:rsidP="00F87D21">
            <w:pPr>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w:t>
            </w:r>
            <w:r>
              <w:rPr>
                <w:rFonts w:hAnsi="宋体" w:cs="宋体" w:hint="eastAsia"/>
                <w:kern w:val="0"/>
                <w:sz w:val="24"/>
                <w:szCs w:val="24"/>
              </w:rPr>
              <w:t>16</w:t>
            </w:r>
            <w:r>
              <w:rPr>
                <w:rFonts w:hAnsi="宋体" w:cs="宋体" w:hint="eastAsia"/>
                <w:kern w:val="0"/>
                <w:sz w:val="24"/>
                <w:szCs w:val="24"/>
              </w:rPr>
              <w:t>分）</w:t>
            </w:r>
          </w:p>
        </w:tc>
        <w:tc>
          <w:tcPr>
            <w:tcW w:w="1128" w:type="dxa"/>
            <w:vMerge w:val="restart"/>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目标设定</w:t>
            </w: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目标合理性</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项目所设定的绩效目标是否依据充分，是否符合客观实际，用以反映和考核项目绩效目标与项目实施的相符情况。</w:t>
            </w:r>
          </w:p>
        </w:tc>
        <w:tc>
          <w:tcPr>
            <w:tcW w:w="7640" w:type="dxa"/>
            <w:vAlign w:val="center"/>
          </w:tcPr>
          <w:p w:rsidR="00C97DC7" w:rsidRDefault="00C97DC7" w:rsidP="00F87D21">
            <w:pPr>
              <w:widowControl/>
              <w:spacing w:line="30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①项目未设置绩效目标的不得分；</w:t>
            </w:r>
          </w:p>
          <w:p w:rsidR="00C97DC7" w:rsidRDefault="00C97DC7" w:rsidP="00F87D21">
            <w:pPr>
              <w:widowControl/>
              <w:spacing w:line="30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②依据目标合理程度评分：绩效目标符合相关政策、规划要求，与部门职责相适应；绩效目标与实际工作内容是否具有相关性；项目预期产出效益和效果是否符合正常的业绩水平等。</w:t>
            </w:r>
          </w:p>
        </w:tc>
      </w:tr>
      <w:tr w:rsidR="00C97DC7" w:rsidTr="00F87D21">
        <w:trPr>
          <w:trHeight w:val="454"/>
          <w:jc w:val="center"/>
        </w:trPr>
        <w:tc>
          <w:tcPr>
            <w:tcW w:w="1177" w:type="dxa"/>
            <w:vMerge/>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p>
        </w:tc>
        <w:tc>
          <w:tcPr>
            <w:tcW w:w="1128" w:type="dxa"/>
            <w:vMerge/>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目标明确性</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绩效目标是否清晰、细化、可衡量等，用以反映和考核项目绩效目标的</w:t>
            </w:r>
            <w:proofErr w:type="gramStart"/>
            <w:r>
              <w:rPr>
                <w:rFonts w:hAnsi="宋体" w:cs="宋体" w:hint="eastAsia"/>
                <w:kern w:val="0"/>
                <w:sz w:val="24"/>
                <w:szCs w:val="24"/>
              </w:rPr>
              <w:t>明细化</w:t>
            </w:r>
            <w:proofErr w:type="gramEnd"/>
            <w:r>
              <w:rPr>
                <w:rFonts w:hAnsi="宋体" w:cs="宋体" w:hint="eastAsia"/>
                <w:kern w:val="0"/>
                <w:sz w:val="24"/>
                <w:szCs w:val="24"/>
              </w:rPr>
              <w:t>情况。</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依据绩效目标明确程度评分：</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①是否将项目绩效目标细化分解为具体的绩效指标；</w:t>
            </w:r>
            <w:r>
              <w:rPr>
                <w:rFonts w:hAnsi="宋体" w:cs="宋体" w:hint="eastAsia"/>
                <w:kern w:val="0"/>
                <w:sz w:val="24"/>
                <w:szCs w:val="24"/>
              </w:rPr>
              <w:br/>
            </w:r>
            <w:r>
              <w:rPr>
                <w:rFonts w:hAnsi="宋体" w:cs="宋体" w:hint="eastAsia"/>
                <w:kern w:val="0"/>
                <w:sz w:val="24"/>
                <w:szCs w:val="24"/>
              </w:rPr>
              <w:t>②是否通过清晰、可衡量的指标</w:t>
            </w:r>
            <w:proofErr w:type="gramStart"/>
            <w:r>
              <w:rPr>
                <w:rFonts w:hAnsi="宋体" w:cs="宋体" w:hint="eastAsia"/>
                <w:kern w:val="0"/>
                <w:sz w:val="24"/>
                <w:szCs w:val="24"/>
              </w:rPr>
              <w:t>值予以</w:t>
            </w:r>
            <w:proofErr w:type="gramEnd"/>
            <w:r>
              <w:rPr>
                <w:rFonts w:hAnsi="宋体" w:cs="宋体" w:hint="eastAsia"/>
                <w:kern w:val="0"/>
                <w:sz w:val="24"/>
                <w:szCs w:val="24"/>
              </w:rPr>
              <w:t>体现；</w:t>
            </w:r>
            <w:r>
              <w:rPr>
                <w:rFonts w:hAnsi="宋体" w:cs="宋体" w:hint="eastAsia"/>
                <w:kern w:val="0"/>
                <w:sz w:val="24"/>
                <w:szCs w:val="24"/>
              </w:rPr>
              <w:br/>
            </w:r>
            <w:r>
              <w:rPr>
                <w:rFonts w:hAnsi="宋体" w:cs="宋体" w:hint="eastAsia"/>
                <w:kern w:val="0"/>
                <w:sz w:val="24"/>
                <w:szCs w:val="24"/>
              </w:rPr>
              <w:t>③是否与项目目标任务数或计划数相对应；</w:t>
            </w:r>
          </w:p>
          <w:p w:rsidR="00C97DC7" w:rsidRDefault="00C97DC7" w:rsidP="00F87D21">
            <w:pPr>
              <w:widowControl/>
              <w:spacing w:line="30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④目标合理性得</w:t>
            </w:r>
            <w:r>
              <w:rPr>
                <w:rFonts w:hAnsi="宋体" w:cs="宋体" w:hint="eastAsia"/>
                <w:kern w:val="0"/>
                <w:sz w:val="24"/>
                <w:szCs w:val="24"/>
              </w:rPr>
              <w:t>0</w:t>
            </w:r>
            <w:r>
              <w:rPr>
                <w:rFonts w:hAnsi="宋体" w:cs="宋体" w:hint="eastAsia"/>
                <w:kern w:val="0"/>
                <w:sz w:val="24"/>
                <w:szCs w:val="24"/>
              </w:rPr>
              <w:t>分的，目标明确性不得分。</w:t>
            </w:r>
          </w:p>
        </w:tc>
      </w:tr>
      <w:tr w:rsidR="00C97DC7" w:rsidTr="00F87D21">
        <w:trPr>
          <w:trHeight w:val="454"/>
          <w:jc w:val="center"/>
        </w:trPr>
        <w:tc>
          <w:tcPr>
            <w:tcW w:w="1177" w:type="dxa"/>
            <w:vMerge/>
            <w:vAlign w:val="center"/>
          </w:tcPr>
          <w:p w:rsidR="00C97DC7" w:rsidRDefault="00C97DC7" w:rsidP="00F87D21">
            <w:pPr>
              <w:spacing w:line="300" w:lineRule="exact"/>
              <w:ind w:leftChars="-25" w:left="-80" w:rightChars="-25" w:right="-80" w:firstLineChars="0" w:firstLine="0"/>
              <w:jc w:val="center"/>
              <w:rPr>
                <w:rFonts w:hAnsi="宋体" w:cs="宋体"/>
                <w:kern w:val="0"/>
                <w:sz w:val="24"/>
                <w:szCs w:val="24"/>
              </w:rPr>
            </w:pPr>
          </w:p>
        </w:tc>
        <w:tc>
          <w:tcPr>
            <w:tcW w:w="1128" w:type="dxa"/>
            <w:vMerge w:val="restart"/>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资金投入</w:t>
            </w: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预算科学性</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项目预算是否规模适当、结构合理，标准科学，用以反映和考核项目预算编制的科学性、合理性情况。</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依据预算科学程度评分：</w:t>
            </w:r>
            <w:r>
              <w:rPr>
                <w:rFonts w:hAnsi="宋体" w:cs="宋体" w:hint="eastAsia"/>
                <w:kern w:val="0"/>
                <w:sz w:val="24"/>
                <w:szCs w:val="24"/>
              </w:rPr>
              <w:br/>
            </w:r>
            <w:r>
              <w:rPr>
                <w:rFonts w:hAnsi="宋体" w:cs="宋体" w:hint="eastAsia"/>
                <w:kern w:val="0"/>
                <w:sz w:val="24"/>
                <w:szCs w:val="24"/>
              </w:rPr>
              <w:t>①预算确定的项目投资额或资金量是否与目标任务相匹配；</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②预算支出结构是否合理，突出重点，压减非必要支出；</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③预算额度测算依据是否充分，是否按照标准编制。</w:t>
            </w:r>
          </w:p>
        </w:tc>
      </w:tr>
      <w:tr w:rsidR="00C97DC7" w:rsidTr="00F87D21">
        <w:trPr>
          <w:trHeight w:val="454"/>
          <w:jc w:val="center"/>
        </w:trPr>
        <w:tc>
          <w:tcPr>
            <w:tcW w:w="1177" w:type="dxa"/>
            <w:vMerge/>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p>
        </w:tc>
        <w:tc>
          <w:tcPr>
            <w:tcW w:w="1128" w:type="dxa"/>
            <w:vMerge/>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分配合理性</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项目预算资金分配是否有测算依据，与补助单位或地方实际是否相适应，用以反映和考核项目预算资金分配的科学性、合理性情况。</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依据资金分配合理程度评分：</w:t>
            </w:r>
            <w:r>
              <w:rPr>
                <w:rFonts w:hAnsi="宋体" w:cs="宋体" w:hint="eastAsia"/>
                <w:kern w:val="0"/>
                <w:sz w:val="24"/>
                <w:szCs w:val="24"/>
              </w:rPr>
              <w:br/>
            </w:r>
            <w:r>
              <w:rPr>
                <w:rFonts w:hAnsi="宋体" w:cs="宋体" w:hint="eastAsia"/>
                <w:kern w:val="0"/>
                <w:sz w:val="24"/>
                <w:szCs w:val="24"/>
              </w:rPr>
              <w:t>①预算资金分配依据是否充分；</w:t>
            </w:r>
            <w:r>
              <w:rPr>
                <w:rFonts w:hAnsi="宋体" w:cs="宋体" w:hint="eastAsia"/>
                <w:kern w:val="0"/>
                <w:sz w:val="24"/>
                <w:szCs w:val="24"/>
              </w:rPr>
              <w:br/>
            </w:r>
            <w:r>
              <w:rPr>
                <w:rFonts w:hAnsi="宋体" w:cs="宋体" w:hint="eastAsia"/>
                <w:kern w:val="0"/>
                <w:sz w:val="24"/>
                <w:szCs w:val="24"/>
              </w:rPr>
              <w:t>②资金分配额度是否合理，与项目单位或地方实际是否相适应。</w:t>
            </w:r>
          </w:p>
        </w:tc>
      </w:tr>
      <w:tr w:rsidR="00C97DC7" w:rsidTr="00F87D21">
        <w:trPr>
          <w:trHeight w:val="1246"/>
          <w:jc w:val="center"/>
        </w:trPr>
        <w:tc>
          <w:tcPr>
            <w:tcW w:w="1177" w:type="dxa"/>
            <w:vAlign w:val="center"/>
          </w:tcPr>
          <w:p w:rsidR="00C97DC7" w:rsidRDefault="00C97DC7" w:rsidP="00F87D21">
            <w:pPr>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lastRenderedPageBreak/>
              <w:t>过程</w:t>
            </w:r>
          </w:p>
          <w:p w:rsidR="00C97DC7" w:rsidRDefault="00C97DC7" w:rsidP="00F87D21">
            <w:pPr>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w:t>
            </w:r>
            <w:r>
              <w:rPr>
                <w:rFonts w:hAnsi="宋体" w:cs="宋体" w:hint="eastAsia"/>
                <w:kern w:val="0"/>
                <w:sz w:val="24"/>
                <w:szCs w:val="24"/>
              </w:rPr>
              <w:t>24</w:t>
            </w:r>
            <w:r>
              <w:rPr>
                <w:rFonts w:hAnsi="宋体" w:cs="宋体" w:hint="eastAsia"/>
                <w:kern w:val="0"/>
                <w:sz w:val="24"/>
                <w:szCs w:val="24"/>
              </w:rPr>
              <w:t>分）</w:t>
            </w:r>
          </w:p>
        </w:tc>
        <w:tc>
          <w:tcPr>
            <w:tcW w:w="1128"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项目管理</w:t>
            </w: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制度健全性</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项目及资金管理相关制度机制是否健全，要素是否齐全，程序是否合</w:t>
            </w:r>
            <w:proofErr w:type="gramStart"/>
            <w:r>
              <w:rPr>
                <w:rFonts w:hAnsi="宋体" w:cs="宋体" w:hint="eastAsia"/>
                <w:kern w:val="0"/>
                <w:sz w:val="24"/>
                <w:szCs w:val="24"/>
              </w:rPr>
              <w:t>规</w:t>
            </w:r>
            <w:proofErr w:type="gramEnd"/>
            <w:r>
              <w:rPr>
                <w:rFonts w:hAnsi="宋体" w:cs="宋体" w:hint="eastAsia"/>
                <w:kern w:val="0"/>
                <w:sz w:val="24"/>
                <w:szCs w:val="24"/>
              </w:rPr>
              <w:t>，用以反映和考核财务和业务管理制度对项目顺利实施的保障情况。</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依据制度健全程度评分：</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①项目管理办法、资金管理办法、绩效跟踪机制、资产管理办法等制度是否建立；</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②制度中要素是否健全，程序是否规范。</w:t>
            </w:r>
          </w:p>
        </w:tc>
      </w:tr>
      <w:tr w:rsidR="00C97DC7" w:rsidTr="00F87D21">
        <w:trPr>
          <w:trHeight w:val="454"/>
          <w:jc w:val="center"/>
        </w:trPr>
        <w:tc>
          <w:tcPr>
            <w:tcW w:w="1177" w:type="dxa"/>
            <w:vMerge w:val="restart"/>
            <w:vAlign w:val="center"/>
          </w:tcPr>
          <w:p w:rsidR="00C97DC7" w:rsidRDefault="00C97DC7" w:rsidP="00F87D21">
            <w:pPr>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过程</w:t>
            </w:r>
          </w:p>
          <w:p w:rsidR="00C97DC7" w:rsidRDefault="00C97DC7" w:rsidP="00F87D21">
            <w:pPr>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w:t>
            </w:r>
            <w:r>
              <w:rPr>
                <w:rFonts w:hAnsi="宋体" w:cs="宋体" w:hint="eastAsia"/>
                <w:kern w:val="0"/>
                <w:sz w:val="24"/>
                <w:szCs w:val="24"/>
              </w:rPr>
              <w:t>24</w:t>
            </w:r>
            <w:r>
              <w:rPr>
                <w:rFonts w:hAnsi="宋体" w:cs="宋体" w:hint="eastAsia"/>
                <w:kern w:val="0"/>
                <w:sz w:val="24"/>
                <w:szCs w:val="24"/>
              </w:rPr>
              <w:t>分）</w:t>
            </w:r>
          </w:p>
        </w:tc>
        <w:tc>
          <w:tcPr>
            <w:tcW w:w="1128" w:type="dxa"/>
            <w:vMerge w:val="restart"/>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项目管理</w:t>
            </w: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业务规范性</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项目实施是否符合相关管理规定，结果是否可控，用以反映和考核相关项目管理制度的有效执行和风险控制情况。</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依据项目组织实施过程中相关制度、合同执行情况评分：</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①项目管理制度执行是否规范；</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②项目信息是否按规定公开；</w:t>
            </w:r>
            <w:r>
              <w:rPr>
                <w:rFonts w:hAnsi="宋体" w:cs="宋体" w:hint="eastAsia"/>
                <w:kern w:val="0"/>
                <w:sz w:val="24"/>
                <w:szCs w:val="24"/>
              </w:rPr>
              <w:br/>
            </w:r>
            <w:r>
              <w:rPr>
                <w:rFonts w:hAnsi="宋体" w:cs="宋体" w:hint="eastAsia"/>
                <w:kern w:val="0"/>
                <w:sz w:val="24"/>
                <w:szCs w:val="24"/>
              </w:rPr>
              <w:t>③项目合同书、验收报告、技术鉴定等资料是否齐全并及时归档；</w:t>
            </w:r>
            <w:r>
              <w:rPr>
                <w:rFonts w:hAnsi="宋体" w:cs="宋体" w:hint="eastAsia"/>
                <w:kern w:val="0"/>
                <w:sz w:val="24"/>
                <w:szCs w:val="24"/>
              </w:rPr>
              <w:br/>
            </w:r>
            <w:r>
              <w:rPr>
                <w:rFonts w:hAnsi="宋体" w:cs="宋体" w:hint="eastAsia"/>
                <w:kern w:val="0"/>
                <w:sz w:val="24"/>
                <w:szCs w:val="24"/>
              </w:rPr>
              <w:t>④项目实施的人员条件、场地设备、信息支撑等是否落实到位。</w:t>
            </w:r>
          </w:p>
        </w:tc>
      </w:tr>
      <w:tr w:rsidR="00C97DC7" w:rsidTr="00F87D21">
        <w:trPr>
          <w:trHeight w:val="454"/>
          <w:jc w:val="center"/>
        </w:trPr>
        <w:tc>
          <w:tcPr>
            <w:tcW w:w="1177" w:type="dxa"/>
            <w:vMerge/>
            <w:vAlign w:val="center"/>
          </w:tcPr>
          <w:p w:rsidR="00C97DC7" w:rsidRDefault="00C97DC7" w:rsidP="00F87D21">
            <w:pPr>
              <w:spacing w:line="300" w:lineRule="exact"/>
              <w:ind w:leftChars="-25" w:left="-80" w:rightChars="-25" w:right="-80" w:firstLineChars="0" w:firstLine="0"/>
              <w:jc w:val="center"/>
              <w:rPr>
                <w:rFonts w:hAnsi="宋体" w:cs="宋体"/>
                <w:kern w:val="0"/>
                <w:sz w:val="24"/>
                <w:szCs w:val="24"/>
              </w:rPr>
            </w:pPr>
          </w:p>
        </w:tc>
        <w:tc>
          <w:tcPr>
            <w:tcW w:w="1128" w:type="dxa"/>
            <w:vMerge/>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财务规范性</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项目资金使用是否符合相关的财务管理制度规定，用以反映和考核项目资金的规范运行情况。</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依据项目资金管理相关制度执行情况评分：</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①会计核算是否规范，会计信息质量是否完整、真实、准确；</w:t>
            </w:r>
            <w:r>
              <w:rPr>
                <w:rFonts w:hAnsi="宋体" w:cs="宋体" w:hint="eastAsia"/>
                <w:kern w:val="0"/>
                <w:sz w:val="24"/>
                <w:szCs w:val="24"/>
              </w:rPr>
              <w:br/>
            </w:r>
            <w:r>
              <w:rPr>
                <w:rFonts w:hAnsi="宋体" w:cs="宋体" w:hint="eastAsia"/>
                <w:kern w:val="0"/>
                <w:sz w:val="24"/>
                <w:szCs w:val="24"/>
              </w:rPr>
              <w:t>②资金的拨付是否有完整的审批程序和手续；</w:t>
            </w:r>
            <w:r>
              <w:rPr>
                <w:rFonts w:hAnsi="宋体" w:cs="宋体" w:hint="eastAsia"/>
                <w:kern w:val="0"/>
                <w:sz w:val="24"/>
                <w:szCs w:val="24"/>
              </w:rPr>
              <w:br/>
            </w:r>
            <w:r>
              <w:rPr>
                <w:rFonts w:hAnsi="宋体" w:cs="宋体" w:hint="eastAsia"/>
                <w:kern w:val="0"/>
                <w:sz w:val="24"/>
                <w:szCs w:val="24"/>
              </w:rPr>
              <w:t>③是否符合项目预算批复或合同规定的用途；</w:t>
            </w:r>
            <w:r>
              <w:rPr>
                <w:rFonts w:hAnsi="宋体" w:cs="宋体" w:hint="eastAsia"/>
                <w:kern w:val="0"/>
                <w:sz w:val="24"/>
                <w:szCs w:val="24"/>
              </w:rPr>
              <w:br/>
            </w:r>
            <w:r>
              <w:rPr>
                <w:rFonts w:hAnsi="宋体" w:cs="宋体" w:hint="eastAsia"/>
                <w:kern w:val="0"/>
                <w:sz w:val="24"/>
                <w:szCs w:val="24"/>
              </w:rPr>
              <w:t>④是否存在截留、挤占、挪用、套取等情况。</w:t>
            </w:r>
          </w:p>
        </w:tc>
      </w:tr>
      <w:tr w:rsidR="00C97DC7" w:rsidTr="00F87D21">
        <w:trPr>
          <w:trHeight w:val="454"/>
          <w:jc w:val="center"/>
        </w:trPr>
        <w:tc>
          <w:tcPr>
            <w:tcW w:w="1177" w:type="dxa"/>
            <w:vMerge/>
            <w:vAlign w:val="center"/>
          </w:tcPr>
          <w:p w:rsidR="00C97DC7" w:rsidRDefault="00C97DC7" w:rsidP="00F87D21">
            <w:pPr>
              <w:spacing w:line="300" w:lineRule="exact"/>
              <w:ind w:leftChars="-25" w:left="-80" w:rightChars="-25" w:right="-80" w:firstLineChars="0" w:firstLine="0"/>
              <w:jc w:val="center"/>
              <w:rPr>
                <w:rFonts w:hAnsi="宋体" w:cs="宋体"/>
                <w:kern w:val="0"/>
                <w:sz w:val="24"/>
                <w:szCs w:val="24"/>
              </w:rPr>
            </w:pPr>
          </w:p>
        </w:tc>
        <w:tc>
          <w:tcPr>
            <w:tcW w:w="1128" w:type="dxa"/>
            <w:vMerge/>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整改及时性</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项目管理过程中是否及时纠偏，用以反映和考核项目过程中问题发现和整改情况</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依据绩效跟踪、绩效评价、财政监督、审计、内控等管理过程中发现的问题，是否及时整改到位的情况评分。</w:t>
            </w:r>
          </w:p>
        </w:tc>
      </w:tr>
      <w:tr w:rsidR="00C97DC7" w:rsidTr="00F87D21">
        <w:trPr>
          <w:trHeight w:val="454"/>
          <w:jc w:val="center"/>
        </w:trPr>
        <w:tc>
          <w:tcPr>
            <w:tcW w:w="1177" w:type="dxa"/>
            <w:vMerge/>
            <w:vAlign w:val="center"/>
          </w:tcPr>
          <w:p w:rsidR="00C97DC7" w:rsidRDefault="00C97DC7" w:rsidP="00F87D21">
            <w:pPr>
              <w:spacing w:line="300" w:lineRule="exact"/>
              <w:ind w:leftChars="-25" w:left="-80" w:rightChars="-25" w:right="-80" w:firstLineChars="0" w:firstLine="0"/>
              <w:jc w:val="center"/>
              <w:rPr>
                <w:rFonts w:hAnsi="宋体" w:cs="宋体"/>
                <w:kern w:val="0"/>
                <w:sz w:val="24"/>
                <w:szCs w:val="24"/>
              </w:rPr>
            </w:pPr>
          </w:p>
        </w:tc>
        <w:tc>
          <w:tcPr>
            <w:tcW w:w="1128" w:type="dxa"/>
            <w:vMerge w:val="restart"/>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预算执行</w:t>
            </w: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资金到位率</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实际到位资金与项目预算总额的比率，用以反映和考核资金落实情况对项目实施的总体保障程度。</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依据资金到位率评分（每低于</w:t>
            </w:r>
            <w:r>
              <w:rPr>
                <w:rFonts w:hAnsi="宋体" w:cs="宋体" w:hint="eastAsia"/>
                <w:kern w:val="0"/>
                <w:sz w:val="24"/>
                <w:szCs w:val="24"/>
              </w:rPr>
              <w:t>1%</w:t>
            </w:r>
            <w:r>
              <w:rPr>
                <w:rFonts w:hAnsi="宋体" w:cs="宋体" w:hint="eastAsia"/>
                <w:kern w:val="0"/>
                <w:sz w:val="24"/>
                <w:szCs w:val="24"/>
              </w:rPr>
              <w:t>，扣权重分的</w:t>
            </w:r>
            <w:r>
              <w:rPr>
                <w:rFonts w:hAnsi="宋体" w:cs="宋体" w:hint="eastAsia"/>
                <w:kern w:val="0"/>
                <w:sz w:val="24"/>
                <w:szCs w:val="24"/>
              </w:rPr>
              <w:t>2.5%</w:t>
            </w:r>
            <w:r>
              <w:rPr>
                <w:rFonts w:hAnsi="宋体" w:cs="宋体" w:hint="eastAsia"/>
                <w:kern w:val="0"/>
                <w:sz w:val="24"/>
                <w:szCs w:val="24"/>
              </w:rPr>
              <w:t>，扣完为止）：</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资金到位率</w:t>
            </w:r>
            <w:r>
              <w:rPr>
                <w:rFonts w:hAnsi="宋体" w:cs="宋体" w:hint="eastAsia"/>
                <w:kern w:val="0"/>
                <w:sz w:val="24"/>
                <w:szCs w:val="24"/>
              </w:rPr>
              <w:t>=</w:t>
            </w:r>
            <w:r>
              <w:rPr>
                <w:rFonts w:hAnsi="宋体" w:cs="宋体" w:hint="eastAsia"/>
                <w:kern w:val="0"/>
                <w:sz w:val="24"/>
                <w:szCs w:val="24"/>
              </w:rPr>
              <w:t>（实际到位资金</w:t>
            </w:r>
            <w:r>
              <w:rPr>
                <w:rFonts w:hAnsi="宋体" w:cs="宋体" w:hint="eastAsia"/>
                <w:kern w:val="0"/>
                <w:sz w:val="24"/>
                <w:szCs w:val="24"/>
              </w:rPr>
              <w:t>/</w:t>
            </w:r>
            <w:r>
              <w:rPr>
                <w:rFonts w:hAnsi="宋体" w:cs="宋体" w:hint="eastAsia"/>
                <w:kern w:val="0"/>
                <w:sz w:val="24"/>
                <w:szCs w:val="24"/>
              </w:rPr>
              <w:t>项目预算总额）×</w:t>
            </w:r>
            <w:r>
              <w:rPr>
                <w:rFonts w:hAnsi="宋体" w:cs="宋体" w:hint="eastAsia"/>
                <w:kern w:val="0"/>
                <w:sz w:val="24"/>
                <w:szCs w:val="24"/>
              </w:rPr>
              <w:t>100%</w:t>
            </w:r>
            <w:r>
              <w:rPr>
                <w:rFonts w:hAnsi="宋体" w:cs="宋体" w:hint="eastAsia"/>
                <w:kern w:val="0"/>
                <w:sz w:val="24"/>
                <w:szCs w:val="24"/>
              </w:rPr>
              <w:t>。</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实际到位资金：一定时期（本年度或项目期）内落实到具体项目的资金。</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项目预算总额：一定时期（本年度或项目期）内项目计划安排资金总额。</w:t>
            </w:r>
          </w:p>
        </w:tc>
      </w:tr>
      <w:tr w:rsidR="00C97DC7" w:rsidTr="00F87D21">
        <w:trPr>
          <w:trHeight w:val="454"/>
          <w:jc w:val="center"/>
        </w:trPr>
        <w:tc>
          <w:tcPr>
            <w:tcW w:w="1177" w:type="dxa"/>
            <w:vMerge/>
            <w:vAlign w:val="center"/>
          </w:tcPr>
          <w:p w:rsidR="00C97DC7" w:rsidRDefault="00C97DC7" w:rsidP="00F87D21">
            <w:pPr>
              <w:spacing w:line="300" w:lineRule="exact"/>
              <w:ind w:leftChars="-25" w:left="-80" w:rightChars="-25" w:right="-80" w:firstLineChars="0" w:firstLine="0"/>
              <w:jc w:val="center"/>
              <w:rPr>
                <w:rFonts w:hAnsi="宋体" w:cs="宋体"/>
                <w:kern w:val="0"/>
                <w:sz w:val="24"/>
                <w:szCs w:val="24"/>
              </w:rPr>
            </w:pPr>
          </w:p>
        </w:tc>
        <w:tc>
          <w:tcPr>
            <w:tcW w:w="1128" w:type="dxa"/>
            <w:vMerge/>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预算执行率</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项目预算资金是否按照计划执行，用以反映或考核项目预算执行情况。</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依据预算执行率评分（每低于</w:t>
            </w:r>
            <w:r>
              <w:rPr>
                <w:rFonts w:hAnsi="宋体" w:cs="宋体" w:hint="eastAsia"/>
                <w:kern w:val="0"/>
                <w:sz w:val="24"/>
                <w:szCs w:val="24"/>
              </w:rPr>
              <w:t>1%</w:t>
            </w:r>
            <w:r>
              <w:rPr>
                <w:rFonts w:hAnsi="宋体" w:cs="宋体" w:hint="eastAsia"/>
                <w:kern w:val="0"/>
                <w:sz w:val="24"/>
                <w:szCs w:val="24"/>
              </w:rPr>
              <w:t>，扣权重分的</w:t>
            </w:r>
            <w:r>
              <w:rPr>
                <w:rFonts w:hAnsi="宋体" w:cs="宋体" w:hint="eastAsia"/>
                <w:kern w:val="0"/>
                <w:sz w:val="24"/>
                <w:szCs w:val="24"/>
              </w:rPr>
              <w:t>5%</w:t>
            </w:r>
            <w:r>
              <w:rPr>
                <w:rFonts w:hAnsi="宋体" w:cs="宋体" w:hint="eastAsia"/>
                <w:kern w:val="0"/>
                <w:sz w:val="24"/>
                <w:szCs w:val="24"/>
              </w:rPr>
              <w:t>，扣完为止）：</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预算执行率</w:t>
            </w:r>
            <w:r>
              <w:rPr>
                <w:rFonts w:hAnsi="宋体" w:cs="宋体" w:hint="eastAsia"/>
                <w:kern w:val="0"/>
                <w:sz w:val="24"/>
                <w:szCs w:val="24"/>
              </w:rPr>
              <w:t>=</w:t>
            </w:r>
            <w:r>
              <w:rPr>
                <w:rFonts w:hAnsi="宋体" w:cs="宋体" w:hint="eastAsia"/>
                <w:kern w:val="0"/>
                <w:sz w:val="24"/>
                <w:szCs w:val="24"/>
              </w:rPr>
              <w:t>（预算支出数</w:t>
            </w:r>
            <w:r>
              <w:rPr>
                <w:rFonts w:hAnsi="宋体" w:cs="宋体" w:hint="eastAsia"/>
                <w:kern w:val="0"/>
                <w:sz w:val="24"/>
                <w:szCs w:val="24"/>
              </w:rPr>
              <w:t>/</w:t>
            </w:r>
            <w:r>
              <w:rPr>
                <w:rFonts w:hAnsi="宋体" w:cs="宋体" w:hint="eastAsia"/>
                <w:kern w:val="0"/>
                <w:sz w:val="24"/>
                <w:szCs w:val="24"/>
              </w:rPr>
              <w:t>预算拨付数）×</w:t>
            </w:r>
            <w:r>
              <w:rPr>
                <w:rFonts w:hAnsi="宋体" w:cs="宋体" w:hint="eastAsia"/>
                <w:kern w:val="0"/>
                <w:sz w:val="24"/>
                <w:szCs w:val="24"/>
              </w:rPr>
              <w:t>100%</w:t>
            </w:r>
            <w:r>
              <w:rPr>
                <w:rFonts w:hAnsi="宋体" w:cs="宋体" w:hint="eastAsia"/>
                <w:kern w:val="0"/>
                <w:sz w:val="24"/>
                <w:szCs w:val="24"/>
              </w:rPr>
              <w:t>。</w:t>
            </w:r>
          </w:p>
        </w:tc>
      </w:tr>
      <w:tr w:rsidR="00C97DC7" w:rsidTr="00F87D21">
        <w:trPr>
          <w:trHeight w:val="454"/>
          <w:jc w:val="center"/>
        </w:trPr>
        <w:tc>
          <w:tcPr>
            <w:tcW w:w="1177"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结果</w:t>
            </w:r>
          </w:p>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w:t>
            </w:r>
            <w:r>
              <w:rPr>
                <w:rFonts w:hAnsi="宋体" w:cs="宋体" w:hint="eastAsia"/>
                <w:kern w:val="0"/>
                <w:sz w:val="24"/>
                <w:szCs w:val="24"/>
              </w:rPr>
              <w:t>60</w:t>
            </w:r>
            <w:r>
              <w:rPr>
                <w:rFonts w:hAnsi="宋体" w:cs="宋体" w:hint="eastAsia"/>
                <w:kern w:val="0"/>
                <w:sz w:val="24"/>
                <w:szCs w:val="24"/>
              </w:rPr>
              <w:t>分）</w:t>
            </w:r>
          </w:p>
        </w:tc>
        <w:tc>
          <w:tcPr>
            <w:tcW w:w="1128"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产出结果</w:t>
            </w:r>
          </w:p>
        </w:tc>
        <w:tc>
          <w:tcPr>
            <w:tcW w:w="1411" w:type="dxa"/>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数量完成率</w:t>
            </w:r>
          </w:p>
        </w:tc>
        <w:tc>
          <w:tcPr>
            <w:tcW w:w="3810" w:type="dxa"/>
            <w:vAlign w:val="center"/>
          </w:tcPr>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项目实施的实际产出数与计划产出数的比率，用以反映和考核项目产出数量目标的实现程度。</w:t>
            </w:r>
          </w:p>
        </w:tc>
        <w:tc>
          <w:tcPr>
            <w:tcW w:w="7640" w:type="dxa"/>
            <w:vAlign w:val="center"/>
          </w:tcPr>
          <w:p w:rsidR="00C97DC7" w:rsidRDefault="00C97DC7" w:rsidP="00F87D21">
            <w:pPr>
              <w:widowControl/>
              <w:spacing w:line="300" w:lineRule="exact"/>
              <w:ind w:leftChars="-25" w:left="-80" w:rightChars="-25" w:right="-80" w:firstLineChars="0" w:firstLine="0"/>
              <w:rPr>
                <w:rFonts w:hAnsi="宋体" w:cs="宋体"/>
                <w:spacing w:val="-4"/>
                <w:kern w:val="0"/>
                <w:sz w:val="24"/>
                <w:szCs w:val="24"/>
              </w:rPr>
            </w:pPr>
            <w:r>
              <w:rPr>
                <w:rFonts w:hAnsi="宋体" w:cs="宋体" w:hint="eastAsia"/>
                <w:spacing w:val="-4"/>
                <w:kern w:val="0"/>
                <w:sz w:val="24"/>
                <w:szCs w:val="24"/>
              </w:rPr>
              <w:t>依据数量完成率评分（每低于</w:t>
            </w:r>
            <w:r>
              <w:rPr>
                <w:rFonts w:hAnsi="宋体" w:cs="宋体" w:hint="eastAsia"/>
                <w:spacing w:val="-4"/>
                <w:kern w:val="0"/>
                <w:sz w:val="24"/>
                <w:szCs w:val="24"/>
              </w:rPr>
              <w:t>1%</w:t>
            </w:r>
            <w:r>
              <w:rPr>
                <w:rFonts w:hAnsi="宋体" w:cs="宋体" w:hint="eastAsia"/>
                <w:spacing w:val="-4"/>
                <w:kern w:val="0"/>
                <w:sz w:val="24"/>
                <w:szCs w:val="24"/>
              </w:rPr>
              <w:t>或高于</w:t>
            </w:r>
            <w:r>
              <w:rPr>
                <w:rFonts w:hAnsi="宋体" w:cs="宋体" w:hint="eastAsia"/>
                <w:spacing w:val="-4"/>
                <w:kern w:val="0"/>
                <w:sz w:val="24"/>
                <w:szCs w:val="24"/>
              </w:rPr>
              <w:t>130%</w:t>
            </w:r>
            <w:r>
              <w:rPr>
                <w:rFonts w:hAnsi="宋体" w:cs="宋体" w:hint="eastAsia"/>
                <w:spacing w:val="-4"/>
                <w:kern w:val="0"/>
                <w:sz w:val="24"/>
                <w:szCs w:val="24"/>
              </w:rPr>
              <w:t>，扣权重分的</w:t>
            </w:r>
            <w:r>
              <w:rPr>
                <w:rFonts w:hAnsi="宋体" w:cs="宋体" w:hint="eastAsia"/>
                <w:spacing w:val="-4"/>
                <w:kern w:val="0"/>
                <w:sz w:val="24"/>
                <w:szCs w:val="24"/>
              </w:rPr>
              <w:t>2.5%</w:t>
            </w:r>
            <w:r>
              <w:rPr>
                <w:rFonts w:hAnsi="宋体" w:cs="宋体" w:hint="eastAsia"/>
                <w:spacing w:val="-4"/>
                <w:kern w:val="0"/>
                <w:sz w:val="24"/>
                <w:szCs w:val="24"/>
              </w:rPr>
              <w:t>，扣完为止）：</w:t>
            </w:r>
          </w:p>
          <w:p w:rsidR="00C97DC7" w:rsidRDefault="00C97DC7" w:rsidP="00F87D21">
            <w:pPr>
              <w:widowControl/>
              <w:spacing w:line="300" w:lineRule="exact"/>
              <w:ind w:leftChars="-25" w:left="-80" w:rightChars="-25" w:right="-80" w:firstLineChars="0" w:firstLine="0"/>
              <w:rPr>
                <w:rFonts w:hAnsi="宋体" w:cs="宋体"/>
                <w:kern w:val="0"/>
                <w:sz w:val="24"/>
                <w:szCs w:val="24"/>
              </w:rPr>
            </w:pPr>
            <w:r>
              <w:rPr>
                <w:rFonts w:hAnsi="宋体" w:cs="宋体" w:hint="eastAsia"/>
                <w:kern w:val="0"/>
                <w:sz w:val="24"/>
                <w:szCs w:val="24"/>
              </w:rPr>
              <w:t>实际完成率</w:t>
            </w:r>
            <w:r>
              <w:rPr>
                <w:rFonts w:hAnsi="宋体" w:cs="宋体" w:hint="eastAsia"/>
                <w:kern w:val="0"/>
                <w:sz w:val="24"/>
                <w:szCs w:val="24"/>
              </w:rPr>
              <w:t>=</w:t>
            </w:r>
            <w:r>
              <w:rPr>
                <w:rFonts w:hAnsi="宋体" w:cs="宋体" w:hint="eastAsia"/>
                <w:kern w:val="0"/>
                <w:sz w:val="24"/>
                <w:szCs w:val="24"/>
              </w:rPr>
              <w:t>（实际产出数</w:t>
            </w:r>
            <w:r>
              <w:rPr>
                <w:rFonts w:hAnsi="宋体" w:cs="宋体" w:hint="eastAsia"/>
                <w:kern w:val="0"/>
                <w:sz w:val="24"/>
                <w:szCs w:val="24"/>
              </w:rPr>
              <w:t>/</w:t>
            </w:r>
            <w:r>
              <w:rPr>
                <w:rFonts w:hAnsi="宋体" w:cs="宋体" w:hint="eastAsia"/>
                <w:kern w:val="0"/>
                <w:sz w:val="24"/>
                <w:szCs w:val="24"/>
              </w:rPr>
              <w:t>计划产出数）×</w:t>
            </w:r>
            <w:r>
              <w:rPr>
                <w:rFonts w:hAnsi="宋体" w:cs="宋体" w:hint="eastAsia"/>
                <w:kern w:val="0"/>
                <w:sz w:val="24"/>
                <w:szCs w:val="24"/>
              </w:rPr>
              <w:t>100%</w:t>
            </w:r>
            <w:r>
              <w:rPr>
                <w:rFonts w:hAnsi="宋体" w:cs="宋体" w:hint="eastAsia"/>
                <w:kern w:val="0"/>
                <w:sz w:val="24"/>
                <w:szCs w:val="24"/>
              </w:rPr>
              <w:t>。</w:t>
            </w:r>
            <w:r>
              <w:rPr>
                <w:rFonts w:hAnsi="宋体" w:cs="宋体" w:hint="eastAsia"/>
                <w:kern w:val="0"/>
                <w:sz w:val="24"/>
                <w:szCs w:val="24"/>
              </w:rPr>
              <w:br/>
            </w:r>
            <w:r>
              <w:rPr>
                <w:rFonts w:hAnsi="宋体" w:cs="宋体" w:hint="eastAsia"/>
                <w:kern w:val="0"/>
                <w:sz w:val="24"/>
                <w:szCs w:val="24"/>
              </w:rPr>
              <w:t>实际产出数：一定时期（本年度或项目期）内项目实际产出的产品或提供</w:t>
            </w:r>
            <w:r>
              <w:rPr>
                <w:rFonts w:hAnsi="宋体" w:cs="宋体" w:hint="eastAsia"/>
                <w:kern w:val="0"/>
                <w:sz w:val="24"/>
                <w:szCs w:val="24"/>
              </w:rPr>
              <w:lastRenderedPageBreak/>
              <w:t>的服务数量。</w:t>
            </w:r>
            <w:r>
              <w:rPr>
                <w:rFonts w:hAnsi="宋体" w:cs="宋体" w:hint="eastAsia"/>
                <w:kern w:val="0"/>
                <w:sz w:val="24"/>
                <w:szCs w:val="24"/>
              </w:rPr>
              <w:br/>
            </w:r>
            <w:r>
              <w:rPr>
                <w:rFonts w:hAnsi="宋体" w:cs="宋体" w:hint="eastAsia"/>
                <w:kern w:val="0"/>
                <w:sz w:val="24"/>
                <w:szCs w:val="24"/>
              </w:rPr>
              <w:t>计划产出数：项目绩效目标确定的在一定时期（本年度或项目期）内计划产出的产品或提供的服务数量。</w:t>
            </w:r>
          </w:p>
        </w:tc>
      </w:tr>
      <w:tr w:rsidR="00C97DC7" w:rsidTr="00F87D21">
        <w:trPr>
          <w:trHeight w:val="454"/>
          <w:jc w:val="center"/>
        </w:trPr>
        <w:tc>
          <w:tcPr>
            <w:tcW w:w="1177" w:type="dxa"/>
            <w:vMerge w:val="restart"/>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lastRenderedPageBreak/>
              <w:t>结果</w:t>
            </w:r>
          </w:p>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w:t>
            </w:r>
            <w:r>
              <w:rPr>
                <w:rFonts w:hAnsi="宋体" w:cs="宋体" w:hint="eastAsia"/>
                <w:kern w:val="0"/>
                <w:sz w:val="24"/>
                <w:szCs w:val="24"/>
              </w:rPr>
              <w:t>60</w:t>
            </w:r>
            <w:r>
              <w:rPr>
                <w:rFonts w:hAnsi="宋体" w:cs="宋体" w:hint="eastAsia"/>
                <w:kern w:val="0"/>
                <w:sz w:val="24"/>
                <w:szCs w:val="24"/>
              </w:rPr>
              <w:t>分）</w:t>
            </w:r>
          </w:p>
        </w:tc>
        <w:tc>
          <w:tcPr>
            <w:tcW w:w="1128" w:type="dxa"/>
            <w:vMerge w:val="restart"/>
            <w:vAlign w:val="center"/>
          </w:tcPr>
          <w:p w:rsidR="00C97DC7" w:rsidRDefault="00C97DC7" w:rsidP="00F87D21">
            <w:pPr>
              <w:widowControl/>
              <w:spacing w:line="30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产出结果</w:t>
            </w:r>
          </w:p>
        </w:tc>
        <w:tc>
          <w:tcPr>
            <w:tcW w:w="1411" w:type="dxa"/>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质量达标率</w:t>
            </w:r>
          </w:p>
        </w:tc>
        <w:tc>
          <w:tcPr>
            <w:tcW w:w="3810" w:type="dxa"/>
            <w:vAlign w:val="center"/>
          </w:tcPr>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项目完成的质量达标产出数与实际产出数的比率，用以反映和考核项目产出质量目标的实现程度。</w:t>
            </w:r>
          </w:p>
        </w:tc>
        <w:tc>
          <w:tcPr>
            <w:tcW w:w="7640" w:type="dxa"/>
            <w:vAlign w:val="center"/>
          </w:tcPr>
          <w:p w:rsidR="00C97DC7" w:rsidRDefault="00C97DC7" w:rsidP="00F87D21">
            <w:pPr>
              <w:widowControl/>
              <w:spacing w:line="360" w:lineRule="exact"/>
              <w:ind w:leftChars="-25" w:left="-80" w:rightChars="-25" w:right="-80" w:firstLineChars="0" w:firstLine="0"/>
              <w:rPr>
                <w:rFonts w:hAnsi="宋体" w:cs="宋体"/>
                <w:spacing w:val="-5"/>
                <w:kern w:val="0"/>
                <w:sz w:val="24"/>
                <w:szCs w:val="24"/>
              </w:rPr>
            </w:pPr>
            <w:r>
              <w:rPr>
                <w:rFonts w:hAnsi="宋体" w:cs="宋体" w:hint="eastAsia"/>
                <w:spacing w:val="-5"/>
                <w:kern w:val="0"/>
                <w:sz w:val="24"/>
                <w:szCs w:val="24"/>
              </w:rPr>
              <w:t>依据质量达标率评分（每低于</w:t>
            </w:r>
            <w:r>
              <w:rPr>
                <w:rFonts w:hAnsi="宋体" w:cs="宋体" w:hint="eastAsia"/>
                <w:spacing w:val="-5"/>
                <w:kern w:val="0"/>
                <w:sz w:val="24"/>
                <w:szCs w:val="24"/>
              </w:rPr>
              <w:t>1%</w:t>
            </w:r>
            <w:r>
              <w:rPr>
                <w:rFonts w:hAnsi="宋体" w:cs="宋体" w:hint="eastAsia"/>
                <w:spacing w:val="-5"/>
                <w:kern w:val="0"/>
                <w:sz w:val="24"/>
                <w:szCs w:val="24"/>
              </w:rPr>
              <w:t>或高于</w:t>
            </w:r>
            <w:r>
              <w:rPr>
                <w:rFonts w:hAnsi="宋体" w:cs="宋体" w:hint="eastAsia"/>
                <w:spacing w:val="-5"/>
                <w:kern w:val="0"/>
                <w:sz w:val="24"/>
                <w:szCs w:val="24"/>
              </w:rPr>
              <w:t>130%</w:t>
            </w:r>
            <w:r>
              <w:rPr>
                <w:rFonts w:hAnsi="宋体" w:cs="宋体" w:hint="eastAsia"/>
                <w:spacing w:val="-5"/>
                <w:kern w:val="0"/>
                <w:sz w:val="24"/>
                <w:szCs w:val="24"/>
              </w:rPr>
              <w:t>，扣权重分的</w:t>
            </w:r>
            <w:r>
              <w:rPr>
                <w:rFonts w:hAnsi="宋体" w:cs="宋体" w:hint="eastAsia"/>
                <w:spacing w:val="-5"/>
                <w:kern w:val="0"/>
                <w:sz w:val="24"/>
                <w:szCs w:val="24"/>
              </w:rPr>
              <w:t>2.5%</w:t>
            </w:r>
            <w:r>
              <w:rPr>
                <w:rFonts w:hAnsi="宋体" w:cs="宋体" w:hint="eastAsia"/>
                <w:spacing w:val="-5"/>
                <w:kern w:val="0"/>
                <w:sz w:val="24"/>
                <w:szCs w:val="24"/>
              </w:rPr>
              <w:t>，扣完为止）：</w:t>
            </w:r>
          </w:p>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质量达标率</w:t>
            </w:r>
            <w:r>
              <w:rPr>
                <w:rFonts w:hAnsi="宋体" w:cs="宋体" w:hint="eastAsia"/>
                <w:kern w:val="0"/>
                <w:sz w:val="24"/>
                <w:szCs w:val="24"/>
              </w:rPr>
              <w:t>=</w:t>
            </w:r>
            <w:r>
              <w:rPr>
                <w:rFonts w:hAnsi="宋体" w:cs="宋体" w:hint="eastAsia"/>
                <w:kern w:val="0"/>
                <w:sz w:val="24"/>
                <w:szCs w:val="24"/>
              </w:rPr>
              <w:t>（质量达标产出数</w:t>
            </w:r>
            <w:r>
              <w:rPr>
                <w:rFonts w:hAnsi="宋体" w:cs="宋体" w:hint="eastAsia"/>
                <w:kern w:val="0"/>
                <w:sz w:val="24"/>
                <w:szCs w:val="24"/>
              </w:rPr>
              <w:t>/</w:t>
            </w:r>
            <w:r>
              <w:rPr>
                <w:rFonts w:hAnsi="宋体" w:cs="宋体" w:hint="eastAsia"/>
                <w:kern w:val="0"/>
                <w:sz w:val="24"/>
                <w:szCs w:val="24"/>
              </w:rPr>
              <w:t>实际产出数）×</w:t>
            </w:r>
            <w:r>
              <w:rPr>
                <w:rFonts w:hAnsi="宋体" w:cs="宋体" w:hint="eastAsia"/>
                <w:kern w:val="0"/>
                <w:sz w:val="24"/>
                <w:szCs w:val="24"/>
              </w:rPr>
              <w:t>100%</w:t>
            </w:r>
            <w:r>
              <w:rPr>
                <w:rFonts w:hAnsi="宋体" w:cs="宋体" w:hint="eastAsia"/>
                <w:kern w:val="0"/>
                <w:sz w:val="24"/>
                <w:szCs w:val="24"/>
              </w:rPr>
              <w:t>。</w:t>
            </w:r>
          </w:p>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rsidR="00C97DC7" w:rsidTr="00F87D21">
        <w:trPr>
          <w:trHeight w:val="454"/>
          <w:jc w:val="center"/>
        </w:trPr>
        <w:tc>
          <w:tcPr>
            <w:tcW w:w="1177" w:type="dxa"/>
            <w:vMerge/>
            <w:vAlign w:val="center"/>
          </w:tcPr>
          <w:p w:rsidR="00C97DC7" w:rsidRDefault="00C97DC7" w:rsidP="00F87D21">
            <w:pPr>
              <w:spacing w:line="360" w:lineRule="exact"/>
              <w:ind w:leftChars="-25" w:left="-80" w:rightChars="-25" w:right="-80" w:firstLineChars="0" w:firstLine="0"/>
              <w:jc w:val="center"/>
              <w:rPr>
                <w:rFonts w:hAnsi="宋体" w:cs="宋体"/>
                <w:kern w:val="0"/>
                <w:sz w:val="24"/>
                <w:szCs w:val="24"/>
              </w:rPr>
            </w:pPr>
          </w:p>
        </w:tc>
        <w:tc>
          <w:tcPr>
            <w:tcW w:w="1128" w:type="dxa"/>
            <w:vMerge/>
            <w:vAlign w:val="center"/>
          </w:tcPr>
          <w:p w:rsidR="00C97DC7" w:rsidRDefault="00C97DC7" w:rsidP="00F87D21">
            <w:pPr>
              <w:spacing w:line="360" w:lineRule="exact"/>
              <w:ind w:leftChars="-25" w:left="-80" w:rightChars="-25" w:right="-80" w:firstLineChars="0" w:firstLine="0"/>
              <w:jc w:val="center"/>
              <w:rPr>
                <w:rFonts w:hAnsi="宋体" w:cs="宋体"/>
                <w:kern w:val="0"/>
                <w:sz w:val="24"/>
                <w:szCs w:val="24"/>
              </w:rPr>
            </w:pPr>
          </w:p>
        </w:tc>
        <w:tc>
          <w:tcPr>
            <w:tcW w:w="1411" w:type="dxa"/>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完成及时性</w:t>
            </w:r>
          </w:p>
        </w:tc>
        <w:tc>
          <w:tcPr>
            <w:tcW w:w="3810" w:type="dxa"/>
            <w:vAlign w:val="center"/>
          </w:tcPr>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项目实际完成时间与计划完成时间的比较，用以反映和考核项目产出时效目标的实现程度。</w:t>
            </w:r>
          </w:p>
        </w:tc>
        <w:tc>
          <w:tcPr>
            <w:tcW w:w="7640" w:type="dxa"/>
            <w:vAlign w:val="center"/>
          </w:tcPr>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依据实际完成时效评分：</w:t>
            </w:r>
          </w:p>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时间：按照项目实施计划或相关规定完成该项目所需的时间，或规定日期的进度、频次等。</w:t>
            </w:r>
          </w:p>
          <w:p w:rsidR="00C97DC7" w:rsidRDefault="00C97DC7" w:rsidP="00F87D21">
            <w:pPr>
              <w:widowControl/>
              <w:spacing w:line="360" w:lineRule="exact"/>
              <w:ind w:leftChars="-25" w:left="-80" w:rightChars="-25" w:right="-80" w:firstLineChars="0" w:firstLine="0"/>
              <w:rPr>
                <w:rFonts w:hAnsi="宋体" w:cs="宋体"/>
                <w:spacing w:val="-10"/>
                <w:kern w:val="0"/>
                <w:sz w:val="24"/>
                <w:szCs w:val="24"/>
              </w:rPr>
            </w:pPr>
            <w:r>
              <w:rPr>
                <w:rFonts w:hAnsi="宋体" w:cs="宋体" w:hint="eastAsia"/>
                <w:spacing w:val="-10"/>
                <w:kern w:val="0"/>
                <w:sz w:val="24"/>
                <w:szCs w:val="24"/>
              </w:rPr>
              <w:t>实际完成时间：项目实施单位完成该项目实际所耗用的时间、进度、频次等。</w:t>
            </w:r>
          </w:p>
        </w:tc>
      </w:tr>
      <w:tr w:rsidR="00C97DC7" w:rsidTr="00F87D21">
        <w:trPr>
          <w:trHeight w:val="454"/>
          <w:jc w:val="center"/>
        </w:trPr>
        <w:tc>
          <w:tcPr>
            <w:tcW w:w="1177" w:type="dxa"/>
            <w:vMerge/>
            <w:vAlign w:val="center"/>
          </w:tcPr>
          <w:p w:rsidR="00C97DC7" w:rsidRDefault="00C97DC7" w:rsidP="00F87D21">
            <w:pPr>
              <w:spacing w:line="360" w:lineRule="exact"/>
              <w:ind w:leftChars="-25" w:left="-80" w:rightChars="-25" w:right="-80" w:firstLineChars="0" w:firstLine="0"/>
              <w:jc w:val="center"/>
              <w:rPr>
                <w:rFonts w:hAnsi="宋体" w:cs="宋体"/>
                <w:kern w:val="0"/>
                <w:sz w:val="24"/>
                <w:szCs w:val="24"/>
              </w:rPr>
            </w:pPr>
          </w:p>
        </w:tc>
        <w:tc>
          <w:tcPr>
            <w:tcW w:w="1128" w:type="dxa"/>
            <w:vMerge/>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p>
        </w:tc>
        <w:tc>
          <w:tcPr>
            <w:tcW w:w="1411" w:type="dxa"/>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成本节约率</w:t>
            </w:r>
          </w:p>
        </w:tc>
        <w:tc>
          <w:tcPr>
            <w:tcW w:w="3810" w:type="dxa"/>
            <w:vAlign w:val="center"/>
          </w:tcPr>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完成项目计划工作目标的实际节约成本与标准成本的比率，用以反映和考核项目的成本节约程度。</w:t>
            </w:r>
          </w:p>
        </w:tc>
        <w:tc>
          <w:tcPr>
            <w:tcW w:w="7640" w:type="dxa"/>
            <w:vAlign w:val="center"/>
          </w:tcPr>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依据成本节约率评分（每高于</w:t>
            </w:r>
            <w:r>
              <w:rPr>
                <w:rFonts w:hAnsi="宋体" w:cs="宋体" w:hint="eastAsia"/>
                <w:kern w:val="0"/>
                <w:sz w:val="24"/>
                <w:szCs w:val="24"/>
              </w:rPr>
              <w:t>1%</w:t>
            </w:r>
            <w:r>
              <w:rPr>
                <w:rFonts w:hAnsi="宋体" w:cs="宋体" w:hint="eastAsia"/>
                <w:kern w:val="0"/>
                <w:sz w:val="24"/>
                <w:szCs w:val="24"/>
              </w:rPr>
              <w:t>，扣权重分的</w:t>
            </w:r>
            <w:r>
              <w:rPr>
                <w:rFonts w:hAnsi="宋体" w:cs="宋体" w:hint="eastAsia"/>
                <w:kern w:val="0"/>
                <w:sz w:val="24"/>
                <w:szCs w:val="24"/>
              </w:rPr>
              <w:t>2.5%</w:t>
            </w:r>
            <w:r>
              <w:rPr>
                <w:rFonts w:hAnsi="宋体" w:cs="宋体" w:hint="eastAsia"/>
                <w:kern w:val="0"/>
                <w:sz w:val="24"/>
                <w:szCs w:val="24"/>
              </w:rPr>
              <w:t>，扣完为止）：</w:t>
            </w:r>
          </w:p>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成本节约率</w:t>
            </w:r>
            <w:r>
              <w:rPr>
                <w:rFonts w:hAnsi="宋体" w:cs="宋体" w:hint="eastAsia"/>
                <w:kern w:val="0"/>
                <w:sz w:val="24"/>
                <w:szCs w:val="24"/>
              </w:rPr>
              <w:t>=[</w:t>
            </w:r>
            <w:r>
              <w:rPr>
                <w:rFonts w:hAnsi="宋体" w:cs="宋体" w:hint="eastAsia"/>
                <w:kern w:val="0"/>
                <w:sz w:val="24"/>
                <w:szCs w:val="24"/>
              </w:rPr>
              <w:t>（实际成本</w:t>
            </w:r>
            <w:r>
              <w:rPr>
                <w:rFonts w:hAnsi="宋体" w:cs="宋体" w:hint="eastAsia"/>
                <w:kern w:val="0"/>
                <w:sz w:val="24"/>
                <w:szCs w:val="24"/>
              </w:rPr>
              <w:t>-</w:t>
            </w:r>
            <w:r>
              <w:rPr>
                <w:rFonts w:hAnsi="宋体" w:cs="宋体" w:hint="eastAsia"/>
                <w:kern w:val="0"/>
                <w:sz w:val="24"/>
                <w:szCs w:val="24"/>
              </w:rPr>
              <w:t>标准成本）</w:t>
            </w:r>
            <w:r>
              <w:rPr>
                <w:rFonts w:hAnsi="宋体" w:cs="宋体" w:hint="eastAsia"/>
                <w:kern w:val="0"/>
                <w:sz w:val="24"/>
                <w:szCs w:val="24"/>
              </w:rPr>
              <w:t>/</w:t>
            </w:r>
            <w:r>
              <w:rPr>
                <w:rFonts w:hAnsi="宋体" w:cs="宋体" w:hint="eastAsia"/>
                <w:kern w:val="0"/>
                <w:sz w:val="24"/>
                <w:szCs w:val="24"/>
              </w:rPr>
              <w:t>标准成本</w:t>
            </w:r>
            <w:r>
              <w:rPr>
                <w:rFonts w:hAnsi="宋体" w:cs="宋体" w:hint="eastAsia"/>
                <w:kern w:val="0"/>
                <w:sz w:val="24"/>
                <w:szCs w:val="24"/>
              </w:rPr>
              <w:t>]</w:t>
            </w:r>
            <w:r>
              <w:rPr>
                <w:rFonts w:hAnsi="宋体" w:cs="宋体" w:hint="eastAsia"/>
                <w:kern w:val="0"/>
                <w:sz w:val="24"/>
                <w:szCs w:val="24"/>
              </w:rPr>
              <w:t>×</w:t>
            </w:r>
            <w:r>
              <w:rPr>
                <w:rFonts w:hAnsi="宋体" w:cs="宋体" w:hint="eastAsia"/>
                <w:kern w:val="0"/>
                <w:sz w:val="24"/>
                <w:szCs w:val="24"/>
              </w:rPr>
              <w:t>100%</w:t>
            </w:r>
            <w:r>
              <w:rPr>
                <w:rFonts w:hAnsi="宋体" w:cs="宋体" w:hint="eastAsia"/>
                <w:kern w:val="0"/>
                <w:sz w:val="24"/>
                <w:szCs w:val="24"/>
              </w:rPr>
              <w:t>。</w:t>
            </w:r>
            <w:r>
              <w:rPr>
                <w:rFonts w:hAnsi="宋体" w:cs="宋体" w:hint="eastAsia"/>
                <w:kern w:val="0"/>
                <w:sz w:val="24"/>
                <w:szCs w:val="24"/>
              </w:rPr>
              <w:br/>
            </w:r>
            <w:r>
              <w:rPr>
                <w:rFonts w:hAnsi="宋体" w:cs="宋体" w:hint="eastAsia"/>
                <w:kern w:val="0"/>
                <w:sz w:val="24"/>
                <w:szCs w:val="24"/>
              </w:rPr>
              <w:t>实际成本：项目实施单位如期、保质、保量完成既定工作目标实际所耗费的支出。</w:t>
            </w:r>
            <w:r>
              <w:rPr>
                <w:rFonts w:hAnsi="宋体" w:cs="宋体" w:hint="eastAsia"/>
                <w:kern w:val="0"/>
                <w:sz w:val="24"/>
                <w:szCs w:val="24"/>
              </w:rPr>
              <w:br/>
            </w:r>
            <w:r>
              <w:rPr>
                <w:rFonts w:hAnsi="宋体" w:cs="宋体" w:hint="eastAsia"/>
                <w:kern w:val="0"/>
                <w:sz w:val="24"/>
                <w:szCs w:val="24"/>
              </w:rPr>
              <w:t>标准成本：一般以项目计划成本或行业平均成本为参照。</w:t>
            </w:r>
          </w:p>
        </w:tc>
      </w:tr>
      <w:tr w:rsidR="00C97DC7" w:rsidTr="00F87D21">
        <w:trPr>
          <w:trHeight w:val="454"/>
          <w:jc w:val="center"/>
        </w:trPr>
        <w:tc>
          <w:tcPr>
            <w:tcW w:w="1177" w:type="dxa"/>
            <w:vMerge/>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p>
        </w:tc>
        <w:tc>
          <w:tcPr>
            <w:tcW w:w="1128" w:type="dxa"/>
            <w:vMerge w:val="restart"/>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效益结果</w:t>
            </w:r>
          </w:p>
        </w:tc>
        <w:tc>
          <w:tcPr>
            <w:tcW w:w="1411" w:type="dxa"/>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效益实现率</w:t>
            </w:r>
          </w:p>
        </w:tc>
        <w:tc>
          <w:tcPr>
            <w:tcW w:w="3810" w:type="dxa"/>
            <w:vAlign w:val="center"/>
          </w:tcPr>
          <w:p w:rsidR="00C97DC7" w:rsidRDefault="00C97DC7"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项目实施所产生的效益与计划的比率，用以反映和考核项目的效益实现情况。</w:t>
            </w:r>
          </w:p>
        </w:tc>
        <w:tc>
          <w:tcPr>
            <w:tcW w:w="7640" w:type="dxa"/>
            <w:vAlign w:val="center"/>
          </w:tcPr>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依据效益实现率评分（每低于</w:t>
            </w:r>
            <w:r>
              <w:rPr>
                <w:rFonts w:hAnsi="宋体" w:cs="宋体" w:hint="eastAsia"/>
                <w:kern w:val="0"/>
                <w:sz w:val="24"/>
                <w:szCs w:val="24"/>
              </w:rPr>
              <w:t>1%</w:t>
            </w:r>
            <w:r>
              <w:rPr>
                <w:rFonts w:hAnsi="宋体" w:cs="宋体" w:hint="eastAsia"/>
                <w:kern w:val="0"/>
                <w:sz w:val="24"/>
                <w:szCs w:val="24"/>
              </w:rPr>
              <w:t>，扣权重分的</w:t>
            </w:r>
            <w:r>
              <w:rPr>
                <w:rFonts w:hAnsi="宋体" w:cs="宋体" w:hint="eastAsia"/>
                <w:kern w:val="0"/>
                <w:sz w:val="24"/>
                <w:szCs w:val="24"/>
              </w:rPr>
              <w:t>2.5%</w:t>
            </w:r>
            <w:r>
              <w:rPr>
                <w:rFonts w:hAnsi="宋体" w:cs="宋体" w:hint="eastAsia"/>
                <w:kern w:val="0"/>
                <w:sz w:val="24"/>
                <w:szCs w:val="24"/>
              </w:rPr>
              <w:t>，扣完为止）：</w:t>
            </w:r>
          </w:p>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项目实施所产生的社会效益、经济效益、生态效益、可持续影响等。可根据项目实际情况有选择地设置和细化。</w:t>
            </w:r>
          </w:p>
        </w:tc>
      </w:tr>
      <w:tr w:rsidR="00C97DC7" w:rsidTr="00F87D21">
        <w:trPr>
          <w:trHeight w:val="454"/>
          <w:jc w:val="center"/>
        </w:trPr>
        <w:tc>
          <w:tcPr>
            <w:tcW w:w="1177" w:type="dxa"/>
            <w:vMerge/>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p>
        </w:tc>
        <w:tc>
          <w:tcPr>
            <w:tcW w:w="1128" w:type="dxa"/>
            <w:vMerge/>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p>
        </w:tc>
        <w:tc>
          <w:tcPr>
            <w:tcW w:w="1411" w:type="dxa"/>
            <w:vAlign w:val="center"/>
          </w:tcPr>
          <w:p w:rsidR="00C97DC7" w:rsidRDefault="00C97DC7"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社会满意度</w:t>
            </w:r>
          </w:p>
        </w:tc>
        <w:tc>
          <w:tcPr>
            <w:tcW w:w="3810" w:type="dxa"/>
            <w:vAlign w:val="center"/>
          </w:tcPr>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用以反映和考核社会公众或服务对象对项目实施效果的满意程度。</w:t>
            </w:r>
          </w:p>
        </w:tc>
        <w:tc>
          <w:tcPr>
            <w:tcW w:w="7640" w:type="dxa"/>
            <w:vAlign w:val="center"/>
          </w:tcPr>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依据社会满意度评分（每低于</w:t>
            </w:r>
            <w:r>
              <w:rPr>
                <w:rFonts w:hAnsi="宋体" w:cs="宋体" w:hint="eastAsia"/>
                <w:kern w:val="0"/>
                <w:sz w:val="24"/>
                <w:szCs w:val="24"/>
              </w:rPr>
              <w:t>1%</w:t>
            </w:r>
            <w:r>
              <w:rPr>
                <w:rFonts w:hAnsi="宋体" w:cs="宋体" w:hint="eastAsia"/>
                <w:kern w:val="0"/>
                <w:sz w:val="24"/>
                <w:szCs w:val="24"/>
              </w:rPr>
              <w:t>，扣权重分的</w:t>
            </w:r>
            <w:r>
              <w:rPr>
                <w:rFonts w:hAnsi="宋体" w:cs="宋体" w:hint="eastAsia"/>
                <w:kern w:val="0"/>
                <w:sz w:val="24"/>
                <w:szCs w:val="24"/>
              </w:rPr>
              <w:t>5%</w:t>
            </w:r>
            <w:r>
              <w:rPr>
                <w:rFonts w:hAnsi="宋体" w:cs="宋体" w:hint="eastAsia"/>
                <w:kern w:val="0"/>
                <w:sz w:val="24"/>
                <w:szCs w:val="24"/>
              </w:rPr>
              <w:t>，扣完为止）：</w:t>
            </w:r>
          </w:p>
          <w:p w:rsidR="00C97DC7" w:rsidRDefault="00C97DC7"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社会公众或服务对象是指因该项目实施而受到影响的部门（单位）、群体或个人。一般采取社会调查的方式。</w:t>
            </w:r>
          </w:p>
        </w:tc>
      </w:tr>
    </w:tbl>
    <w:p w:rsidR="00C97DC7" w:rsidRDefault="00C97DC7" w:rsidP="00C97DC7">
      <w:pPr>
        <w:ind w:firstLineChars="0" w:firstLine="0"/>
        <w:rPr>
          <w:rFonts w:ascii="黑体" w:eastAsia="黑体" w:hAnsi="黑体" w:hint="eastAsia"/>
        </w:rPr>
        <w:sectPr w:rsidR="00C97DC7">
          <w:pgSz w:w="16838" w:h="11906" w:orient="landscape"/>
          <w:pgMar w:top="1531" w:right="1417" w:bottom="1531" w:left="1417" w:header="709" w:footer="1361" w:gutter="0"/>
          <w:cols w:space="720"/>
          <w:docGrid w:type="lines" w:linePitch="579" w:charSpace="-849"/>
        </w:sectPr>
      </w:pPr>
    </w:p>
    <w:p w:rsidR="00C97DC7" w:rsidRDefault="00C97DC7" w:rsidP="00C97DC7">
      <w:pPr>
        <w:ind w:firstLineChars="0" w:firstLine="0"/>
        <w:rPr>
          <w:rFonts w:ascii="黑体" w:eastAsia="黑体" w:hAnsi="黑体"/>
        </w:rPr>
      </w:pPr>
      <w:r>
        <w:rPr>
          <w:rFonts w:ascii="黑体" w:eastAsia="黑体" w:hAnsi="黑体" w:hint="eastAsia"/>
        </w:rPr>
        <w:lastRenderedPageBreak/>
        <w:t>附件</w:t>
      </w:r>
      <w:r>
        <w:rPr>
          <w:rFonts w:ascii="黑体" w:eastAsia="黑体" w:hAnsi="黑体"/>
        </w:rPr>
        <w:t>4</w:t>
      </w:r>
    </w:p>
    <w:p w:rsidR="00C97DC7" w:rsidRDefault="00C97DC7" w:rsidP="00C97DC7">
      <w:pPr>
        <w:spacing w:line="240" w:lineRule="exact"/>
        <w:ind w:firstLineChars="0" w:firstLine="0"/>
        <w:rPr>
          <w:rFonts w:ascii="黑体" w:eastAsia="黑体" w:hAnsi="黑体"/>
        </w:rPr>
      </w:pPr>
    </w:p>
    <w:p w:rsidR="00C97DC7" w:rsidRDefault="00C97DC7" w:rsidP="00C97DC7">
      <w:pPr>
        <w:pStyle w:val="a5"/>
        <w:spacing w:line="640" w:lineRule="exact"/>
        <w:rPr>
          <w:rFonts w:ascii="仿宋_GB2312"/>
          <w:sz w:val="42"/>
          <w:szCs w:val="42"/>
        </w:rPr>
      </w:pPr>
      <w:r>
        <w:rPr>
          <w:rFonts w:hint="eastAsia"/>
          <w:sz w:val="42"/>
          <w:szCs w:val="42"/>
        </w:rPr>
        <w:t>项目支出绩效评价报告提纲（参考）</w:t>
      </w:r>
    </w:p>
    <w:p w:rsidR="00C97DC7" w:rsidRDefault="00C97DC7" w:rsidP="00C97DC7">
      <w:pPr>
        <w:spacing w:line="300" w:lineRule="exact"/>
        <w:ind w:firstLineChars="0" w:firstLine="0"/>
        <w:jc w:val="center"/>
        <w:rPr>
          <w:rFonts w:ascii="Arial" w:eastAsia="宋体" w:hAnsi="Arial" w:cs="Arial"/>
          <w:bCs/>
          <w:sz w:val="36"/>
          <w:szCs w:val="36"/>
        </w:rPr>
      </w:pPr>
    </w:p>
    <w:p w:rsidR="00C97DC7" w:rsidRDefault="00C97DC7" w:rsidP="00C97DC7">
      <w:pPr>
        <w:spacing w:line="600" w:lineRule="exact"/>
        <w:ind w:firstLineChars="0" w:firstLine="0"/>
        <w:rPr>
          <w:rFonts w:ascii="黑体" w:eastAsia="黑体" w:hAnsi="黑体"/>
        </w:rPr>
      </w:pPr>
      <w:r>
        <w:rPr>
          <w:rFonts w:ascii="黑体" w:eastAsia="黑体" w:hAnsi="黑体" w:hint="eastAsia"/>
        </w:rPr>
        <w:t>一、基本情况</w:t>
      </w:r>
    </w:p>
    <w:p w:rsidR="00C97DC7" w:rsidRDefault="00C97DC7" w:rsidP="00C97DC7">
      <w:pPr>
        <w:spacing w:line="600" w:lineRule="exact"/>
        <w:ind w:firstLineChars="0" w:firstLine="0"/>
        <w:outlineLvl w:val="0"/>
      </w:pPr>
      <w:r>
        <w:rPr>
          <w:rFonts w:hint="eastAsia"/>
        </w:rPr>
        <w:t>（一）项目概况。包括项目背景、主要内容及实施情况、资金投入和使用情况等。</w:t>
      </w:r>
    </w:p>
    <w:p w:rsidR="00C97DC7" w:rsidRDefault="00C97DC7" w:rsidP="00C97DC7">
      <w:pPr>
        <w:spacing w:line="600" w:lineRule="exact"/>
        <w:ind w:firstLineChars="0" w:firstLine="0"/>
      </w:pPr>
      <w:r>
        <w:rPr>
          <w:rFonts w:hint="eastAsia"/>
        </w:rPr>
        <w:t>（二）项目绩效目标。包括总体目标和阶段性目标。</w:t>
      </w:r>
    </w:p>
    <w:p w:rsidR="00C97DC7" w:rsidRDefault="00C97DC7" w:rsidP="00C97DC7">
      <w:pPr>
        <w:spacing w:line="600" w:lineRule="exact"/>
        <w:ind w:firstLineChars="0" w:firstLine="0"/>
        <w:rPr>
          <w:rFonts w:ascii="黑体" w:eastAsia="黑体" w:hAnsi="黑体"/>
        </w:rPr>
      </w:pPr>
      <w:r>
        <w:rPr>
          <w:rFonts w:ascii="黑体" w:eastAsia="黑体" w:hAnsi="黑体" w:hint="eastAsia"/>
        </w:rPr>
        <w:t>二、绩效评价工作开展情况</w:t>
      </w:r>
    </w:p>
    <w:p w:rsidR="00C97DC7" w:rsidRDefault="00C97DC7" w:rsidP="00C97DC7">
      <w:pPr>
        <w:spacing w:line="600" w:lineRule="exact"/>
        <w:ind w:firstLineChars="0" w:firstLine="0"/>
      </w:pPr>
      <w:r>
        <w:rPr>
          <w:rFonts w:hint="eastAsia"/>
        </w:rPr>
        <w:t>（一）绩效评价对象和范围。包括项目名称、区域、时限等。</w:t>
      </w:r>
    </w:p>
    <w:p w:rsidR="00C97DC7" w:rsidRDefault="00C97DC7" w:rsidP="00C97DC7">
      <w:pPr>
        <w:spacing w:line="600" w:lineRule="exact"/>
        <w:ind w:firstLineChars="0" w:firstLine="0"/>
      </w:pPr>
      <w:r>
        <w:rPr>
          <w:rFonts w:hint="eastAsia"/>
        </w:rPr>
        <w:t>（二）绩效评价思路和办法。根据项目特点，明确评价方向和重点关注内容，并制定绩效评价的原则、评价指标体系（附表说明）、评价方法、评价标准等。</w:t>
      </w:r>
    </w:p>
    <w:p w:rsidR="00C97DC7" w:rsidRDefault="00C97DC7" w:rsidP="00C97DC7">
      <w:pPr>
        <w:spacing w:line="600" w:lineRule="exact"/>
        <w:ind w:firstLineChars="0" w:firstLine="0"/>
      </w:pPr>
      <w:r>
        <w:rPr>
          <w:rFonts w:hint="eastAsia"/>
        </w:rPr>
        <w:t>（三）绩效评价工作过程。</w:t>
      </w:r>
    </w:p>
    <w:p w:rsidR="00C97DC7" w:rsidRDefault="00C97DC7" w:rsidP="00C97DC7">
      <w:pPr>
        <w:spacing w:line="600" w:lineRule="exact"/>
        <w:ind w:firstLineChars="0" w:firstLine="0"/>
        <w:rPr>
          <w:rFonts w:ascii="黑体" w:eastAsia="黑体" w:hAnsi="黑体"/>
        </w:rPr>
      </w:pPr>
      <w:r>
        <w:rPr>
          <w:rFonts w:ascii="黑体" w:eastAsia="黑体" w:hAnsi="黑体" w:hint="eastAsia"/>
        </w:rPr>
        <w:t>三、绩效评价结论及指标分析</w:t>
      </w:r>
    </w:p>
    <w:p w:rsidR="00C97DC7" w:rsidRDefault="00C97DC7" w:rsidP="00C97DC7">
      <w:pPr>
        <w:spacing w:line="600" w:lineRule="exact"/>
        <w:ind w:firstLineChars="0" w:firstLine="0"/>
      </w:pPr>
      <w:r>
        <w:rPr>
          <w:rFonts w:hint="eastAsia"/>
        </w:rPr>
        <w:t>（一）绩效评价评分及等级。</w:t>
      </w:r>
    </w:p>
    <w:p w:rsidR="00C97DC7" w:rsidRDefault="00C97DC7" w:rsidP="00C97DC7">
      <w:pPr>
        <w:spacing w:line="600" w:lineRule="exact"/>
        <w:ind w:firstLineChars="0" w:firstLine="0"/>
      </w:pPr>
      <w:r>
        <w:rPr>
          <w:rFonts w:hint="eastAsia"/>
        </w:rPr>
        <w:t>（二）决策、过程、产出、效果等指标分析。</w:t>
      </w:r>
    </w:p>
    <w:p w:rsidR="00C97DC7" w:rsidRDefault="00C97DC7" w:rsidP="00C97DC7">
      <w:pPr>
        <w:spacing w:line="600" w:lineRule="exact"/>
        <w:ind w:firstLineChars="0" w:firstLine="0"/>
        <w:rPr>
          <w:rFonts w:ascii="黑体" w:eastAsia="黑体" w:hAnsi="黑体"/>
        </w:rPr>
      </w:pPr>
      <w:r>
        <w:rPr>
          <w:rFonts w:ascii="黑体" w:eastAsia="黑体" w:hAnsi="黑体" w:hint="eastAsia"/>
        </w:rPr>
        <w:t>四、主要经验及做法</w:t>
      </w:r>
    </w:p>
    <w:p w:rsidR="00C97DC7" w:rsidRDefault="00C97DC7" w:rsidP="00C97DC7">
      <w:pPr>
        <w:spacing w:line="600" w:lineRule="exact"/>
        <w:ind w:firstLineChars="0" w:firstLine="0"/>
        <w:rPr>
          <w:rFonts w:ascii="黑体" w:eastAsia="黑体" w:hAnsi="黑体"/>
        </w:rPr>
      </w:pPr>
      <w:r>
        <w:rPr>
          <w:rFonts w:ascii="黑体" w:eastAsia="黑体" w:hAnsi="黑体" w:hint="eastAsia"/>
        </w:rPr>
        <w:t>五、存在问题及原因分析</w:t>
      </w:r>
    </w:p>
    <w:p w:rsidR="00C97DC7" w:rsidRDefault="00C97DC7" w:rsidP="00C97DC7">
      <w:pPr>
        <w:spacing w:line="600" w:lineRule="exact"/>
        <w:ind w:firstLineChars="0" w:firstLine="0"/>
        <w:rPr>
          <w:rFonts w:ascii="黑体" w:eastAsia="黑体" w:hAnsi="黑体"/>
        </w:rPr>
      </w:pPr>
      <w:r>
        <w:rPr>
          <w:rFonts w:ascii="黑体" w:eastAsia="黑体" w:hAnsi="黑体" w:hint="eastAsia"/>
        </w:rPr>
        <w:t>六、相关建议</w:t>
      </w:r>
    </w:p>
    <w:p w:rsidR="00C97DC7" w:rsidRDefault="00C97DC7" w:rsidP="00C97DC7">
      <w:pPr>
        <w:spacing w:line="600" w:lineRule="exact"/>
        <w:ind w:firstLineChars="0" w:firstLine="0"/>
        <w:rPr>
          <w:rFonts w:ascii="黑体" w:eastAsia="黑体" w:hAnsi="黑体"/>
        </w:rPr>
      </w:pPr>
      <w:r>
        <w:rPr>
          <w:rFonts w:ascii="黑体" w:eastAsia="黑体" w:hAnsi="黑体" w:hint="eastAsia"/>
        </w:rPr>
        <w:t>七、其他需要说明的问题</w:t>
      </w:r>
    </w:p>
    <w:p w:rsidR="00C97DC7" w:rsidRDefault="00C97DC7" w:rsidP="00C97DC7">
      <w:pPr>
        <w:spacing w:line="600" w:lineRule="exact"/>
        <w:ind w:firstLineChars="0" w:firstLine="0"/>
        <w:rPr>
          <w:rFonts w:ascii="黑体" w:eastAsia="黑体" w:hAnsi="黑体" w:hint="eastAsia"/>
        </w:rPr>
        <w:sectPr w:rsidR="00C97DC7">
          <w:pgSz w:w="11906" w:h="16838"/>
          <w:pgMar w:top="1417" w:right="1531" w:bottom="1984" w:left="1531" w:header="709" w:footer="1361" w:gutter="0"/>
          <w:cols w:space="720"/>
          <w:docGrid w:type="lines" w:linePitch="579" w:charSpace="-849"/>
        </w:sectPr>
      </w:pPr>
      <w:r>
        <w:rPr>
          <w:rFonts w:ascii="黑体" w:eastAsia="黑体" w:hAnsi="黑体" w:hint="eastAsia"/>
        </w:rPr>
        <w:t>八、附件</w:t>
      </w:r>
      <w:r>
        <w:rPr>
          <w:rFonts w:hint="eastAsia"/>
        </w:rPr>
        <w:t>（附相关评分表、分析模型、调查问卷、访谈提纲等</w:t>
      </w:r>
    </w:p>
    <w:p w:rsidR="00C97DC7" w:rsidRDefault="00C97DC7" w:rsidP="00C97DC7">
      <w:pPr>
        <w:spacing w:line="570" w:lineRule="exact"/>
        <w:ind w:firstLineChars="0" w:firstLine="0"/>
        <w:rPr>
          <w:rFonts w:eastAsia="黑体"/>
          <w:szCs w:val="32"/>
        </w:rPr>
      </w:pPr>
    </w:p>
    <w:p w:rsidR="00267CE3" w:rsidRPr="00C97DC7" w:rsidRDefault="00267CE3" w:rsidP="00C97DC7">
      <w:pPr>
        <w:ind w:firstLine="640"/>
      </w:pPr>
    </w:p>
    <w:sectPr w:rsidR="00267CE3" w:rsidRPr="00C97DC7">
      <w:pgSz w:w="11906" w:h="16838"/>
      <w:pgMar w:top="1701" w:right="1531" w:bottom="1474" w:left="1531" w:header="709" w:footer="1361" w:gutter="0"/>
      <w:cols w:space="720"/>
      <w:docGrid w:type="line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7DC7">
    <w:pPr>
      <w:pStyle w:val="a3"/>
      <w:framePr w:wrap="around" w:vAnchor="text" w:hAnchor="margin" w:xAlign="outside" w:y="1"/>
      <w:ind w:firstLineChars="0" w:firstLine="0"/>
      <w:rPr>
        <w:rStyle w:val="a4"/>
      </w:rPr>
    </w:pPr>
    <w:r>
      <w:rPr>
        <w:rStyle w:val="a4"/>
        <w:rFonts w:hint="eastAsia"/>
        <w:sz w:val="28"/>
      </w:rPr>
      <w:t>—</w:t>
    </w:r>
    <w:r>
      <w:rPr>
        <w:rStyle w:val="a4"/>
        <w:rFonts w:hint="eastAsia"/>
      </w:rPr>
      <w:t xml:space="preserve"> </w:t>
    </w:r>
    <w:r>
      <w:rPr>
        <w:rFonts w:ascii="宋体" w:eastAsia="宋体" w:hAnsi="宋体"/>
        <w:sz w:val="28"/>
      </w:rPr>
      <w:fldChar w:fldCharType="begin"/>
    </w:r>
    <w:r>
      <w:rPr>
        <w:rStyle w:val="a4"/>
        <w:rFonts w:ascii="宋体" w:eastAsia="宋体" w:hAnsi="宋体"/>
        <w:sz w:val="28"/>
      </w:rPr>
      <w:instrText xml:space="preserve"> PAGE </w:instrText>
    </w:r>
    <w:r>
      <w:rPr>
        <w:rFonts w:ascii="宋体" w:eastAsia="宋体" w:hAnsi="宋体"/>
        <w:sz w:val="28"/>
      </w:rPr>
      <w:fldChar w:fldCharType="separate"/>
    </w:r>
    <w:r>
      <w:rPr>
        <w:rStyle w:val="a4"/>
        <w:rFonts w:ascii="宋体" w:eastAsia="宋体" w:hAnsi="宋体"/>
        <w:noProof/>
        <w:sz w:val="28"/>
      </w:rPr>
      <w:t>16</w:t>
    </w:r>
    <w:r>
      <w:rPr>
        <w:rFonts w:ascii="宋体" w:eastAsia="宋体" w:hAnsi="宋体"/>
        <w:sz w:val="28"/>
      </w:rPr>
      <w:fldChar w:fldCharType="end"/>
    </w:r>
    <w:r>
      <w:rPr>
        <w:rStyle w:val="a4"/>
        <w:rFonts w:hint="eastAsia"/>
      </w:rPr>
      <w:t xml:space="preserve"> </w:t>
    </w:r>
    <w:r>
      <w:rPr>
        <w:rStyle w:val="a4"/>
        <w:rFonts w:hint="eastAsia"/>
        <w:sz w:val="28"/>
      </w:rPr>
      <w:t>—</w:t>
    </w:r>
  </w:p>
  <w:p w:rsidR="00000000" w:rsidRDefault="00C97DC7">
    <w:pPr>
      <w:pStyle w:val="a3"/>
      <w:ind w:right="360" w:firstLine="360"/>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7DC7">
    <w:pPr>
      <w:ind w:left="64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DC7"/>
    <w:rsid w:val="00267CE3"/>
    <w:rsid w:val="00C97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C7"/>
    <w:pPr>
      <w:widowControl w:val="0"/>
      <w:ind w:firstLineChars="200" w:firstLine="20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97DC7"/>
    <w:pPr>
      <w:tabs>
        <w:tab w:val="center" w:pos="4153"/>
        <w:tab w:val="right" w:pos="8306"/>
      </w:tabs>
      <w:snapToGrid w:val="0"/>
      <w:jc w:val="left"/>
    </w:pPr>
    <w:rPr>
      <w:sz w:val="18"/>
    </w:rPr>
  </w:style>
  <w:style w:type="character" w:customStyle="1" w:styleId="Char">
    <w:name w:val="页脚 Char"/>
    <w:basedOn w:val="a0"/>
    <w:link w:val="a3"/>
    <w:rsid w:val="00C97DC7"/>
    <w:rPr>
      <w:rFonts w:ascii="Calibri" w:eastAsia="仿宋_GB2312" w:hAnsi="Calibri" w:cs="Times New Roman"/>
      <w:sz w:val="18"/>
      <w:szCs w:val="20"/>
    </w:rPr>
  </w:style>
  <w:style w:type="character" w:styleId="a4">
    <w:name w:val="page number"/>
    <w:basedOn w:val="a0"/>
    <w:rsid w:val="00C97DC7"/>
  </w:style>
  <w:style w:type="paragraph" w:customStyle="1" w:styleId="a5">
    <w:name w:val="材料标题"/>
    <w:basedOn w:val="a"/>
    <w:qFormat/>
    <w:rsid w:val="00C97DC7"/>
    <w:pPr>
      <w:adjustRightInd w:val="0"/>
      <w:snapToGrid w:val="0"/>
      <w:spacing w:line="700" w:lineRule="exact"/>
      <w:ind w:firstLineChars="0" w:firstLine="0"/>
      <w:jc w:val="center"/>
    </w:pPr>
    <w:rPr>
      <w:rFonts w:ascii="方正小标宋简体" w:eastAsia="方正小标宋简体"/>
      <w:kern w:val="0"/>
      <w:sz w:val="44"/>
      <w:szCs w:val="44"/>
    </w:rPr>
  </w:style>
  <w:style w:type="paragraph" w:customStyle="1" w:styleId="a6">
    <w:name w:val="常州市财政局"/>
    <w:basedOn w:val="a"/>
    <w:link w:val="Char0"/>
    <w:qFormat/>
    <w:rsid w:val="00C97DC7"/>
    <w:pPr>
      <w:spacing w:beforeLines="50" w:afterLines="50"/>
      <w:ind w:firstLineChars="0" w:firstLine="0"/>
      <w:jc w:val="center"/>
    </w:pPr>
    <w:rPr>
      <w:rFonts w:ascii="楷体_GB2312" w:eastAsia="楷体_GB2312"/>
      <w:kern w:val="0"/>
      <w:szCs w:val="32"/>
    </w:rPr>
  </w:style>
  <w:style w:type="character" w:customStyle="1" w:styleId="Char0">
    <w:name w:val="常州市财政局 Char"/>
    <w:link w:val="a6"/>
    <w:rsid w:val="00C97DC7"/>
    <w:rPr>
      <w:rFonts w:ascii="楷体_GB2312" w:eastAsia="楷体_GB2312" w:hAnsi="Calibri" w:cs="Times New Roman"/>
      <w:kern w:val="0"/>
      <w:sz w:val="32"/>
      <w:szCs w:val="32"/>
    </w:rPr>
  </w:style>
  <w:style w:type="paragraph" w:customStyle="1" w:styleId="a7">
    <w:name w:val="一、"/>
    <w:basedOn w:val="a"/>
    <w:qFormat/>
    <w:rsid w:val="00C97DC7"/>
    <w:pPr>
      <w:ind w:firstLine="640"/>
    </w:pPr>
    <w:rPr>
      <w:rFonts w:ascii="黑体" w:eastAsia="黑体" w:hAnsi="黑体"/>
      <w:kern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baike.baidu.com/item/%E4%B8%AD%E5%8D%8E%E4%BA%BA%E6%B0%91%E5%85%B1%E5%92%8C%E5%9B%BD%E9%A2%84%E7%AE%97%E6%B3%95" TargetMode="External"/><Relationship Id="rId4" Type="http://schemas.openxmlformats.org/officeDocument/2006/relationships/hyperlink" Target="https://baike.baidu.com/item/%E4%B8%AD%E5%8D%8E%E4%BA%BA%E6%B0%91%E5%85%B1%E5%92%8C%E5%9B%BD%E9%A2%84%E7%AE%97%E6%B3%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1219</Words>
  <Characters>6949</Characters>
  <Application>Microsoft Office Word</Application>
  <DocSecurity>0</DocSecurity>
  <Lines>57</Lines>
  <Paragraphs>16</Paragraphs>
  <ScaleCrop>false</ScaleCrop>
  <Company>Organization</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dc:creator>
  <cp:lastModifiedBy>常州市</cp:lastModifiedBy>
  <cp:revision>1</cp:revision>
  <dcterms:created xsi:type="dcterms:W3CDTF">2021-04-20T06:30:00Z</dcterms:created>
  <dcterms:modified xsi:type="dcterms:W3CDTF">2021-04-20T06:31:00Z</dcterms:modified>
</cp:coreProperties>
</file>