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C" w:rsidRPr="000D1C7D" w:rsidRDefault="00251A1C" w:rsidP="00251A1C">
      <w:pPr>
        <w:spacing w:line="500" w:lineRule="exact"/>
        <w:ind w:firstLineChars="0" w:firstLine="0"/>
        <w:rPr>
          <w:rFonts w:ascii="黑体" w:eastAsia="黑体" w:hAnsi="黑体"/>
          <w:bCs/>
          <w:szCs w:val="32"/>
        </w:rPr>
      </w:pPr>
      <w:r w:rsidRPr="000D1C7D">
        <w:rPr>
          <w:rFonts w:ascii="黑体" w:eastAsia="黑体" w:hAnsi="黑体" w:hint="eastAsia"/>
          <w:bCs/>
          <w:szCs w:val="32"/>
        </w:rPr>
        <w:t>附件1</w:t>
      </w:r>
    </w:p>
    <w:p w:rsidR="00251A1C" w:rsidRDefault="00251A1C" w:rsidP="00251A1C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z w:val="44"/>
          <w:szCs w:val="52"/>
        </w:rPr>
      </w:pPr>
      <w:r>
        <w:rPr>
          <w:rFonts w:ascii="方正小标宋简体" w:eastAsia="方正小标宋简体" w:hint="eastAsia"/>
          <w:bCs/>
          <w:sz w:val="44"/>
          <w:szCs w:val="52"/>
        </w:rPr>
        <w:t>常州国家高新区（新北区）产业人才</w:t>
      </w:r>
      <w:proofErr w:type="gramStart"/>
      <w:r>
        <w:rPr>
          <w:rFonts w:ascii="方正小标宋简体" w:eastAsia="方正小标宋简体" w:hint="eastAsia"/>
          <w:bCs/>
          <w:sz w:val="44"/>
          <w:szCs w:val="52"/>
        </w:rPr>
        <w:t>引育任务</w:t>
      </w:r>
      <w:proofErr w:type="gramEnd"/>
      <w:r>
        <w:rPr>
          <w:rFonts w:ascii="方正小标宋简体" w:eastAsia="方正小标宋简体" w:hint="eastAsia"/>
          <w:bCs/>
          <w:sz w:val="44"/>
          <w:szCs w:val="52"/>
        </w:rPr>
        <w:t>分解表</w:t>
      </w:r>
    </w:p>
    <w:p w:rsidR="00251A1C" w:rsidRDefault="00251A1C" w:rsidP="00251A1C">
      <w:pPr>
        <w:spacing w:line="400" w:lineRule="exact"/>
        <w:ind w:firstLineChars="0" w:firstLine="0"/>
        <w:jc w:val="center"/>
        <w:rPr>
          <w:rFonts w:ascii="方正小标宋简体" w:eastAsia="方正小标宋简体"/>
          <w:bCs/>
          <w:sz w:val="44"/>
          <w:szCs w:val="52"/>
        </w:rPr>
      </w:pPr>
    </w:p>
    <w:tbl>
      <w:tblPr>
        <w:tblW w:w="5005" w:type="pct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249"/>
        <w:gridCol w:w="2227"/>
        <w:gridCol w:w="2295"/>
        <w:gridCol w:w="2299"/>
        <w:gridCol w:w="2299"/>
        <w:gridCol w:w="2295"/>
        <w:gridCol w:w="2299"/>
        <w:gridCol w:w="2299"/>
        <w:gridCol w:w="1812"/>
        <w:gridCol w:w="1554"/>
      </w:tblGrid>
      <w:tr w:rsidR="00251A1C" w:rsidRPr="00674A5F" w:rsidTr="007516D8">
        <w:trPr>
          <w:tblHeader/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b/>
                <w:bCs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b/>
                <w:bCs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b/>
                <w:bCs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“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十四五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”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目标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2021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年目标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2021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年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第一季度目标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2021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年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第二季度目标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2021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年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第三季度目标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2021</w:t>
            </w: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年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第四季度目标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6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Ansi="黑体" w:hint="eastAsia"/>
                <w:snapToGrid w:val="0"/>
                <w:kern w:val="0"/>
                <w:sz w:val="24"/>
                <w:szCs w:val="24"/>
              </w:rPr>
              <w:t>参与单位</w:t>
            </w:r>
          </w:p>
        </w:tc>
      </w:tr>
      <w:tr w:rsidR="00251A1C" w:rsidRPr="00674A5F" w:rsidTr="007516D8">
        <w:trPr>
          <w:trHeight w:val="887"/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95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突出产业人才重点发展战略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1．统一思想、提高认识，把产业人才的引进工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作摆在重要位置；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2．营造浓厚的尊才爱才氛围。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1．形成十支人才队伍建设工作方案，并根据方案推动实施；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2．制定人才工作要点、制作人才工作白皮书，并组织召开全区人才工作领导小组会议；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3．根据市级创新政策内容，完善升级区级人才政策，3月底前基本成稿；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4．加强人才宣传，3月底前形成区“群塑群像”人才宣传方案并实施；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5．优化人才服务，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构建区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优秀人才“一对一”联系服务机制。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1．根据“十大人才工程”进一步完善区“十四五”人才发展规划内容；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2．6月底前制作区人才公寓地图；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3．持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续加强人才宣传。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1．举办有影响力的知名活动，8月底前向省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人社厅争取省创新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创业大赛承办权，力争10月左右成功举办该赛事；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2．持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续加强人才宣传。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1．12月底前优化提升人才“一网通”服务平台；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2．开展十支人才队伍建设大督查，确保各项任务指标按时有效完成；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3．持续加强人才宣传，12月底表彰在人才宣传中表现突出的个人。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区委组织部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区委宣传统战部</w:t>
            </w:r>
          </w:p>
        </w:tc>
        <w:tc>
          <w:tcPr>
            <w:tcW w:w="36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33" w:rightChars="-25" w:right="-80" w:hangingChars="47" w:hanging="113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95" w:type="pct"/>
            <w:vMerge w:val="restar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加大人才引进力度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进一步拓宽引才渠道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1．建立高校引才工作站100个，聘请“引才大使”1000个；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2．创新引才渠道，探索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实施海外留学生</w:t>
            </w:r>
            <w:proofErr w:type="gramStart"/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人才引育计划</w:t>
            </w:r>
            <w:proofErr w:type="gramEnd"/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，引进海外优秀留学人才200人；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3．争取在双创类技能人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才引进方面有突破。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1．引进紧缺人才20000人；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2．建立高校引才工作站20个，聘请引才大使200名；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3．引进海外优秀留学生人才50名；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4．双创类技能人才引进人数1名。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1．引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进紧缺人才2500人；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2．摸排省内外高校，建立</w:t>
            </w:r>
            <w:r w:rsidRPr="00674A5F"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  <w:t>引才工作站10个，聘请引才大使70人；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3．走访企业，摸排企业近三年引进高技能领军人才情况。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1．引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进紧缺人才6500人；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2．建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立引才工作站5个；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3．聘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请70名引才大使；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4．引进海外优秀留学人才20人；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5．省双创高技能人才材料申报。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1．引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进紧缺人才6500人；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2．建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立引才工作站5个；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3．聘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请60名引才大使；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4．引进海外优秀留学人才20人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5．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跟进省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双创高技能人</w:t>
            </w:r>
            <w:r w:rsidRPr="00674A5F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才后续答辩等事项。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1．引</w:t>
            </w:r>
            <w:r w:rsidRPr="00674A5F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进紧缺人才4500人；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2．引进海外优秀留学人才10人。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团区委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发挥人力资源产业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园资源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集聚作用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1．产业园机构集聚数50家；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2．园区机构服务区属重点企业达到2000家以上，机构引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才人数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达3万人以上。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1．新引进6～8家国内外知名机构；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2．园区机构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服务区属点企业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达到500家以上，机构引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才人数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达5000人以上。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机构服务企业数150家，机构引才达1500人以上。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引进2家国内外知名机构入驻；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机构服务企业数100家，机构引才数达1000人以上。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引进2家国内外知名机构入驻；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机构服务企业数150家，机构引才数达1500人以上。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引进2家国内外知名机构入驻；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机构服务企业数150家，机构引才达1500人以上。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" w:type="pct"/>
            <w:vMerge w:val="restar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加大人才引进力度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支持企业柔性引才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加大企业博士后科研工作站建设力度，新建、升格博士后工作站10家；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举办好“万名硕博常州行”、“研究生社会实践引育计划”，征集“研究生社会实践计划”课题150个。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新建、升格博士后科研工作站2家以上；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征集“研究生社会实践计划”课题30个以上。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摸排区内拟申报博士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后工作站企业名单；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征集研究生社会实践课题30个。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完成申报博士后工作站材料上报，时间根据申报文件而定。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区经发局</w:t>
            </w:r>
          </w:p>
          <w:p w:rsidR="00251A1C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强</w:t>
            </w:r>
            <w:r w:rsidRPr="005E68FA"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  <w:t>化技能人才队伍建设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区级技能培训政策全覆盖并加大支持力度。支持开展企业新型学徒制培养，推进职业技能等级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认定扩面工作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，全区新增高技能人才10000名，开展企业新型学徒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制培养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2500人次。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修改完善区级技能人才政策；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新增高技能人才2000名，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开展企业新型学徒</w:t>
            </w:r>
            <w:proofErr w:type="gramStart"/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制培养</w:t>
            </w:r>
            <w:proofErr w:type="gramEnd"/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500人次。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5E68FA"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  <w:t>修订区级技能人才政策。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结合疫情防控情况，筹备职业技能竞赛活动；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修订区级技能人才政策。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开展职业技能竞赛活动；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做好企业新型学徒制试点班、技能人才培训班管理。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完成职业技能竞赛活动6场；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跟进已开班的技能人才培训班后续考试取证情况。新增高技能人才2000名；</w:t>
            </w:r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企业新型学徒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制培养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500人次。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</w:t>
            </w:r>
            <w:r w:rsidRPr="005E68FA">
              <w:rPr>
                <w:rFonts w:ascii="仿宋_GB2312" w:hint="eastAsia"/>
                <w:snapToGrid w:val="0"/>
                <w:spacing w:val="-12"/>
                <w:kern w:val="0"/>
                <w:sz w:val="24"/>
                <w:szCs w:val="24"/>
              </w:rPr>
              <w:t>强人才培养基地建设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继续推进高技能人才培养基地和技能大师工作室建设，建成区级以上高技能人才培养基地10家，技能大师工作室10家。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建成区级以上高技能人才培养基地2家、技能大师工作室2家。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走访企业，宣传相关政策。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摸排企业高技能人才培养情况。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完成市级高技能人才项目申报工作。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完成区级高技能人才项目的申报、评选工作。新增高技能人才培养基地2家，技能大师工作室2家。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区经发局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区科技局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95" w:type="pct"/>
            <w:vMerge w:val="restar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促进人才就业创业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扩大实习见习规模和范围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征集青年就业实习见习岗位数5万个以上。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征集青年就业实习见习岗位10000个。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征集就业见习岗位5000个。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征集就业见习岗位5000个。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加大青年创业载体建设力度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实施“一镇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一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基地”、“一园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一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苗圃”计划，力争建成区级以上青年创业载体10家。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新建成市级以上创业载体2家。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摸排、走访区内拟申报创业载体的园区。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新建成市级以上创业载体2家。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优化引才环境配套</w:t>
            </w:r>
          </w:p>
        </w:tc>
        <w:tc>
          <w:tcPr>
            <w:tcW w:w="542" w:type="pct"/>
            <w:vAlign w:val="center"/>
          </w:tcPr>
          <w:p w:rsidR="00251A1C" w:rsidRPr="005E68FA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5E68FA">
              <w:rPr>
                <w:rFonts w:ascii="仿宋_GB2312" w:hint="eastAsia"/>
                <w:snapToGrid w:val="0"/>
                <w:spacing w:val="-10"/>
                <w:kern w:val="0"/>
                <w:sz w:val="24"/>
                <w:szCs w:val="24"/>
              </w:rPr>
              <w:t>建成青年驿站10家；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规划建成人才公寓5000套；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开发建设常州高新区“人才卡”，实施“一卡多能”计划，吸引更多青年人才来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lastRenderedPageBreak/>
              <w:t>区进入就业创业准备行动。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lastRenderedPageBreak/>
              <w:t>建成青年驿站10家。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出台青年驿站管理办法；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讨论高新区“人才卡”系统建设方案。</w:t>
            </w:r>
          </w:p>
        </w:tc>
        <w:tc>
          <w:tcPr>
            <w:tcW w:w="542" w:type="pct"/>
            <w:vAlign w:val="center"/>
          </w:tcPr>
          <w:p w:rsidR="00251A1C" w:rsidRPr="005E68FA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建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立青年驿站10个；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完成高新区“人才卡”系统建设工作。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区委组织部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区住建局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团区委</w:t>
            </w:r>
          </w:p>
        </w:tc>
        <w:tc>
          <w:tcPr>
            <w:tcW w:w="368" w:type="pct"/>
            <w:vAlign w:val="center"/>
          </w:tcPr>
          <w:p w:rsidR="00251A1C" w:rsidRPr="005E68FA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spacing w:val="-14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</w:t>
            </w:r>
            <w:r w:rsidRPr="005E68FA">
              <w:rPr>
                <w:rFonts w:ascii="仿宋_GB2312" w:hint="eastAsia"/>
                <w:snapToGrid w:val="0"/>
                <w:spacing w:val="-14"/>
                <w:kern w:val="0"/>
                <w:sz w:val="24"/>
                <w:szCs w:val="24"/>
              </w:rPr>
              <w:t>委宣传统战部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区教育局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区卫健委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" w:type="pct"/>
            <w:vMerge w:val="restar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提升人才服务效能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优化公共服务举措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优化“一门式、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一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窗式”人才服务举措，开发“秒办”、“一件事套餐办”项目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”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加强人才服务队伍的能力建设，优化服务流程。</w:t>
            </w:r>
          </w:p>
        </w:tc>
        <w:tc>
          <w:tcPr>
            <w:tcW w:w="543" w:type="pct"/>
            <w:vAlign w:val="center"/>
          </w:tcPr>
          <w:p w:rsidR="00251A1C" w:rsidRPr="005E68FA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开发“秒办”、“一件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事套餐办”项目5个；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优化区级人才项目申报服务系统。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做好“秒办”、“一件事套餐办”项目准备工作；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做好区级人才项目申报系统升级的前期准备工作。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开发、实施“秒办”、“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一件事套餐办”5个；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完成人才项目申报系统的升级工作。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区人才办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区行政审批局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加强人才政策宣传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开展人才政策、人才服务宣传进企业、进校区、进园区、进社区的四进活动，活动场次500场以上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开展人才政策、人才服务宣传进企业、进校区、进园区、进社区的四进活动100场以上。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开展人才政策、人才服务宣传进企业、进校区、进园区、进社区的四进活动40场。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开展人才政策、人才服务宣传进企业、进校区、进园区、进社区的四进活动30场。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开展人才政策、人才服务宣传进企业、进校区、进园区、进社区的四进活动30场。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5E68FA">
              <w:rPr>
                <w:rFonts w:ascii="仿宋_GB2312" w:hint="eastAsia"/>
                <w:snapToGrid w:val="0"/>
                <w:spacing w:val="-16"/>
                <w:kern w:val="0"/>
                <w:sz w:val="24"/>
                <w:szCs w:val="24"/>
              </w:rPr>
              <w:t>区委宣传统战部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区科技局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区商务局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各镇（街道）相关园区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打造人才服务品牌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优化人才招聘活动方案，营造优质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”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营商营智</w:t>
            </w: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“</w:t>
            </w:r>
            <w:proofErr w:type="gramEnd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环境，实施“百校千企万名人才集聚行动”，举办各类招聘会活动400场，打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造全域人才服务品牌。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举办各种类型招聘会活动100场，其中组织开展校园招聘活动不低于50场；             2</w:t>
            </w:r>
            <w:r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．</w:t>
            </w: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开展“HR能力提升双百行动。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开展“博揽人才 集聚新北”校园招聘活动10场。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开展“博揽人才 集聚新北”校园招聘活动15场。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开展“博揽人才 集聚新北”校园招聘活动10场。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开展“博揽人才 集聚新北”校园招聘活动15场。</w:t>
            </w: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95" w:type="pct"/>
            <w:vMerge w:val="restart"/>
            <w:vAlign w:val="center"/>
          </w:tcPr>
          <w:p w:rsidR="00251A1C" w:rsidRPr="000E6174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</w:pPr>
            <w:r w:rsidRPr="000E6174">
              <w:rPr>
                <w:rFonts w:ascii="仿宋_GB2312" w:hint="eastAsia"/>
                <w:snapToGrid w:val="0"/>
                <w:spacing w:val="-20"/>
                <w:kern w:val="0"/>
                <w:sz w:val="24"/>
                <w:szCs w:val="24"/>
              </w:rPr>
              <w:t>强化组织保障</w:t>
            </w: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加强组织领导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围绕产业人才工作成立专项小组，明确“十四五”总体工作目标和</w:t>
            </w:r>
            <w:r w:rsidRPr="005E68FA">
              <w:rPr>
                <w:rFonts w:ascii="仿宋_GB2312" w:hint="eastAsia"/>
                <w:snapToGrid w:val="0"/>
                <w:spacing w:val="-8"/>
                <w:kern w:val="0"/>
                <w:sz w:val="24"/>
                <w:szCs w:val="24"/>
              </w:rPr>
              <w:t>任务，形成工作机制。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成立产业人才发展工作专班，明确年度工作目标、任务。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成立工作专班，下达年度目标任务。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加大工作考核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建立考核办法，将产业人才发展工作列入区级高质量发展指标体系。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建立考核办法，将产业人才发展工作列入区级高质量发展指标体系。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制定完成产业人才发展工作考核办法。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区经发局</w:t>
            </w:r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</w:tc>
      </w:tr>
      <w:tr w:rsidR="00251A1C" w:rsidRPr="00674A5F" w:rsidTr="007516D8">
        <w:trPr>
          <w:jc w:val="center"/>
        </w:trPr>
        <w:tc>
          <w:tcPr>
            <w:tcW w:w="1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95" w:type="pct"/>
            <w:vMerge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加强资金保障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做大做强区人才专项资金盘子，保持人才投入与经济发展同步增长，强化人才专项资金统筹管理，保障人才政策顺利实施。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做大做强区人才专项资金盘子，保持人才投入与经济发展同步增长，强化人才专项资金统筹管理，保障人才政策顺利实施。</w:t>
            </w: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完成年度产业人才发展专项资筹集工作。</w:t>
            </w:r>
          </w:p>
        </w:tc>
        <w:tc>
          <w:tcPr>
            <w:tcW w:w="542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368" w:type="pct"/>
            <w:vAlign w:val="center"/>
          </w:tcPr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区人社局</w:t>
            </w:r>
          </w:p>
          <w:p w:rsidR="00251A1C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proofErr w:type="gramStart"/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滨开区</w:t>
            </w:r>
            <w:proofErr w:type="gramEnd"/>
          </w:p>
          <w:p w:rsidR="00251A1C" w:rsidRPr="00674A5F" w:rsidRDefault="00251A1C" w:rsidP="007516D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napToGrid w:val="0"/>
                <w:kern w:val="0"/>
                <w:sz w:val="24"/>
                <w:szCs w:val="24"/>
              </w:rPr>
            </w:pPr>
            <w:r w:rsidRPr="00674A5F">
              <w:rPr>
                <w:rFonts w:ascii="仿宋_GB2312" w:hint="eastAsia"/>
                <w:snapToGrid w:val="0"/>
                <w:kern w:val="0"/>
                <w:sz w:val="24"/>
                <w:szCs w:val="24"/>
              </w:rPr>
              <w:t>各镇（街道）</w:t>
            </w:r>
          </w:p>
        </w:tc>
      </w:tr>
    </w:tbl>
    <w:p w:rsidR="004A188E" w:rsidRPr="00251A1C" w:rsidRDefault="004A188E" w:rsidP="00251A1C">
      <w:pPr>
        <w:ind w:firstLineChars="0" w:firstLine="0"/>
      </w:pPr>
    </w:p>
    <w:sectPr w:rsidR="004A188E" w:rsidRPr="00251A1C" w:rsidSect="00251A1C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A1C"/>
    <w:rsid w:val="00251A1C"/>
    <w:rsid w:val="004A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qFormat/>
    <w:rsid w:val="00251A1C"/>
    <w:rPr>
      <w:rFonts w:ascii="宋体" w:hAnsi="Courier New" w:cs="宋体"/>
      <w:szCs w:val="21"/>
    </w:rPr>
  </w:style>
  <w:style w:type="paragraph" w:styleId="a3">
    <w:name w:val="Plain Text"/>
    <w:basedOn w:val="a"/>
    <w:link w:val="Char"/>
    <w:uiPriority w:val="99"/>
    <w:qFormat/>
    <w:rsid w:val="00251A1C"/>
    <w:pPr>
      <w:ind w:firstLineChars="0" w:firstLine="0"/>
    </w:pPr>
    <w:rPr>
      <w:rFonts w:ascii="宋体" w:eastAsiaTheme="minorEastAsia" w:hAnsi="Courier New" w:cs="宋体"/>
      <w:sz w:val="21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251A1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2021-04-30T08:03:00Z</dcterms:created>
  <dcterms:modified xsi:type="dcterms:W3CDTF">2021-04-30T08:04:00Z</dcterms:modified>
</cp:coreProperties>
</file>