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bookmarkStart w:id="0" w:name="_GoBack"/>
      <w:bookmarkEnd w:id="0"/>
      <w:r>
        <w:rPr>
          <w:rFonts w:eastAsia="黑体"/>
          <w:color w:val="000000"/>
          <w:sz w:val="32"/>
          <w:szCs w:val="32"/>
        </w:rPr>
        <w:t>附件3</w:t>
      </w:r>
    </w:p>
    <w:p>
      <w:pPr>
        <w:rPr>
          <w:rFonts w:eastAsia="黑体"/>
          <w:color w:val="000000"/>
          <w:sz w:val="32"/>
          <w:szCs w:val="32"/>
        </w:rPr>
      </w:pPr>
    </w:p>
    <w:p>
      <w:pPr>
        <w:spacing w:line="580" w:lineRule="exact"/>
        <w:jc w:val="center"/>
        <w:rPr>
          <w:rFonts w:eastAsia="方正小标宋简体"/>
          <w:color w:val="000000"/>
          <w:sz w:val="44"/>
          <w:szCs w:val="52"/>
        </w:rPr>
      </w:pPr>
      <w:r>
        <w:rPr>
          <w:rFonts w:eastAsia="方正小标宋简体"/>
          <w:color w:val="000000"/>
          <w:sz w:val="44"/>
          <w:szCs w:val="52"/>
        </w:rPr>
        <w:t>关于开展第一批市级先进制造业和现代服务业</w:t>
      </w:r>
    </w:p>
    <w:p>
      <w:pPr>
        <w:spacing w:line="580" w:lineRule="exact"/>
        <w:jc w:val="center"/>
        <w:rPr>
          <w:rFonts w:eastAsia="方正小标宋简体"/>
          <w:color w:val="000000"/>
          <w:sz w:val="44"/>
          <w:szCs w:val="52"/>
        </w:rPr>
      </w:pPr>
      <w:r>
        <w:rPr>
          <w:rFonts w:eastAsia="方正小标宋简体"/>
          <w:color w:val="000000"/>
          <w:sz w:val="44"/>
          <w:szCs w:val="52"/>
        </w:rPr>
        <w:t>融合示范企业申报认定工作的通知</w:t>
      </w:r>
    </w:p>
    <w:p>
      <w:pPr>
        <w:spacing w:line="570" w:lineRule="exact"/>
        <w:jc w:val="left"/>
        <w:rPr>
          <w:color w:val="000000"/>
          <w:sz w:val="32"/>
          <w:szCs w:val="40"/>
        </w:rPr>
      </w:pPr>
    </w:p>
    <w:p>
      <w:pPr>
        <w:spacing w:line="570" w:lineRule="exact"/>
        <w:ind w:firstLine="640" w:firstLineChars="200"/>
        <w:jc w:val="left"/>
        <w:rPr>
          <w:rFonts w:eastAsia="仿宋_GB2312"/>
          <w:color w:val="000000"/>
          <w:sz w:val="32"/>
          <w:szCs w:val="40"/>
        </w:rPr>
      </w:pPr>
      <w:r>
        <w:rPr>
          <w:rFonts w:eastAsia="仿宋_GB2312"/>
          <w:color w:val="000000"/>
          <w:sz w:val="32"/>
          <w:szCs w:val="40"/>
        </w:rPr>
        <w:t>为贯彻落实《市政府办公室关于推进服务业高质量发展的意见》（常政办发〔2020〕106号）文件精神，加快全市先进制造业和现代服务业深度融合（以下简称“两业融合”），根据《关于推进我市生产性服务业高质量发展的若干政策》（常服办〔2020〕1号）文件内容，现将第一批市级“两业融合”示范企业申报认定工作事项通知如下：</w:t>
      </w:r>
    </w:p>
    <w:p>
      <w:pPr>
        <w:spacing w:line="570" w:lineRule="exact"/>
        <w:ind w:firstLine="640" w:firstLineChars="200"/>
        <w:jc w:val="left"/>
        <w:rPr>
          <w:rFonts w:eastAsia="黑体"/>
          <w:color w:val="000000"/>
          <w:sz w:val="32"/>
          <w:szCs w:val="40"/>
        </w:rPr>
      </w:pPr>
      <w:r>
        <w:rPr>
          <w:rFonts w:eastAsia="黑体"/>
          <w:color w:val="000000"/>
          <w:sz w:val="32"/>
          <w:szCs w:val="40"/>
        </w:rPr>
        <w:t>一、申报领域</w:t>
      </w:r>
    </w:p>
    <w:p>
      <w:pPr>
        <w:spacing w:line="570" w:lineRule="exact"/>
        <w:ind w:firstLine="640" w:firstLineChars="200"/>
        <w:rPr>
          <w:color w:val="000000"/>
          <w:sz w:val="32"/>
          <w:szCs w:val="40"/>
        </w:rPr>
      </w:pPr>
      <w:r>
        <w:rPr>
          <w:rFonts w:eastAsia="仿宋_GB2312"/>
          <w:color w:val="000000"/>
          <w:sz w:val="32"/>
          <w:szCs w:val="32"/>
        </w:rPr>
        <w:t>以全市高端装备、绿色精品钢、汽车及核心零部件（含新能源汽车）、新一代信息技术、新材料、新能源、新型电力装备、轨道交通、生物医药及新型医疗器械、新型纺织服装等十大制造业集群的龙头企业、智能工厂，以及产业金融、现代物流、检验检测、信息技术、研发设计、人力资源、节能环保、会展服务、电子商务等九大生产性服务业领域重点企业为申报重点。鼓励总集成总承包、整体解决方案服务、个性化定制、全生命周期管理服务、智能制造与运营管理等具有创新型融合模式的企业申报。</w:t>
      </w:r>
    </w:p>
    <w:p>
      <w:pPr>
        <w:spacing w:line="570" w:lineRule="exact"/>
        <w:ind w:firstLine="640" w:firstLineChars="200"/>
        <w:jc w:val="left"/>
        <w:rPr>
          <w:rFonts w:eastAsia="黑体"/>
          <w:color w:val="000000"/>
          <w:sz w:val="32"/>
          <w:szCs w:val="40"/>
        </w:rPr>
      </w:pPr>
      <w:r>
        <w:rPr>
          <w:rFonts w:eastAsia="黑体"/>
          <w:color w:val="000000"/>
          <w:sz w:val="32"/>
          <w:szCs w:val="40"/>
        </w:rPr>
        <w:t>二、申报标准</w:t>
      </w:r>
    </w:p>
    <w:p>
      <w:pPr>
        <w:spacing w:line="570" w:lineRule="exact"/>
        <w:ind w:firstLine="640" w:firstLineChars="200"/>
        <w:jc w:val="left"/>
        <w:rPr>
          <w:rFonts w:eastAsia="仿宋_GB2312"/>
          <w:color w:val="000000"/>
          <w:sz w:val="32"/>
          <w:szCs w:val="40"/>
        </w:rPr>
      </w:pPr>
      <w:r>
        <w:rPr>
          <w:rFonts w:eastAsia="仿宋_GB2312"/>
          <w:color w:val="000000"/>
          <w:sz w:val="32"/>
          <w:szCs w:val="40"/>
        </w:rPr>
        <w:t>（一）制造业企业上年度营业收入超5亿元，或在细分行业市场占有率全国前10名。其中向其他企业提供产品配套服务、生产技术服务、研发设计服务等相关生产服务营业收入占总营业收入的比重不低于20%。</w:t>
      </w:r>
    </w:p>
    <w:p>
      <w:pPr>
        <w:spacing w:line="570" w:lineRule="exact"/>
        <w:ind w:firstLine="640" w:firstLineChars="200"/>
        <w:jc w:val="left"/>
        <w:rPr>
          <w:rFonts w:eastAsia="仿宋_GB2312"/>
          <w:color w:val="000000"/>
          <w:sz w:val="32"/>
          <w:szCs w:val="40"/>
        </w:rPr>
      </w:pPr>
      <w:r>
        <w:rPr>
          <w:rFonts w:eastAsia="仿宋_GB2312"/>
          <w:color w:val="000000"/>
          <w:sz w:val="32"/>
          <w:szCs w:val="40"/>
        </w:rPr>
        <w:t>（二）生产性服务业企业上年度营业收入超1亿元。其中为制造业企业提供研发设计、原材料采购、检验检测、营销、培训、售后等中间投入服务收入占总营业收入的比重不低于60%。</w:t>
      </w:r>
    </w:p>
    <w:p>
      <w:pPr>
        <w:spacing w:line="570" w:lineRule="exact"/>
        <w:ind w:firstLine="640" w:firstLineChars="200"/>
        <w:jc w:val="left"/>
        <w:rPr>
          <w:rFonts w:eastAsia="仿宋_GB2312"/>
          <w:color w:val="000000"/>
          <w:sz w:val="32"/>
          <w:szCs w:val="32"/>
        </w:rPr>
      </w:pPr>
      <w:r>
        <w:rPr>
          <w:rFonts w:eastAsia="仿宋_GB2312"/>
          <w:color w:val="000000"/>
          <w:sz w:val="32"/>
          <w:szCs w:val="40"/>
        </w:rPr>
        <w:t>（三）申报企业当年度需</w:t>
      </w:r>
      <w:r>
        <w:rPr>
          <w:rFonts w:eastAsia="仿宋_GB2312"/>
          <w:color w:val="000000"/>
          <w:sz w:val="32"/>
          <w:szCs w:val="32"/>
        </w:rPr>
        <w:t>组织实施1个以上“两业”深度融合项目。</w:t>
      </w:r>
    </w:p>
    <w:p>
      <w:pPr>
        <w:spacing w:line="570" w:lineRule="exact"/>
        <w:ind w:firstLine="640" w:firstLineChars="200"/>
        <w:jc w:val="left"/>
        <w:rPr>
          <w:rFonts w:eastAsia="仿宋_GB2312"/>
          <w:color w:val="000000"/>
          <w:sz w:val="32"/>
          <w:szCs w:val="32"/>
        </w:rPr>
      </w:pPr>
      <w:r>
        <w:rPr>
          <w:rFonts w:eastAsia="仿宋_GB2312"/>
          <w:color w:val="000000"/>
          <w:sz w:val="32"/>
          <w:szCs w:val="32"/>
        </w:rPr>
        <w:t>（四）申报企业经营业务能够围绕核心制造环节或主要服务功能，向产业链两端延伸拓展，有“两业”深度融合发展的具体案例，形成具有同行业示范价值的融合发展模式。</w:t>
      </w:r>
    </w:p>
    <w:p>
      <w:pPr>
        <w:spacing w:line="570" w:lineRule="exact"/>
        <w:ind w:firstLine="640" w:firstLineChars="200"/>
        <w:rPr>
          <w:rFonts w:eastAsia="黑体"/>
          <w:color w:val="000000"/>
          <w:sz w:val="32"/>
          <w:szCs w:val="32"/>
        </w:rPr>
      </w:pPr>
      <w:r>
        <w:rPr>
          <w:rFonts w:eastAsia="黑体"/>
          <w:color w:val="000000"/>
          <w:sz w:val="32"/>
          <w:szCs w:val="32"/>
        </w:rPr>
        <w:t>三、申报条件</w:t>
      </w:r>
    </w:p>
    <w:p>
      <w:pPr>
        <w:spacing w:line="570" w:lineRule="exact"/>
        <w:ind w:firstLine="640" w:firstLineChars="200"/>
        <w:rPr>
          <w:rFonts w:eastAsia="仿宋_GB2312"/>
          <w:color w:val="000000"/>
          <w:sz w:val="32"/>
          <w:szCs w:val="32"/>
        </w:rPr>
      </w:pPr>
      <w:r>
        <w:rPr>
          <w:rFonts w:eastAsia="仿宋_GB2312"/>
          <w:color w:val="000000"/>
          <w:sz w:val="32"/>
          <w:szCs w:val="32"/>
        </w:rPr>
        <w:t>（一）申报企业需为在常州境内登记注册的企业，具有独立法人资格，经营状况良好。</w:t>
      </w:r>
    </w:p>
    <w:p>
      <w:pPr>
        <w:spacing w:line="570" w:lineRule="exact"/>
        <w:ind w:firstLine="640" w:firstLineChars="200"/>
        <w:rPr>
          <w:rFonts w:eastAsia="仿宋_GB2312"/>
          <w:color w:val="000000"/>
          <w:sz w:val="32"/>
          <w:szCs w:val="32"/>
        </w:rPr>
      </w:pPr>
      <w:r>
        <w:rPr>
          <w:rFonts w:eastAsia="仿宋_GB2312"/>
          <w:color w:val="000000"/>
          <w:sz w:val="32"/>
          <w:szCs w:val="32"/>
        </w:rPr>
        <w:t>（二）申报企业组织实施的“两业”融合类项目为当年新建或续建，且未完工，项目程序合法、手续齐全完备。</w:t>
      </w:r>
    </w:p>
    <w:p>
      <w:pPr>
        <w:spacing w:line="570" w:lineRule="exact"/>
        <w:ind w:firstLine="640" w:firstLineChars="200"/>
        <w:rPr>
          <w:rFonts w:eastAsia="仿宋_GB2312"/>
          <w:color w:val="000000"/>
          <w:sz w:val="32"/>
          <w:szCs w:val="32"/>
        </w:rPr>
      </w:pPr>
      <w:r>
        <w:rPr>
          <w:rFonts w:eastAsia="仿宋_GB2312"/>
          <w:color w:val="000000"/>
          <w:sz w:val="32"/>
          <w:szCs w:val="32"/>
        </w:rPr>
        <w:t>（三）申报企业依法经营，近三年内无严重失信行为。</w:t>
      </w:r>
    </w:p>
    <w:p>
      <w:pPr>
        <w:spacing w:line="570" w:lineRule="exact"/>
        <w:ind w:firstLine="640" w:firstLineChars="200"/>
        <w:rPr>
          <w:rFonts w:eastAsia="仿宋_GB2312"/>
          <w:color w:val="000000"/>
          <w:sz w:val="32"/>
          <w:szCs w:val="32"/>
        </w:rPr>
      </w:pPr>
      <w:r>
        <w:rPr>
          <w:rFonts w:eastAsia="仿宋_GB2312"/>
          <w:color w:val="000000"/>
          <w:sz w:val="32"/>
          <w:szCs w:val="32"/>
        </w:rPr>
        <w:t>（四）经省发展改革委认定的“两业”深度融合龙头骨干企业试点，可直接认定为市级“两业融合”示范企业。但需按照本通知文件要求提交相关材料，未提交则不予认定。</w:t>
      </w:r>
    </w:p>
    <w:p>
      <w:pPr>
        <w:spacing w:line="570" w:lineRule="exact"/>
        <w:ind w:firstLine="640" w:firstLineChars="200"/>
        <w:jc w:val="left"/>
        <w:rPr>
          <w:rFonts w:eastAsia="黑体"/>
          <w:color w:val="000000"/>
          <w:sz w:val="32"/>
          <w:szCs w:val="40"/>
        </w:rPr>
      </w:pPr>
      <w:r>
        <w:rPr>
          <w:rFonts w:eastAsia="黑体"/>
          <w:color w:val="000000"/>
          <w:sz w:val="32"/>
          <w:szCs w:val="40"/>
        </w:rPr>
        <w:t>四、申报流程</w:t>
      </w:r>
    </w:p>
    <w:p>
      <w:pPr>
        <w:spacing w:line="570" w:lineRule="exact"/>
        <w:ind w:firstLine="648"/>
        <w:rPr>
          <w:rFonts w:eastAsia="仿宋_GB2312"/>
          <w:color w:val="000000"/>
          <w:sz w:val="32"/>
          <w:szCs w:val="32"/>
        </w:rPr>
      </w:pPr>
      <w:r>
        <w:rPr>
          <w:rFonts w:eastAsia="仿宋_GB2312"/>
          <w:color w:val="000000"/>
          <w:sz w:val="32"/>
          <w:szCs w:val="32"/>
        </w:rPr>
        <w:t>市级“两业融合”示范企业的评定，按照报送材料、初审、复审、公示、奖励的程序进行。</w:t>
      </w:r>
    </w:p>
    <w:p>
      <w:pPr>
        <w:spacing w:line="570" w:lineRule="exact"/>
        <w:ind w:firstLine="648"/>
        <w:rPr>
          <w:rFonts w:eastAsia="仿宋_GB2312"/>
          <w:color w:val="000000"/>
          <w:sz w:val="32"/>
          <w:szCs w:val="32"/>
        </w:rPr>
      </w:pPr>
      <w:r>
        <w:rPr>
          <w:rFonts w:eastAsia="仿宋_GB2312"/>
          <w:color w:val="000000"/>
          <w:sz w:val="32"/>
          <w:szCs w:val="32"/>
        </w:rPr>
        <w:t>（一）报送材料。申报企业需向所在辖市区发展改革部门提交相关材料（附件3-1）。</w:t>
      </w:r>
    </w:p>
    <w:p>
      <w:pPr>
        <w:spacing w:line="570" w:lineRule="exact"/>
        <w:ind w:firstLine="640" w:firstLineChars="200"/>
        <w:rPr>
          <w:rFonts w:eastAsia="仿宋_GB2312"/>
          <w:color w:val="000000"/>
          <w:sz w:val="32"/>
          <w:szCs w:val="32"/>
        </w:rPr>
      </w:pPr>
      <w:r>
        <w:rPr>
          <w:rFonts w:eastAsia="仿宋_GB2312"/>
          <w:color w:val="000000"/>
          <w:sz w:val="32"/>
          <w:szCs w:val="32"/>
        </w:rPr>
        <w:t>（二）初审。各辖市区发展改革部门收到企业申请材料后，需会同相关部门对申报企业上年度纳入常州市统一核算的营业收入情况进行核算。根据核算结果和企业申报材料进行初审，并提供审核意见。对申报资料不全的应一次性告知申报单位需补齐的申报资料。初审合格的，将拟推荐的申报企业申报材料在规定时间节点行文报送市发展改革委；初审不合格的，不予受理并向申报单位说明理由。</w:t>
      </w:r>
    </w:p>
    <w:p>
      <w:pPr>
        <w:spacing w:line="570" w:lineRule="exact"/>
        <w:ind w:firstLine="640" w:firstLineChars="200"/>
        <w:rPr>
          <w:rFonts w:eastAsia="仿宋_GB2312"/>
          <w:color w:val="000000"/>
          <w:sz w:val="32"/>
          <w:szCs w:val="32"/>
        </w:rPr>
      </w:pPr>
      <w:r>
        <w:rPr>
          <w:rFonts w:eastAsia="仿宋_GB2312"/>
          <w:color w:val="000000"/>
          <w:sz w:val="32"/>
          <w:szCs w:val="32"/>
        </w:rPr>
        <w:t>各辖市区发展改革部门限拟推荐申报企业5家，已经省发展改革委认定的“两业”深度融合龙头骨干企业试点，本次申报不计入限额。</w:t>
      </w:r>
    </w:p>
    <w:p>
      <w:pPr>
        <w:spacing w:line="570" w:lineRule="exact"/>
        <w:rPr>
          <w:rFonts w:eastAsia="仿宋_GB2312"/>
          <w:color w:val="000000"/>
          <w:sz w:val="32"/>
          <w:szCs w:val="32"/>
        </w:rPr>
      </w:pPr>
      <w:r>
        <w:rPr>
          <w:rFonts w:eastAsia="仿宋_GB2312"/>
          <w:color w:val="000000"/>
          <w:sz w:val="32"/>
          <w:szCs w:val="32"/>
        </w:rPr>
        <w:t>　　（三）复审。经辖市区推荐的申报企业，由市发展改革委牵头，组织专家开展材料核查，根据企业实际，视情况开展实地调查、答辩审查等。根据上述环节得出的企业得分排名，认定市级“两业融合”示范企业，并从中认定市级“两业融合”标杆企业。</w:t>
      </w:r>
    </w:p>
    <w:p>
      <w:pPr>
        <w:spacing w:line="570" w:lineRule="exact"/>
        <w:ind w:firstLine="636"/>
        <w:rPr>
          <w:rFonts w:eastAsia="仿宋_GB2312"/>
          <w:color w:val="000000"/>
          <w:sz w:val="32"/>
          <w:szCs w:val="32"/>
        </w:rPr>
      </w:pPr>
      <w:r>
        <w:rPr>
          <w:rFonts w:eastAsia="仿宋_GB2312"/>
          <w:color w:val="000000"/>
          <w:sz w:val="32"/>
          <w:szCs w:val="32"/>
        </w:rPr>
        <w:t>（四）公示。复审通过的企业名单，由市发展改革委在“常州市发展和改革委员会”官方网站公示7天，公示无异议，统一发文公布，给予认定。</w:t>
      </w:r>
    </w:p>
    <w:p>
      <w:pPr>
        <w:spacing w:line="570" w:lineRule="exact"/>
        <w:ind w:firstLine="636"/>
        <w:rPr>
          <w:color w:val="000000"/>
          <w:sz w:val="32"/>
          <w:szCs w:val="40"/>
        </w:rPr>
      </w:pPr>
      <w:r>
        <w:rPr>
          <w:rFonts w:eastAsia="仿宋_GB2312"/>
          <w:color w:val="000000"/>
          <w:sz w:val="32"/>
          <w:szCs w:val="32"/>
        </w:rPr>
        <w:t>（五）奖励。被评定为市级“两业融合”标杆企业的，由本年度市级服务业发展专项资金给予奖励，并优先支持申报省级“两业”深度融合标杆企业。</w:t>
      </w:r>
    </w:p>
    <w:p>
      <w:pPr>
        <w:spacing w:line="570" w:lineRule="exact"/>
        <w:ind w:firstLine="640" w:firstLineChars="200"/>
        <w:jc w:val="left"/>
        <w:rPr>
          <w:rFonts w:eastAsia="黑体"/>
          <w:color w:val="000000"/>
          <w:sz w:val="32"/>
          <w:szCs w:val="40"/>
        </w:rPr>
      </w:pPr>
      <w:r>
        <w:rPr>
          <w:rFonts w:eastAsia="黑体"/>
          <w:color w:val="000000"/>
          <w:sz w:val="32"/>
          <w:szCs w:val="40"/>
        </w:rPr>
        <w:t>五、注意事项</w:t>
      </w:r>
    </w:p>
    <w:p>
      <w:pPr>
        <w:spacing w:line="570" w:lineRule="exact"/>
        <w:ind w:firstLine="640" w:firstLineChars="200"/>
        <w:rPr>
          <w:rFonts w:eastAsia="仿宋_GB2312"/>
          <w:color w:val="000000"/>
          <w:sz w:val="32"/>
          <w:szCs w:val="32"/>
        </w:rPr>
      </w:pPr>
      <w:r>
        <w:rPr>
          <w:rFonts w:eastAsia="仿宋_GB2312"/>
          <w:color w:val="000000"/>
          <w:sz w:val="32"/>
          <w:szCs w:val="32"/>
        </w:rPr>
        <w:t>（一）按属地申报。申报单位按申报方案（附件3-1）顺序要求将申报材料装订成册（A4尺寸），封面加盖单位公章，纸质版一式三份、电子版一份报送至各辖市区发展改革部门。</w:t>
      </w:r>
    </w:p>
    <w:p>
      <w:pPr>
        <w:spacing w:line="570" w:lineRule="exact"/>
        <w:ind w:firstLine="640" w:firstLineChars="200"/>
        <w:rPr>
          <w:rFonts w:eastAsia="仿宋_GB2312"/>
          <w:color w:val="000000"/>
          <w:sz w:val="32"/>
          <w:szCs w:val="32"/>
        </w:rPr>
      </w:pPr>
      <w:r>
        <w:rPr>
          <w:rFonts w:eastAsia="仿宋_GB2312"/>
          <w:color w:val="000000"/>
          <w:sz w:val="32"/>
          <w:szCs w:val="32"/>
        </w:rPr>
        <w:t>（二）申报时间节点。初审结束后，各辖市区发展改革部门将拟推荐的申报企业纸质版申报材料两份、电子版提交至市发展改革委，并于2021年6月18日前，正式行文（推荐企业汇总表（附件3-2）作为行文附件）上报市发展改革委。</w:t>
      </w:r>
    </w:p>
    <w:p>
      <w:pPr>
        <w:spacing w:line="570" w:lineRule="exact"/>
        <w:ind w:firstLine="640" w:firstLineChars="200"/>
        <w:rPr>
          <w:rFonts w:eastAsia="仿宋_GB2312"/>
          <w:color w:val="000000"/>
          <w:sz w:val="32"/>
          <w:szCs w:val="32"/>
        </w:rPr>
      </w:pPr>
      <w:r>
        <w:rPr>
          <w:rFonts w:eastAsia="仿宋_GB2312"/>
          <w:color w:val="000000"/>
          <w:sz w:val="32"/>
          <w:szCs w:val="32"/>
        </w:rPr>
        <w:t>（三）监督管理事项。申报企业需保证申报材料的真实性，如有弄虚作假行为，经查证属实，当年不予认定，且三年内不得再申请市级“两业融合”示范企业。各辖市、区初审部门要</w:t>
      </w:r>
      <w:r>
        <w:rPr>
          <w:rFonts w:eastAsia="仿宋_GB2312"/>
          <w:color w:val="000000"/>
          <w:sz w:val="32"/>
          <w:szCs w:val="36"/>
        </w:rPr>
        <w:t>对申报企业材料严格把关，确保推荐企业质量。市级</w:t>
      </w:r>
      <w:r>
        <w:rPr>
          <w:rFonts w:eastAsia="仿宋_GB2312"/>
          <w:color w:val="000000"/>
          <w:sz w:val="32"/>
          <w:szCs w:val="32"/>
        </w:rPr>
        <w:t>“两业融合”示范企业申报要求由市发展改革委负责最终解释。</w:t>
      </w:r>
    </w:p>
    <w:p>
      <w:pPr>
        <w:spacing w:line="570" w:lineRule="exact"/>
        <w:ind w:firstLine="640" w:firstLineChars="200"/>
        <w:jc w:val="left"/>
        <w:rPr>
          <w:color w:val="000000"/>
          <w:sz w:val="32"/>
          <w:szCs w:val="40"/>
        </w:rPr>
      </w:pPr>
    </w:p>
    <w:p>
      <w:pPr>
        <w:spacing w:line="570" w:lineRule="exact"/>
        <w:ind w:firstLine="616" w:firstLineChars="200"/>
        <w:rPr>
          <w:rFonts w:eastAsia="仿宋_GB2312"/>
          <w:color w:val="000000"/>
          <w:spacing w:val="-6"/>
          <w:sz w:val="32"/>
          <w:szCs w:val="32"/>
        </w:rPr>
      </w:pPr>
      <w:r>
        <w:rPr>
          <w:rFonts w:eastAsia="仿宋_GB2312"/>
          <w:color w:val="000000"/>
          <w:spacing w:val="-6"/>
          <w:sz w:val="32"/>
          <w:szCs w:val="32"/>
        </w:rPr>
        <w:t>联系人：市发展和改革委员会 张鸣呵；联系电话：85681089</w:t>
      </w:r>
    </w:p>
    <w:p>
      <w:pPr>
        <w:spacing w:line="570" w:lineRule="exact"/>
        <w:ind w:firstLine="640" w:firstLineChars="200"/>
        <w:jc w:val="left"/>
        <w:rPr>
          <w:rFonts w:eastAsia="仿宋_GB2312"/>
          <w:color w:val="000000"/>
          <w:sz w:val="32"/>
          <w:szCs w:val="40"/>
        </w:rPr>
      </w:pPr>
    </w:p>
    <w:p>
      <w:pPr>
        <w:spacing w:line="570" w:lineRule="exact"/>
        <w:ind w:firstLine="640" w:firstLineChars="200"/>
        <w:jc w:val="left"/>
        <w:rPr>
          <w:rFonts w:eastAsia="仿宋_GB2312"/>
          <w:color w:val="000000"/>
          <w:sz w:val="32"/>
          <w:szCs w:val="40"/>
        </w:rPr>
      </w:pPr>
      <w:r>
        <w:rPr>
          <w:rFonts w:eastAsia="仿宋_GB2312"/>
          <w:color w:val="000000"/>
          <w:sz w:val="32"/>
          <w:szCs w:val="40"/>
        </w:rPr>
        <w:t>附件：</w:t>
      </w:r>
      <w:r>
        <w:rPr>
          <w:rFonts w:eastAsia="仿宋_GB2312"/>
          <w:color w:val="000000"/>
          <w:sz w:val="32"/>
          <w:szCs w:val="40"/>
        </w:rPr>
        <w:tab/>
      </w:r>
      <w:r>
        <w:rPr>
          <w:rFonts w:eastAsia="仿宋_GB2312"/>
          <w:color w:val="000000"/>
          <w:sz w:val="32"/>
          <w:szCs w:val="40"/>
        </w:rPr>
        <w:t>3-1．2021年市级“两业融合”示范企业申报方案</w:t>
      </w:r>
    </w:p>
    <w:p>
      <w:pPr>
        <w:spacing w:line="570" w:lineRule="exact"/>
        <w:ind w:firstLine="1664" w:firstLineChars="520"/>
        <w:jc w:val="left"/>
        <w:rPr>
          <w:rFonts w:eastAsia="仿宋_GB2312"/>
          <w:color w:val="000000"/>
          <w:spacing w:val="-6"/>
          <w:sz w:val="32"/>
          <w:szCs w:val="40"/>
        </w:rPr>
      </w:pPr>
      <w:r>
        <w:rPr>
          <w:rFonts w:eastAsia="仿宋_GB2312"/>
          <w:color w:val="000000"/>
          <w:sz w:val="32"/>
          <w:szCs w:val="40"/>
        </w:rPr>
        <w:t>3-2．</w:t>
      </w:r>
      <w:r>
        <w:rPr>
          <w:rFonts w:eastAsia="仿宋_GB2312"/>
          <w:color w:val="000000"/>
          <w:spacing w:val="-6"/>
          <w:sz w:val="32"/>
          <w:szCs w:val="40"/>
        </w:rPr>
        <w:t>2021</w:t>
      </w:r>
      <w:r>
        <w:rPr>
          <w:rFonts w:eastAsia="仿宋_GB2312"/>
          <w:color w:val="000000"/>
          <w:spacing w:val="-16"/>
          <w:sz w:val="32"/>
          <w:szCs w:val="40"/>
        </w:rPr>
        <w:t>年市级“两业融合”示范企业辖市区推荐汇总表</w:t>
      </w:r>
    </w:p>
    <w:p>
      <w:pPr>
        <w:spacing w:line="570" w:lineRule="exact"/>
        <w:ind w:firstLine="1664" w:firstLineChars="520"/>
        <w:jc w:val="left"/>
        <w:rPr>
          <w:rFonts w:eastAsia="仿宋_GB2312"/>
          <w:color w:val="000000"/>
          <w:sz w:val="32"/>
          <w:szCs w:val="40"/>
        </w:rPr>
      </w:pPr>
      <w:r>
        <w:rPr>
          <w:rFonts w:eastAsia="仿宋_GB2312"/>
          <w:color w:val="000000"/>
          <w:sz w:val="32"/>
          <w:szCs w:val="40"/>
        </w:rPr>
        <w:t>3-3．2021年市级“两业融合”示范企业绩效评价表</w:t>
      </w:r>
    </w:p>
    <w:p>
      <w:pPr>
        <w:spacing w:line="560" w:lineRule="exact"/>
        <w:ind w:firstLine="1600" w:firstLineChars="500"/>
        <w:jc w:val="left"/>
        <w:rPr>
          <w:rFonts w:eastAsia="仿宋_GB2312"/>
          <w:color w:val="000000"/>
          <w:sz w:val="32"/>
          <w:szCs w:val="40"/>
        </w:rPr>
      </w:pPr>
    </w:p>
    <w:p>
      <w:pPr>
        <w:spacing w:line="560" w:lineRule="exact"/>
        <w:ind w:firstLine="1600" w:firstLineChars="500"/>
        <w:jc w:val="left"/>
        <w:rPr>
          <w:rFonts w:eastAsia="仿宋_GB2312"/>
          <w:color w:val="000000"/>
          <w:sz w:val="32"/>
          <w:szCs w:val="40"/>
        </w:rPr>
      </w:pPr>
    </w:p>
    <w:p>
      <w:pPr>
        <w:jc w:val="left"/>
        <w:rPr>
          <w:rFonts w:eastAsia="黑体"/>
          <w:color w:val="000000"/>
          <w:sz w:val="32"/>
          <w:szCs w:val="48"/>
        </w:rPr>
      </w:pPr>
      <w:r>
        <w:rPr>
          <w:rFonts w:eastAsia="黑体"/>
          <w:color w:val="000000"/>
          <w:sz w:val="32"/>
          <w:szCs w:val="48"/>
        </w:rPr>
        <w:t>附件3-1</w:t>
      </w:r>
    </w:p>
    <w:p>
      <w:pPr>
        <w:jc w:val="left"/>
        <w:rPr>
          <w:rFonts w:eastAsia="黑体"/>
          <w:color w:val="000000"/>
          <w:sz w:val="32"/>
          <w:szCs w:val="48"/>
        </w:rPr>
      </w:pPr>
    </w:p>
    <w:p>
      <w:pPr>
        <w:jc w:val="left"/>
        <w:rPr>
          <w:rFonts w:eastAsia="黑体"/>
          <w:color w:val="000000"/>
          <w:sz w:val="32"/>
          <w:szCs w:val="48"/>
        </w:rPr>
      </w:pPr>
    </w:p>
    <w:p>
      <w:pPr>
        <w:spacing w:line="800" w:lineRule="exact"/>
        <w:jc w:val="center"/>
        <w:rPr>
          <w:rFonts w:eastAsia="方正小标宋简体"/>
          <w:color w:val="000000"/>
          <w:sz w:val="48"/>
          <w:szCs w:val="48"/>
        </w:rPr>
      </w:pPr>
      <w:r>
        <w:rPr>
          <w:rFonts w:eastAsia="方正小标宋简体"/>
          <w:color w:val="000000"/>
          <w:sz w:val="48"/>
          <w:szCs w:val="48"/>
        </w:rPr>
        <w:t>2021年市级“两业融合”示范企业</w:t>
      </w:r>
    </w:p>
    <w:p>
      <w:pPr>
        <w:spacing w:line="800" w:lineRule="exact"/>
        <w:jc w:val="center"/>
        <w:rPr>
          <w:rFonts w:eastAsia="方正小标宋简体"/>
          <w:color w:val="000000"/>
          <w:sz w:val="48"/>
          <w:szCs w:val="48"/>
        </w:rPr>
      </w:pPr>
      <w:r>
        <w:rPr>
          <w:rFonts w:eastAsia="方正小标宋简体"/>
          <w:color w:val="000000"/>
          <w:sz w:val="48"/>
          <w:szCs w:val="48"/>
        </w:rPr>
        <w:t>申报方案</w:t>
      </w:r>
    </w:p>
    <w:p>
      <w:pPr>
        <w:spacing w:line="800" w:lineRule="exact"/>
        <w:ind w:firstLine="640" w:firstLineChars="200"/>
        <w:rPr>
          <w:rFonts w:eastAsia="黑体"/>
          <w:bCs/>
          <w:color w:val="000000"/>
          <w:sz w:val="32"/>
          <w:szCs w:val="48"/>
        </w:rPr>
      </w:pPr>
    </w:p>
    <w:p>
      <w:pPr>
        <w:spacing w:line="800" w:lineRule="exact"/>
        <w:ind w:firstLine="640" w:firstLineChars="200"/>
        <w:rPr>
          <w:rFonts w:eastAsia="黑体"/>
          <w:bCs/>
          <w:color w:val="000000"/>
          <w:sz w:val="32"/>
          <w:szCs w:val="48"/>
        </w:rPr>
      </w:pPr>
    </w:p>
    <w:p>
      <w:pPr>
        <w:spacing w:line="800" w:lineRule="exact"/>
        <w:ind w:firstLine="640" w:firstLineChars="200"/>
        <w:rPr>
          <w:rFonts w:eastAsia="黑体"/>
          <w:bCs/>
          <w:color w:val="000000"/>
          <w:sz w:val="32"/>
          <w:szCs w:val="48"/>
          <w:u w:val="single"/>
        </w:rPr>
      </w:pPr>
      <w:r>
        <w:rPr>
          <w:rFonts w:eastAsia="黑体"/>
          <w:bCs/>
          <w:color w:val="000000"/>
          <w:sz w:val="32"/>
          <w:szCs w:val="48"/>
        </w:rPr>
        <w:t>企业名称（盖章）</w:t>
      </w:r>
      <w:r>
        <w:rPr>
          <w:rFonts w:eastAsia="黑体"/>
          <w:bCs/>
          <w:color w:val="000000"/>
          <w:sz w:val="32"/>
          <w:szCs w:val="48"/>
          <w:u w:val="single"/>
        </w:rPr>
        <w:t xml:space="preserve">                               </w:t>
      </w:r>
    </w:p>
    <w:p>
      <w:pPr>
        <w:spacing w:line="800" w:lineRule="exact"/>
        <w:ind w:firstLine="640" w:firstLineChars="200"/>
        <w:rPr>
          <w:rFonts w:eastAsia="黑体"/>
          <w:bCs/>
          <w:color w:val="000000"/>
          <w:sz w:val="32"/>
          <w:szCs w:val="48"/>
          <w:u w:val="single"/>
        </w:rPr>
      </w:pPr>
      <w:r>
        <w:rPr>
          <w:rFonts w:eastAsia="黑体"/>
          <w:bCs/>
          <w:color w:val="000000"/>
          <w:sz w:val="32"/>
          <w:szCs w:val="48"/>
        </w:rPr>
        <w:t xml:space="preserve">行业类型 </w:t>
      </w:r>
      <w:r>
        <w:rPr>
          <w:rFonts w:eastAsia="黑体"/>
          <w:bCs/>
          <w:color w:val="000000"/>
          <w:sz w:val="32"/>
          <w:szCs w:val="48"/>
          <w:u w:val="single"/>
        </w:rPr>
        <w:t xml:space="preserve">   </w:t>
      </w:r>
      <w:r>
        <w:rPr>
          <w:rFonts w:eastAsia="黑体"/>
          <w:bCs/>
          <w:color w:val="000000"/>
          <w:sz w:val="32"/>
          <w:szCs w:val="48"/>
          <w:u w:val="single"/>
        </w:rPr>
        <w:sym w:font="Wingdings 2" w:char="00A3"/>
      </w:r>
      <w:r>
        <w:rPr>
          <w:rFonts w:eastAsia="黑体"/>
          <w:bCs/>
          <w:color w:val="000000"/>
          <w:sz w:val="32"/>
          <w:szCs w:val="48"/>
          <w:u w:val="single"/>
        </w:rPr>
        <w:t xml:space="preserve"> 先进制造业    </w:t>
      </w:r>
      <w:r>
        <w:rPr>
          <w:rFonts w:eastAsia="黑体"/>
          <w:bCs/>
          <w:color w:val="000000"/>
          <w:sz w:val="32"/>
          <w:szCs w:val="48"/>
          <w:u w:val="single"/>
        </w:rPr>
        <w:sym w:font="Wingdings 2" w:char="00A3"/>
      </w:r>
      <w:r>
        <w:rPr>
          <w:rFonts w:eastAsia="黑体"/>
          <w:bCs/>
          <w:color w:val="000000"/>
          <w:sz w:val="32"/>
          <w:szCs w:val="48"/>
          <w:u w:val="single"/>
        </w:rPr>
        <w:t xml:space="preserve"> 生产性服务业   </w:t>
      </w:r>
    </w:p>
    <w:p>
      <w:pPr>
        <w:spacing w:line="800" w:lineRule="exact"/>
        <w:ind w:firstLine="640" w:firstLineChars="200"/>
        <w:rPr>
          <w:rFonts w:eastAsia="黑体"/>
          <w:bCs/>
          <w:color w:val="000000"/>
          <w:sz w:val="32"/>
          <w:szCs w:val="48"/>
          <w:u w:val="single"/>
        </w:rPr>
      </w:pPr>
      <w:r>
        <w:rPr>
          <w:rFonts w:eastAsia="黑体"/>
          <w:bCs/>
          <w:color w:val="000000"/>
          <w:sz w:val="32"/>
          <w:szCs w:val="48"/>
        </w:rPr>
        <w:t xml:space="preserve">项目名称 </w:t>
      </w:r>
      <w:r>
        <w:rPr>
          <w:rFonts w:eastAsia="黑体"/>
          <w:bCs/>
          <w:color w:val="000000"/>
          <w:sz w:val="32"/>
          <w:szCs w:val="48"/>
          <w:u w:val="single"/>
        </w:rPr>
        <w:t xml:space="preserve">                                      </w:t>
      </w:r>
    </w:p>
    <w:p>
      <w:pPr>
        <w:spacing w:line="800" w:lineRule="exact"/>
        <w:ind w:firstLine="640" w:firstLineChars="200"/>
        <w:rPr>
          <w:rFonts w:eastAsia="黑体"/>
          <w:bCs/>
          <w:color w:val="000000"/>
          <w:sz w:val="32"/>
          <w:szCs w:val="48"/>
        </w:rPr>
      </w:pPr>
      <w:r>
        <w:rPr>
          <w:rFonts w:eastAsia="黑体"/>
          <w:bCs/>
          <w:color w:val="000000"/>
          <w:sz w:val="32"/>
          <w:szCs w:val="48"/>
        </w:rPr>
        <w:t xml:space="preserve">联 系 人 </w:t>
      </w:r>
      <w:r>
        <w:rPr>
          <w:rFonts w:eastAsia="黑体"/>
          <w:bCs/>
          <w:color w:val="000000"/>
          <w:sz w:val="32"/>
          <w:szCs w:val="48"/>
          <w:u w:val="single"/>
        </w:rPr>
        <w:t xml:space="preserve">             </w:t>
      </w:r>
      <w:r>
        <w:rPr>
          <w:rFonts w:eastAsia="黑体"/>
          <w:bCs/>
          <w:color w:val="000000"/>
          <w:sz w:val="32"/>
          <w:szCs w:val="48"/>
        </w:rPr>
        <w:t xml:space="preserve"> 联系电话 </w:t>
      </w:r>
      <w:r>
        <w:rPr>
          <w:rFonts w:eastAsia="黑体"/>
          <w:bCs/>
          <w:color w:val="000000"/>
          <w:sz w:val="32"/>
          <w:szCs w:val="48"/>
          <w:u w:val="single"/>
        </w:rPr>
        <w:t xml:space="preserve">               </w:t>
      </w:r>
    </w:p>
    <w:p>
      <w:pPr>
        <w:spacing w:line="800" w:lineRule="exact"/>
        <w:ind w:firstLine="640" w:firstLineChars="200"/>
        <w:rPr>
          <w:rFonts w:eastAsia="黑体"/>
          <w:color w:val="000000"/>
          <w:szCs w:val="32"/>
          <w:u w:val="single"/>
        </w:rPr>
      </w:pPr>
      <w:r>
        <w:rPr>
          <w:rFonts w:eastAsia="黑体"/>
          <w:bCs/>
          <w:color w:val="000000"/>
          <w:sz w:val="32"/>
          <w:szCs w:val="48"/>
        </w:rPr>
        <w:t xml:space="preserve">单位地址 </w:t>
      </w:r>
      <w:r>
        <w:rPr>
          <w:rFonts w:eastAsia="黑体"/>
          <w:bCs/>
          <w:color w:val="000000"/>
          <w:sz w:val="32"/>
          <w:szCs w:val="48"/>
          <w:u w:val="single"/>
        </w:rPr>
        <w:t xml:space="preserve">                                      </w:t>
      </w:r>
    </w:p>
    <w:p>
      <w:pPr>
        <w:spacing w:line="800" w:lineRule="exact"/>
        <w:rPr>
          <w:rFonts w:eastAsia="方正小标宋_GBK"/>
          <w:color w:val="000000"/>
          <w:szCs w:val="32"/>
          <w:u w:val="single"/>
        </w:rPr>
      </w:pPr>
    </w:p>
    <w:p>
      <w:pPr>
        <w:spacing w:line="800" w:lineRule="exact"/>
        <w:jc w:val="center"/>
        <w:rPr>
          <w:rFonts w:eastAsia="楷体_GB2312"/>
          <w:b/>
          <w:bCs/>
          <w:color w:val="000000"/>
          <w:sz w:val="36"/>
          <w:szCs w:val="36"/>
        </w:rPr>
      </w:pPr>
    </w:p>
    <w:p>
      <w:pPr>
        <w:spacing w:line="800" w:lineRule="exact"/>
        <w:jc w:val="center"/>
        <w:rPr>
          <w:rFonts w:eastAsia="楷体_GB2312"/>
          <w:bCs/>
          <w:color w:val="000000"/>
          <w:sz w:val="36"/>
          <w:szCs w:val="36"/>
        </w:rPr>
      </w:pPr>
      <w:r>
        <w:rPr>
          <w:rFonts w:eastAsia="楷体_GB2312"/>
          <w:bCs/>
          <w:color w:val="000000"/>
          <w:sz w:val="36"/>
          <w:szCs w:val="36"/>
        </w:rPr>
        <w:t>常州市发展和改革委员会</w:t>
      </w:r>
    </w:p>
    <w:p>
      <w:pPr>
        <w:spacing w:line="800" w:lineRule="exact"/>
        <w:jc w:val="center"/>
        <w:rPr>
          <w:rFonts w:eastAsia="楷体_GB2312"/>
          <w:bCs/>
          <w:color w:val="000000"/>
          <w:sz w:val="36"/>
          <w:szCs w:val="36"/>
        </w:rPr>
      </w:pPr>
      <w:r>
        <w:rPr>
          <w:rFonts w:eastAsia="楷体_GB2312"/>
          <w:bCs/>
          <w:color w:val="000000"/>
          <w:sz w:val="36"/>
          <w:szCs w:val="36"/>
        </w:rPr>
        <w:t>二</w:t>
      </w:r>
      <w:r>
        <w:rPr>
          <w:bCs/>
          <w:color w:val="000000"/>
          <w:sz w:val="36"/>
          <w:szCs w:val="36"/>
        </w:rPr>
        <w:t>〇</w:t>
      </w:r>
      <w:r>
        <w:rPr>
          <w:rFonts w:eastAsia="楷体_GB2312"/>
          <w:bCs/>
          <w:color w:val="000000"/>
          <w:sz w:val="36"/>
          <w:szCs w:val="36"/>
        </w:rPr>
        <w:t>二一年制</w:t>
      </w:r>
    </w:p>
    <w:p>
      <w:pPr>
        <w:spacing w:line="600" w:lineRule="exact"/>
        <w:jc w:val="center"/>
        <w:rPr>
          <w:rFonts w:eastAsia="方正小标宋简体"/>
          <w:color w:val="000000"/>
        </w:rPr>
      </w:pPr>
      <w:r>
        <w:rPr>
          <w:color w:val="000000"/>
        </w:rPr>
        <w:br w:type="page"/>
      </w:r>
      <w:r>
        <w:rPr>
          <w:rFonts w:eastAsia="方正小标宋简体"/>
          <w:color w:val="000000"/>
          <w:sz w:val="44"/>
          <w:szCs w:val="52"/>
        </w:rPr>
        <w:t>申报方案编制</w:t>
      </w:r>
      <w:r>
        <w:rPr>
          <w:rFonts w:eastAsia="方正小标宋简体"/>
          <w:color w:val="000000"/>
          <w:sz w:val="44"/>
          <w:szCs w:val="44"/>
        </w:rPr>
        <w:t>目录</w:t>
      </w:r>
    </w:p>
    <w:p>
      <w:pPr>
        <w:spacing w:line="560" w:lineRule="exact"/>
        <w:rPr>
          <w:rFonts w:eastAsia="仿宋_GB2312"/>
          <w:color w:val="000000"/>
          <w:sz w:val="32"/>
          <w:szCs w:val="48"/>
        </w:rPr>
      </w:pPr>
    </w:p>
    <w:p>
      <w:pPr>
        <w:spacing w:line="520" w:lineRule="exact"/>
        <w:ind w:firstLine="640" w:firstLineChars="200"/>
        <w:rPr>
          <w:rFonts w:eastAsia="黑体"/>
          <w:color w:val="000000"/>
          <w:sz w:val="32"/>
          <w:szCs w:val="48"/>
        </w:rPr>
      </w:pPr>
      <w:r>
        <w:rPr>
          <w:rFonts w:eastAsia="黑体"/>
          <w:color w:val="000000"/>
          <w:sz w:val="32"/>
          <w:szCs w:val="48"/>
        </w:rPr>
        <w:t>一、企业基本情况</w:t>
      </w:r>
    </w:p>
    <w:p>
      <w:pPr>
        <w:spacing w:line="520" w:lineRule="exact"/>
        <w:ind w:firstLine="640" w:firstLineChars="200"/>
        <w:rPr>
          <w:rFonts w:eastAsia="仿宋_GB2312"/>
          <w:color w:val="000000"/>
          <w:sz w:val="32"/>
          <w:szCs w:val="48"/>
        </w:rPr>
      </w:pPr>
      <w:r>
        <w:rPr>
          <w:rFonts w:eastAsia="仿宋_GB2312"/>
          <w:color w:val="000000"/>
          <w:sz w:val="32"/>
          <w:szCs w:val="48"/>
        </w:rPr>
        <w:t>1．2021年度市级“两业融合”示范企业申报表</w:t>
      </w:r>
    </w:p>
    <w:p>
      <w:pPr>
        <w:spacing w:line="520" w:lineRule="exact"/>
        <w:ind w:firstLine="640" w:firstLineChars="200"/>
        <w:rPr>
          <w:rFonts w:eastAsia="仿宋_GB2312"/>
          <w:color w:val="000000"/>
          <w:sz w:val="32"/>
          <w:szCs w:val="32"/>
        </w:rPr>
      </w:pPr>
      <w:r>
        <w:rPr>
          <w:rFonts w:eastAsia="仿宋_GB2312"/>
          <w:color w:val="000000"/>
          <w:sz w:val="32"/>
          <w:szCs w:val="48"/>
        </w:rPr>
        <w:t>2．</w:t>
      </w:r>
      <w:r>
        <w:rPr>
          <w:rFonts w:eastAsia="仿宋_GB2312"/>
          <w:color w:val="000000"/>
          <w:sz w:val="32"/>
          <w:szCs w:val="32"/>
        </w:rPr>
        <w:t>经会计师事务所出具的本企业验资报告和2020年度审计报告（合并）</w:t>
      </w:r>
    </w:p>
    <w:p>
      <w:pPr>
        <w:spacing w:line="560" w:lineRule="exact"/>
        <w:ind w:firstLine="640" w:firstLineChars="200"/>
        <w:rPr>
          <w:rFonts w:eastAsia="仿宋_GB2312"/>
          <w:color w:val="000000"/>
          <w:sz w:val="32"/>
          <w:szCs w:val="32"/>
        </w:rPr>
      </w:pPr>
      <w:r>
        <w:rPr>
          <w:rFonts w:eastAsia="仿宋_GB2312"/>
          <w:color w:val="000000"/>
          <w:sz w:val="32"/>
          <w:szCs w:val="32"/>
        </w:rPr>
        <w:t>3．企业营业执照副本、法定代表人身份证明文件</w:t>
      </w:r>
    </w:p>
    <w:p>
      <w:pPr>
        <w:spacing w:line="520" w:lineRule="exact"/>
        <w:ind w:firstLine="640" w:firstLineChars="200"/>
        <w:rPr>
          <w:rFonts w:eastAsia="黑体"/>
          <w:color w:val="000000"/>
          <w:sz w:val="32"/>
          <w:szCs w:val="48"/>
        </w:rPr>
      </w:pPr>
      <w:r>
        <w:rPr>
          <w:rFonts w:eastAsia="黑体"/>
          <w:color w:val="000000"/>
          <w:sz w:val="32"/>
          <w:szCs w:val="48"/>
        </w:rPr>
        <w:t>二、项目基本情况</w:t>
      </w:r>
    </w:p>
    <w:p>
      <w:pPr>
        <w:spacing w:line="520" w:lineRule="exact"/>
        <w:ind w:firstLine="640" w:firstLineChars="200"/>
        <w:rPr>
          <w:rFonts w:eastAsia="仿宋_GB2312"/>
          <w:color w:val="000000"/>
          <w:sz w:val="32"/>
          <w:szCs w:val="48"/>
        </w:rPr>
      </w:pPr>
      <w:r>
        <w:rPr>
          <w:rFonts w:eastAsia="仿宋_GB2312"/>
          <w:color w:val="000000"/>
          <w:sz w:val="32"/>
          <w:szCs w:val="48"/>
        </w:rPr>
        <w:t>1．项目建设内容、融合模式和建设计划</w:t>
      </w:r>
    </w:p>
    <w:p>
      <w:pPr>
        <w:spacing w:line="520" w:lineRule="exact"/>
        <w:ind w:firstLine="640" w:firstLineChars="200"/>
        <w:rPr>
          <w:rFonts w:eastAsia="仿宋_GB2312"/>
          <w:color w:val="000000"/>
          <w:sz w:val="32"/>
          <w:szCs w:val="48"/>
        </w:rPr>
      </w:pPr>
      <w:r>
        <w:rPr>
          <w:rFonts w:eastAsia="仿宋_GB2312"/>
          <w:color w:val="000000"/>
          <w:sz w:val="32"/>
          <w:szCs w:val="48"/>
        </w:rPr>
        <w:t>2．项目营业执照、核准（备案）批准文件、项目获得的规划许可证、土地证、施工许可证、环评批复、节能评估等项目实施的相关必要文件</w:t>
      </w:r>
    </w:p>
    <w:p>
      <w:pPr>
        <w:spacing w:line="520" w:lineRule="exact"/>
        <w:ind w:firstLine="640" w:firstLineChars="200"/>
        <w:rPr>
          <w:rFonts w:eastAsia="仿宋_GB2312"/>
          <w:color w:val="000000"/>
          <w:sz w:val="32"/>
          <w:szCs w:val="48"/>
        </w:rPr>
      </w:pPr>
      <w:r>
        <w:rPr>
          <w:rFonts w:eastAsia="仿宋_GB2312"/>
          <w:color w:val="000000"/>
          <w:sz w:val="32"/>
          <w:szCs w:val="48"/>
        </w:rPr>
        <w:t>3．项目总投资、年度计划投资和资金来源</w:t>
      </w:r>
    </w:p>
    <w:p>
      <w:pPr>
        <w:spacing w:line="520" w:lineRule="exact"/>
        <w:ind w:firstLine="640" w:firstLineChars="200"/>
        <w:rPr>
          <w:rFonts w:eastAsia="仿宋_GB2312"/>
          <w:color w:val="000000"/>
          <w:sz w:val="32"/>
          <w:szCs w:val="48"/>
        </w:rPr>
      </w:pPr>
      <w:r>
        <w:rPr>
          <w:rFonts w:eastAsia="仿宋_GB2312"/>
          <w:color w:val="000000"/>
          <w:sz w:val="32"/>
          <w:szCs w:val="48"/>
        </w:rPr>
        <w:t>4．项目实施的预期经济和社会效益</w:t>
      </w:r>
    </w:p>
    <w:p>
      <w:pPr>
        <w:spacing w:line="520" w:lineRule="exact"/>
        <w:ind w:firstLine="640" w:firstLineChars="200"/>
        <w:rPr>
          <w:rFonts w:eastAsia="黑体"/>
          <w:color w:val="000000"/>
          <w:sz w:val="32"/>
          <w:szCs w:val="48"/>
        </w:rPr>
      </w:pPr>
      <w:r>
        <w:rPr>
          <w:rFonts w:eastAsia="黑体"/>
          <w:color w:val="000000"/>
          <w:sz w:val="32"/>
          <w:szCs w:val="48"/>
        </w:rPr>
        <w:t>三、“两业融合”基本情况（</w:t>
      </w:r>
      <w:r>
        <w:rPr>
          <w:rFonts w:ascii="宋体"/>
          <w:color w:val="000000"/>
          <w:sz w:val="32"/>
          <w:szCs w:val="48"/>
        </w:rPr>
        <w:t>☆</w:t>
      </w:r>
      <w:r>
        <w:rPr>
          <w:rFonts w:eastAsia="黑体"/>
          <w:color w:val="000000"/>
          <w:sz w:val="32"/>
          <w:szCs w:val="48"/>
        </w:rPr>
        <w:t>重点介绍）</w:t>
      </w:r>
    </w:p>
    <w:p>
      <w:pPr>
        <w:spacing w:line="520" w:lineRule="exact"/>
        <w:ind w:firstLine="640" w:firstLineChars="200"/>
        <w:rPr>
          <w:rFonts w:eastAsia="仿宋_GB2312"/>
          <w:color w:val="000000"/>
          <w:sz w:val="32"/>
          <w:szCs w:val="48"/>
        </w:rPr>
      </w:pPr>
      <w:r>
        <w:rPr>
          <w:rFonts w:eastAsia="仿宋_GB2312"/>
          <w:color w:val="000000"/>
          <w:sz w:val="32"/>
          <w:szCs w:val="48"/>
        </w:rPr>
        <w:t>1．融合发展的主要目标、关键举措和预期经济社会效益</w:t>
      </w:r>
    </w:p>
    <w:p>
      <w:pPr>
        <w:spacing w:line="520" w:lineRule="exact"/>
        <w:ind w:firstLine="640" w:firstLineChars="200"/>
        <w:rPr>
          <w:rFonts w:eastAsia="仿宋_GB2312"/>
          <w:color w:val="000000"/>
          <w:sz w:val="32"/>
          <w:szCs w:val="48"/>
        </w:rPr>
      </w:pPr>
      <w:r>
        <w:rPr>
          <w:rFonts w:eastAsia="仿宋_GB2312"/>
          <w:color w:val="000000"/>
          <w:sz w:val="32"/>
          <w:szCs w:val="48"/>
        </w:rPr>
        <w:t>2．融合发展的创新模式、具体案例（包括业态、模式、路径等方面的创新内容）以及融合发展成果。具体案例须内容详实、条理清晰。</w:t>
      </w:r>
    </w:p>
    <w:p>
      <w:pPr>
        <w:spacing w:line="520" w:lineRule="exact"/>
        <w:ind w:firstLine="640" w:firstLineChars="200"/>
        <w:rPr>
          <w:rFonts w:eastAsia="黑体"/>
          <w:color w:val="000000"/>
          <w:sz w:val="32"/>
          <w:szCs w:val="48"/>
        </w:rPr>
      </w:pPr>
      <w:r>
        <w:rPr>
          <w:rFonts w:eastAsia="黑体"/>
          <w:color w:val="000000"/>
          <w:sz w:val="32"/>
          <w:szCs w:val="48"/>
        </w:rPr>
        <w:t>四、其他佐证材料</w:t>
      </w:r>
    </w:p>
    <w:p>
      <w:pPr>
        <w:spacing w:line="520" w:lineRule="exact"/>
        <w:ind w:firstLine="640" w:firstLineChars="200"/>
        <w:rPr>
          <w:rFonts w:eastAsia="仿宋_GB2312"/>
          <w:color w:val="000000"/>
          <w:sz w:val="32"/>
          <w:szCs w:val="48"/>
        </w:rPr>
      </w:pPr>
      <w:r>
        <w:rPr>
          <w:rFonts w:eastAsia="仿宋_GB2312"/>
          <w:color w:val="000000"/>
          <w:sz w:val="32"/>
          <w:szCs w:val="48"/>
        </w:rPr>
        <w:t>1．向其他企业提供</w:t>
      </w:r>
      <w:r>
        <w:rPr>
          <w:rFonts w:eastAsia="仿宋_GB2312"/>
          <w:color w:val="000000"/>
          <w:sz w:val="32"/>
          <w:szCs w:val="40"/>
        </w:rPr>
        <w:t>生产服务营业收入（或在细分行业市场占有率）及占当年度营业收入比重</w:t>
      </w:r>
      <w:r>
        <w:rPr>
          <w:rFonts w:eastAsia="仿宋_GB2312"/>
          <w:color w:val="000000"/>
          <w:sz w:val="32"/>
          <w:szCs w:val="48"/>
        </w:rPr>
        <w:t>的佐证（仅制造业企业提供）</w:t>
      </w:r>
    </w:p>
    <w:p>
      <w:pPr>
        <w:spacing w:line="520" w:lineRule="exact"/>
        <w:ind w:firstLine="640" w:firstLineChars="200"/>
        <w:rPr>
          <w:rFonts w:eastAsia="仿宋_GB2312"/>
          <w:color w:val="000000"/>
          <w:sz w:val="32"/>
          <w:szCs w:val="48"/>
        </w:rPr>
      </w:pPr>
      <w:r>
        <w:rPr>
          <w:rFonts w:eastAsia="仿宋_GB2312"/>
          <w:color w:val="000000"/>
          <w:sz w:val="32"/>
          <w:szCs w:val="48"/>
        </w:rPr>
        <w:t>2．向制造业企业提供生产服务</w:t>
      </w:r>
      <w:r>
        <w:rPr>
          <w:rFonts w:eastAsia="仿宋_GB2312"/>
          <w:color w:val="000000"/>
          <w:sz w:val="32"/>
          <w:szCs w:val="40"/>
        </w:rPr>
        <w:t>营业</w:t>
      </w:r>
      <w:r>
        <w:rPr>
          <w:rFonts w:eastAsia="仿宋_GB2312"/>
          <w:color w:val="000000"/>
          <w:sz w:val="32"/>
          <w:szCs w:val="48"/>
        </w:rPr>
        <w:t>收入及占当年度营业收入比重的佐证（仅生产性服务业企业提供）</w:t>
      </w:r>
    </w:p>
    <w:p>
      <w:pPr>
        <w:spacing w:line="520" w:lineRule="exact"/>
        <w:ind w:firstLine="640" w:firstLineChars="200"/>
        <w:rPr>
          <w:rFonts w:eastAsia="仿宋_GB2312"/>
          <w:color w:val="000000"/>
          <w:sz w:val="32"/>
          <w:szCs w:val="48"/>
        </w:rPr>
      </w:pPr>
      <w:r>
        <w:rPr>
          <w:rFonts w:eastAsia="仿宋_GB2312"/>
          <w:color w:val="000000"/>
          <w:sz w:val="32"/>
          <w:szCs w:val="48"/>
        </w:rPr>
        <w:t>3．人均发明专利拥有量情况的佐证（没有可不提供）</w:t>
      </w:r>
    </w:p>
    <w:p>
      <w:pPr>
        <w:spacing w:line="520" w:lineRule="exact"/>
        <w:ind w:firstLine="640" w:firstLineChars="200"/>
        <w:rPr>
          <w:rFonts w:eastAsia="仿宋_GB2312"/>
          <w:color w:val="000000"/>
          <w:sz w:val="32"/>
          <w:szCs w:val="48"/>
        </w:rPr>
      </w:pPr>
      <w:r>
        <w:rPr>
          <w:rFonts w:eastAsia="仿宋_GB2312"/>
          <w:color w:val="000000"/>
          <w:sz w:val="32"/>
          <w:szCs w:val="48"/>
        </w:rPr>
        <w:t>4．主持或参与国际、国家行业标准制定情况的佐证（没有可不提供）</w:t>
      </w:r>
    </w:p>
    <w:p>
      <w:pPr>
        <w:spacing w:line="520" w:lineRule="exact"/>
        <w:ind w:firstLine="640" w:firstLineChars="200"/>
        <w:rPr>
          <w:rFonts w:eastAsia="仿宋_GB2312"/>
          <w:color w:val="000000"/>
          <w:sz w:val="32"/>
          <w:szCs w:val="48"/>
        </w:rPr>
      </w:pPr>
      <w:r>
        <w:rPr>
          <w:rFonts w:eastAsia="仿宋_GB2312"/>
          <w:color w:val="000000"/>
          <w:sz w:val="32"/>
          <w:szCs w:val="48"/>
        </w:rPr>
        <w:t>5．省级以上研发或公共服务平台数量的佐证（没有可不提供）</w:t>
      </w:r>
    </w:p>
    <w:p>
      <w:pPr>
        <w:spacing w:line="520" w:lineRule="exact"/>
        <w:ind w:firstLine="640" w:firstLineChars="200"/>
        <w:rPr>
          <w:rFonts w:eastAsia="仿宋_GB2312"/>
          <w:color w:val="000000"/>
          <w:sz w:val="32"/>
          <w:szCs w:val="48"/>
        </w:rPr>
      </w:pPr>
      <w:r>
        <w:rPr>
          <w:rFonts w:eastAsia="仿宋_GB2312"/>
          <w:color w:val="000000"/>
          <w:sz w:val="32"/>
          <w:szCs w:val="48"/>
        </w:rPr>
        <w:t>6．认定为省级“两业”深度融合龙头骨干企业试点、省级以上高新技术企业、科技型企业或其他类似省级称号的佐证（没有可不提供）</w:t>
      </w:r>
    </w:p>
    <w:p>
      <w:pPr>
        <w:jc w:val="left"/>
        <w:rPr>
          <w:color w:val="000000"/>
          <w:sz w:val="32"/>
          <w:szCs w:val="40"/>
        </w:rPr>
        <w:sectPr>
          <w:footerReference r:id="rId3" w:type="default"/>
          <w:footerReference r:id="rId4" w:type="even"/>
          <w:pgSz w:w="11906" w:h="16838"/>
          <w:pgMar w:top="2098" w:right="1531" w:bottom="1984" w:left="1531" w:header="851" w:footer="992" w:gutter="0"/>
          <w:cols w:space="720" w:num="1"/>
          <w:docGrid w:type="lines" w:linePitch="312" w:charSpace="0"/>
        </w:sectPr>
      </w:pPr>
    </w:p>
    <w:p>
      <w:pPr>
        <w:spacing w:line="560" w:lineRule="exact"/>
        <w:jc w:val="center"/>
        <w:rPr>
          <w:rFonts w:eastAsia="方正小标宋简体"/>
          <w:color w:val="000000"/>
          <w:sz w:val="44"/>
          <w:szCs w:val="72"/>
        </w:rPr>
      </w:pPr>
      <w:r>
        <w:rPr>
          <w:rFonts w:eastAsia="方正小标宋简体"/>
          <w:color w:val="000000"/>
          <w:sz w:val="44"/>
          <w:szCs w:val="72"/>
        </w:rPr>
        <w:t>2021年市级“两业融合”示范企业申报表</w:t>
      </w:r>
    </w:p>
    <w:p>
      <w:pPr>
        <w:jc w:val="left"/>
        <w:rPr>
          <w:color w:val="000000"/>
          <w:sz w:val="15"/>
          <w:szCs w:val="18"/>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240"/>
        <w:gridCol w:w="984"/>
        <w:gridCol w:w="1488"/>
        <w:gridCol w:w="1008"/>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64" w:type="dxa"/>
            <w:vAlign w:val="center"/>
          </w:tcPr>
          <w:p>
            <w:pPr>
              <w:jc w:val="center"/>
              <w:rPr>
                <w:rFonts w:eastAsia="黑体"/>
                <w:color w:val="000000"/>
                <w:sz w:val="24"/>
                <w:szCs w:val="32"/>
              </w:rPr>
            </w:pPr>
            <w:r>
              <w:rPr>
                <w:rFonts w:eastAsia="黑体"/>
                <w:color w:val="000000"/>
                <w:sz w:val="24"/>
                <w:szCs w:val="32"/>
              </w:rPr>
              <w:t>指标类别</w:t>
            </w:r>
          </w:p>
        </w:tc>
        <w:tc>
          <w:tcPr>
            <w:tcW w:w="3240" w:type="dxa"/>
            <w:vAlign w:val="center"/>
          </w:tcPr>
          <w:p>
            <w:pPr>
              <w:jc w:val="center"/>
              <w:rPr>
                <w:rFonts w:eastAsia="黑体"/>
                <w:color w:val="000000"/>
                <w:sz w:val="24"/>
                <w:szCs w:val="32"/>
              </w:rPr>
            </w:pPr>
            <w:r>
              <w:rPr>
                <w:rFonts w:eastAsia="黑体"/>
                <w:color w:val="000000"/>
                <w:sz w:val="24"/>
                <w:szCs w:val="32"/>
              </w:rPr>
              <w:t>指标名称</w:t>
            </w:r>
          </w:p>
        </w:tc>
        <w:tc>
          <w:tcPr>
            <w:tcW w:w="4956" w:type="dxa"/>
            <w:gridSpan w:val="4"/>
            <w:vAlign w:val="center"/>
          </w:tcPr>
          <w:p>
            <w:pPr>
              <w:jc w:val="center"/>
              <w:rPr>
                <w:rFonts w:eastAsia="黑体"/>
                <w:color w:val="000000"/>
                <w:sz w:val="24"/>
                <w:szCs w:val="32"/>
              </w:rPr>
            </w:pPr>
            <w:r>
              <w:rPr>
                <w:rFonts w:eastAsia="黑体"/>
                <w:color w:val="000000"/>
                <w:sz w:val="24"/>
                <w:szCs w:val="32"/>
              </w:rPr>
              <w:t>填报指标值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基本情况</w:t>
            </w:r>
          </w:p>
        </w:tc>
        <w:tc>
          <w:tcPr>
            <w:tcW w:w="3240" w:type="dxa"/>
            <w:vAlign w:val="center"/>
          </w:tcPr>
          <w:p>
            <w:pPr>
              <w:spacing w:line="300" w:lineRule="exact"/>
              <w:jc w:val="center"/>
              <w:rPr>
                <w:rFonts w:eastAsia="仿宋_GB2312"/>
                <w:color w:val="000000"/>
                <w:sz w:val="24"/>
              </w:rPr>
            </w:pPr>
            <w:r>
              <w:rPr>
                <w:rFonts w:eastAsia="仿宋_GB2312"/>
                <w:color w:val="000000"/>
                <w:sz w:val="24"/>
              </w:rPr>
              <w:t>所属行业</w:t>
            </w:r>
          </w:p>
        </w:tc>
        <w:tc>
          <w:tcPr>
            <w:tcW w:w="4956" w:type="dxa"/>
            <w:gridSpan w:val="4"/>
            <w:vAlign w:val="center"/>
          </w:tcPr>
          <w:p>
            <w:pPr>
              <w:jc w:val="center"/>
              <w:rPr>
                <w:rFonts w:eastAsia="仿宋_GB2312"/>
                <w:color w:val="000000"/>
                <w:sz w:val="24"/>
              </w:rPr>
            </w:pPr>
            <w:r>
              <w:rPr>
                <w:rFonts w:eastAsia="仿宋_GB2312"/>
                <w:color w:val="000000"/>
                <w:sz w:val="24"/>
              </w:rPr>
              <w:sym w:font="Wingdings" w:char="00A8"/>
            </w:r>
            <w:r>
              <w:rPr>
                <w:rFonts w:eastAsia="仿宋_GB2312"/>
                <w:color w:val="000000"/>
                <w:sz w:val="24"/>
              </w:rPr>
              <w:t xml:space="preserve"> 先进制造业    </w:t>
            </w:r>
            <w:r>
              <w:rPr>
                <w:rFonts w:eastAsia="仿宋_GB2312"/>
                <w:color w:val="000000"/>
                <w:sz w:val="24"/>
              </w:rPr>
              <w:sym w:font="Wingdings" w:char="00A8"/>
            </w:r>
            <w:r>
              <w:rPr>
                <w:rFonts w:eastAsia="仿宋_GB2312"/>
                <w:color w:val="000000"/>
                <w:sz w:val="24"/>
              </w:rPr>
              <w:t xml:space="preserve"> 生产性服务业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注册资本（亿元）</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占地面积（万平方米）</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员工总人数（人）</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资产总额（亿元）</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经营情况</w:t>
            </w:r>
          </w:p>
        </w:tc>
        <w:tc>
          <w:tcPr>
            <w:tcW w:w="3240" w:type="dxa"/>
            <w:vAlign w:val="center"/>
          </w:tcPr>
          <w:p>
            <w:pPr>
              <w:spacing w:line="300" w:lineRule="exact"/>
              <w:jc w:val="center"/>
              <w:rPr>
                <w:rFonts w:eastAsia="仿宋_GB2312"/>
                <w:color w:val="000000"/>
                <w:sz w:val="24"/>
              </w:rPr>
            </w:pPr>
            <w:r>
              <w:rPr>
                <w:rFonts w:eastAsia="仿宋_GB2312"/>
                <w:color w:val="000000"/>
                <w:sz w:val="24"/>
              </w:rPr>
              <w:t>营业收入（亿元）</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营业收入增长率（%）</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利税总额（亿元）</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利润总额（亿元）</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实交税金（亿元）</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主要产品市场占有率</w:t>
            </w:r>
          </w:p>
          <w:p>
            <w:pPr>
              <w:spacing w:line="300" w:lineRule="exact"/>
              <w:jc w:val="center"/>
              <w:rPr>
                <w:rFonts w:eastAsia="仿宋_GB2312"/>
                <w:color w:val="000000"/>
                <w:sz w:val="24"/>
              </w:rPr>
            </w:pPr>
            <w:r>
              <w:rPr>
                <w:rFonts w:eastAsia="仿宋_GB2312"/>
                <w:color w:val="000000"/>
                <w:sz w:val="24"/>
              </w:rPr>
              <w:t>及国内排名</w:t>
            </w:r>
          </w:p>
        </w:tc>
        <w:tc>
          <w:tcPr>
            <w:tcW w:w="984" w:type="dxa"/>
            <w:vAlign w:val="center"/>
          </w:tcPr>
          <w:p>
            <w:pPr>
              <w:jc w:val="center"/>
              <w:rPr>
                <w:rFonts w:eastAsia="仿宋_GB2312"/>
                <w:color w:val="000000"/>
                <w:sz w:val="24"/>
              </w:rPr>
            </w:pPr>
            <w:r>
              <w:rPr>
                <w:rFonts w:eastAsia="仿宋_GB2312"/>
                <w:color w:val="000000"/>
                <w:sz w:val="24"/>
              </w:rPr>
              <w:t>占有率</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国内</w:t>
            </w:r>
          </w:p>
          <w:p>
            <w:pPr>
              <w:jc w:val="center"/>
              <w:rPr>
                <w:rFonts w:eastAsia="仿宋_GB2312"/>
                <w:color w:val="000000"/>
                <w:sz w:val="24"/>
              </w:rPr>
            </w:pPr>
            <w:r>
              <w:rPr>
                <w:rFonts w:eastAsia="仿宋_GB2312"/>
                <w:color w:val="000000"/>
                <w:sz w:val="24"/>
              </w:rPr>
              <w:t>排名</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两业融合情况</w:t>
            </w:r>
          </w:p>
        </w:tc>
        <w:tc>
          <w:tcPr>
            <w:tcW w:w="3240" w:type="dxa"/>
            <w:vMerge w:val="restart"/>
            <w:vAlign w:val="center"/>
          </w:tcPr>
          <w:p>
            <w:pPr>
              <w:spacing w:line="300" w:lineRule="exact"/>
              <w:jc w:val="center"/>
              <w:rPr>
                <w:rFonts w:eastAsia="仿宋_GB2312"/>
                <w:color w:val="000000"/>
                <w:sz w:val="24"/>
              </w:rPr>
            </w:pPr>
            <w:r>
              <w:rPr>
                <w:rFonts w:eastAsia="仿宋_GB2312"/>
                <w:color w:val="000000"/>
                <w:sz w:val="24"/>
              </w:rPr>
              <w:t>2020年度向企业提供生产服务收入占营业收入比重</w:t>
            </w:r>
          </w:p>
          <w:p>
            <w:pPr>
              <w:spacing w:line="300" w:lineRule="exact"/>
              <w:jc w:val="center"/>
              <w:rPr>
                <w:rFonts w:eastAsia="仿宋_GB2312"/>
                <w:color w:val="000000"/>
                <w:sz w:val="24"/>
              </w:rPr>
            </w:pPr>
            <w:r>
              <w:rPr>
                <w:rFonts w:eastAsia="仿宋_GB2312"/>
                <w:color w:val="000000"/>
                <w:sz w:val="24"/>
              </w:rPr>
              <w:t>（制造业企业填写此栏目）</w:t>
            </w:r>
          </w:p>
        </w:tc>
        <w:tc>
          <w:tcPr>
            <w:tcW w:w="2472" w:type="dxa"/>
            <w:gridSpan w:val="2"/>
            <w:vAlign w:val="center"/>
          </w:tcPr>
          <w:p>
            <w:pPr>
              <w:jc w:val="center"/>
              <w:rPr>
                <w:rFonts w:eastAsia="仿宋_GB2312"/>
                <w:color w:val="000000"/>
                <w:sz w:val="24"/>
              </w:rPr>
            </w:pPr>
            <w:r>
              <w:rPr>
                <w:rFonts w:eastAsia="仿宋_GB2312"/>
                <w:color w:val="000000"/>
                <w:sz w:val="24"/>
              </w:rPr>
              <w:t>收入（万元）</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continue"/>
            <w:vAlign w:val="center"/>
          </w:tcPr>
          <w:p>
            <w:pPr>
              <w:spacing w:line="300" w:lineRule="exact"/>
              <w:jc w:val="center"/>
              <w:rPr>
                <w:rFonts w:eastAsia="仿宋_GB2312"/>
                <w:color w:val="000000"/>
                <w:sz w:val="24"/>
              </w:rPr>
            </w:pPr>
          </w:p>
        </w:tc>
        <w:tc>
          <w:tcPr>
            <w:tcW w:w="2472" w:type="dxa"/>
            <w:gridSpan w:val="2"/>
            <w:vAlign w:val="center"/>
          </w:tcPr>
          <w:p>
            <w:pPr>
              <w:jc w:val="center"/>
              <w:rPr>
                <w:rFonts w:eastAsia="仿宋_GB2312"/>
                <w:color w:val="000000"/>
                <w:sz w:val="24"/>
              </w:rPr>
            </w:pPr>
            <w:r>
              <w:rPr>
                <w:rFonts w:eastAsia="仿宋_GB2312"/>
                <w:color w:val="000000"/>
                <w:sz w:val="24"/>
              </w:rPr>
              <w:t>占比（%）</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restart"/>
            <w:vAlign w:val="center"/>
          </w:tcPr>
          <w:p>
            <w:pPr>
              <w:spacing w:line="300" w:lineRule="exact"/>
              <w:jc w:val="center"/>
              <w:rPr>
                <w:rFonts w:eastAsia="仿宋_GB2312"/>
                <w:color w:val="000000"/>
                <w:sz w:val="24"/>
              </w:rPr>
            </w:pPr>
            <w:r>
              <w:rPr>
                <w:rFonts w:eastAsia="仿宋_GB2312"/>
                <w:color w:val="000000"/>
                <w:sz w:val="24"/>
              </w:rPr>
              <w:t>2020年度向制造业企业提供生产服务收入及占营业收入比重（生产性服务业企业填写此栏目）</w:t>
            </w:r>
          </w:p>
        </w:tc>
        <w:tc>
          <w:tcPr>
            <w:tcW w:w="2472" w:type="dxa"/>
            <w:gridSpan w:val="2"/>
            <w:vAlign w:val="center"/>
          </w:tcPr>
          <w:p>
            <w:pPr>
              <w:jc w:val="center"/>
              <w:rPr>
                <w:rFonts w:eastAsia="仿宋_GB2312"/>
                <w:color w:val="000000"/>
                <w:sz w:val="24"/>
              </w:rPr>
            </w:pPr>
            <w:r>
              <w:rPr>
                <w:rFonts w:eastAsia="仿宋_GB2312"/>
                <w:color w:val="000000"/>
                <w:sz w:val="24"/>
              </w:rPr>
              <w:t>收入（万元）</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64" w:type="dxa"/>
            <w:vMerge w:val="continue"/>
            <w:vAlign w:val="center"/>
          </w:tcPr>
          <w:p>
            <w:pPr>
              <w:jc w:val="center"/>
              <w:rPr>
                <w:rFonts w:eastAsia="仿宋_GB2312"/>
                <w:color w:val="000000"/>
                <w:sz w:val="24"/>
              </w:rPr>
            </w:pPr>
          </w:p>
        </w:tc>
        <w:tc>
          <w:tcPr>
            <w:tcW w:w="3240" w:type="dxa"/>
            <w:vMerge w:val="continue"/>
            <w:vAlign w:val="center"/>
          </w:tcPr>
          <w:p>
            <w:pPr>
              <w:spacing w:line="300" w:lineRule="exact"/>
              <w:jc w:val="center"/>
              <w:rPr>
                <w:rFonts w:eastAsia="仿宋_GB2312"/>
                <w:color w:val="000000"/>
                <w:sz w:val="24"/>
              </w:rPr>
            </w:pPr>
          </w:p>
        </w:tc>
        <w:tc>
          <w:tcPr>
            <w:tcW w:w="2472" w:type="dxa"/>
            <w:gridSpan w:val="2"/>
            <w:vAlign w:val="center"/>
          </w:tcPr>
          <w:p>
            <w:pPr>
              <w:jc w:val="center"/>
              <w:rPr>
                <w:rFonts w:eastAsia="仿宋_GB2312"/>
                <w:color w:val="000000"/>
                <w:sz w:val="24"/>
              </w:rPr>
            </w:pPr>
            <w:r>
              <w:rPr>
                <w:rFonts w:eastAsia="仿宋_GB2312"/>
                <w:color w:val="000000"/>
                <w:sz w:val="24"/>
              </w:rPr>
              <w:t>占比（%）</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项目情况</w:t>
            </w:r>
          </w:p>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项目名称</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建设地点</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总投资（万元）</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建设性质</w:t>
            </w:r>
          </w:p>
        </w:tc>
        <w:tc>
          <w:tcPr>
            <w:tcW w:w="4956" w:type="dxa"/>
            <w:gridSpan w:val="4"/>
            <w:vAlign w:val="center"/>
          </w:tcPr>
          <w:p>
            <w:pPr>
              <w:jc w:val="center"/>
              <w:rPr>
                <w:rFonts w:eastAsia="仿宋_GB2312"/>
                <w:color w:val="000000"/>
                <w:sz w:val="24"/>
              </w:rPr>
            </w:pPr>
            <w:r>
              <w:rPr>
                <w:rFonts w:eastAsia="仿宋_GB2312"/>
                <w:color w:val="000000"/>
                <w:sz w:val="24"/>
              </w:rPr>
              <w:sym w:font="Wingdings 2" w:char="00A3"/>
            </w:r>
            <w:r>
              <w:rPr>
                <w:rFonts w:eastAsia="仿宋_GB2312"/>
                <w:color w:val="000000"/>
                <w:sz w:val="24"/>
              </w:rPr>
              <w:t xml:space="preserve"> 新建    </w:t>
            </w:r>
            <w:r>
              <w:rPr>
                <w:rFonts w:eastAsia="仿宋_GB2312"/>
                <w:color w:val="000000"/>
                <w:sz w:val="24"/>
              </w:rPr>
              <w:sym w:font="Wingdings 2" w:char="00A3"/>
            </w:r>
            <w:r>
              <w:rPr>
                <w:rFonts w:eastAsia="仿宋_GB2312"/>
                <w:color w:val="000000"/>
                <w:sz w:val="24"/>
              </w:rPr>
              <w:t xml:space="preserve"> 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jc w:val="center"/>
              <w:rPr>
                <w:rFonts w:eastAsia="黑体"/>
                <w:color w:val="000000"/>
                <w:sz w:val="24"/>
                <w:szCs w:val="32"/>
              </w:rPr>
            </w:pPr>
            <w:r>
              <w:rPr>
                <w:rFonts w:eastAsia="黑体"/>
                <w:color w:val="000000"/>
                <w:sz w:val="24"/>
                <w:szCs w:val="32"/>
              </w:rPr>
              <w:t>指标类别</w:t>
            </w:r>
          </w:p>
        </w:tc>
        <w:tc>
          <w:tcPr>
            <w:tcW w:w="3240" w:type="dxa"/>
            <w:vAlign w:val="center"/>
          </w:tcPr>
          <w:p>
            <w:pPr>
              <w:jc w:val="center"/>
              <w:rPr>
                <w:rFonts w:eastAsia="黑体"/>
                <w:color w:val="000000"/>
                <w:sz w:val="24"/>
                <w:szCs w:val="32"/>
              </w:rPr>
            </w:pPr>
            <w:r>
              <w:rPr>
                <w:rFonts w:eastAsia="黑体"/>
                <w:color w:val="000000"/>
                <w:sz w:val="24"/>
                <w:szCs w:val="32"/>
              </w:rPr>
              <w:t>指标名称</w:t>
            </w:r>
          </w:p>
        </w:tc>
        <w:tc>
          <w:tcPr>
            <w:tcW w:w="4956" w:type="dxa"/>
            <w:gridSpan w:val="4"/>
            <w:vAlign w:val="center"/>
          </w:tcPr>
          <w:p>
            <w:pPr>
              <w:jc w:val="center"/>
              <w:rPr>
                <w:rFonts w:eastAsia="黑体"/>
                <w:color w:val="000000"/>
                <w:sz w:val="24"/>
                <w:szCs w:val="32"/>
              </w:rPr>
            </w:pPr>
            <w:r>
              <w:rPr>
                <w:rFonts w:eastAsia="黑体"/>
                <w:color w:val="000000"/>
                <w:sz w:val="24"/>
                <w:szCs w:val="32"/>
              </w:rPr>
              <w:t>填报内容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人才支撑</w:t>
            </w:r>
          </w:p>
        </w:tc>
        <w:tc>
          <w:tcPr>
            <w:tcW w:w="3240" w:type="dxa"/>
            <w:vMerge w:val="restart"/>
            <w:vAlign w:val="center"/>
          </w:tcPr>
          <w:p>
            <w:pPr>
              <w:spacing w:line="300" w:lineRule="exact"/>
              <w:jc w:val="center"/>
              <w:rPr>
                <w:rFonts w:eastAsia="仿宋_GB2312"/>
                <w:color w:val="000000"/>
                <w:sz w:val="24"/>
              </w:rPr>
            </w:pPr>
            <w:r>
              <w:rPr>
                <w:rFonts w:eastAsia="仿宋_GB2312"/>
                <w:color w:val="000000"/>
                <w:sz w:val="24"/>
              </w:rPr>
              <w:t>本科以上学历员工及占员工总人数的比重</w:t>
            </w:r>
          </w:p>
        </w:tc>
        <w:tc>
          <w:tcPr>
            <w:tcW w:w="2472" w:type="dxa"/>
            <w:gridSpan w:val="2"/>
            <w:vAlign w:val="center"/>
          </w:tcPr>
          <w:p>
            <w:pPr>
              <w:jc w:val="center"/>
              <w:rPr>
                <w:rFonts w:eastAsia="仿宋_GB2312"/>
                <w:color w:val="000000"/>
                <w:sz w:val="24"/>
              </w:rPr>
            </w:pPr>
            <w:r>
              <w:rPr>
                <w:rFonts w:eastAsia="仿宋_GB2312"/>
                <w:color w:val="000000"/>
                <w:sz w:val="24"/>
              </w:rPr>
              <w:t>人数（人）</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continue"/>
            <w:vAlign w:val="center"/>
          </w:tcPr>
          <w:p>
            <w:pPr>
              <w:spacing w:line="300" w:lineRule="exact"/>
              <w:jc w:val="center"/>
              <w:rPr>
                <w:rFonts w:eastAsia="仿宋_GB2312"/>
                <w:color w:val="000000"/>
                <w:sz w:val="24"/>
              </w:rPr>
            </w:pPr>
          </w:p>
        </w:tc>
        <w:tc>
          <w:tcPr>
            <w:tcW w:w="2472" w:type="dxa"/>
            <w:gridSpan w:val="2"/>
            <w:vAlign w:val="center"/>
          </w:tcPr>
          <w:p>
            <w:pPr>
              <w:jc w:val="center"/>
              <w:rPr>
                <w:rFonts w:eastAsia="仿宋_GB2312"/>
                <w:color w:val="000000"/>
                <w:sz w:val="24"/>
              </w:rPr>
            </w:pPr>
            <w:r>
              <w:rPr>
                <w:rFonts w:eastAsia="仿宋_GB2312"/>
                <w:color w:val="000000"/>
                <w:sz w:val="24"/>
              </w:rPr>
              <w:t>占比（%）</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restart"/>
            <w:vAlign w:val="center"/>
          </w:tcPr>
          <w:p>
            <w:pPr>
              <w:spacing w:line="300" w:lineRule="exact"/>
              <w:jc w:val="center"/>
              <w:rPr>
                <w:rFonts w:eastAsia="仿宋_GB2312"/>
                <w:color w:val="000000"/>
                <w:sz w:val="24"/>
              </w:rPr>
            </w:pPr>
            <w:r>
              <w:rPr>
                <w:rFonts w:eastAsia="仿宋_GB2312"/>
                <w:color w:val="000000"/>
                <w:sz w:val="24"/>
              </w:rPr>
              <w:t>企业研发人员及占员工总人数的比重</w:t>
            </w:r>
          </w:p>
        </w:tc>
        <w:tc>
          <w:tcPr>
            <w:tcW w:w="2472" w:type="dxa"/>
            <w:gridSpan w:val="2"/>
            <w:vAlign w:val="center"/>
          </w:tcPr>
          <w:p>
            <w:pPr>
              <w:jc w:val="center"/>
              <w:rPr>
                <w:rFonts w:eastAsia="仿宋_GB2312"/>
                <w:color w:val="000000"/>
                <w:sz w:val="24"/>
              </w:rPr>
            </w:pPr>
            <w:r>
              <w:rPr>
                <w:rFonts w:eastAsia="仿宋_GB2312"/>
                <w:color w:val="000000"/>
                <w:sz w:val="24"/>
              </w:rPr>
              <w:t>人数（人）</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continue"/>
            <w:vAlign w:val="center"/>
          </w:tcPr>
          <w:p>
            <w:pPr>
              <w:spacing w:line="300" w:lineRule="exact"/>
              <w:jc w:val="center"/>
              <w:rPr>
                <w:rFonts w:eastAsia="仿宋_GB2312"/>
                <w:color w:val="000000"/>
                <w:sz w:val="24"/>
              </w:rPr>
            </w:pPr>
          </w:p>
        </w:tc>
        <w:tc>
          <w:tcPr>
            <w:tcW w:w="2472" w:type="dxa"/>
            <w:gridSpan w:val="2"/>
            <w:vAlign w:val="center"/>
          </w:tcPr>
          <w:p>
            <w:pPr>
              <w:jc w:val="center"/>
              <w:rPr>
                <w:rFonts w:eastAsia="仿宋_GB2312"/>
                <w:color w:val="000000"/>
                <w:sz w:val="24"/>
              </w:rPr>
            </w:pPr>
            <w:r>
              <w:rPr>
                <w:rFonts w:eastAsia="仿宋_GB2312"/>
                <w:color w:val="000000"/>
                <w:sz w:val="24"/>
              </w:rPr>
              <w:t>占比（%）</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restart"/>
            <w:vAlign w:val="center"/>
          </w:tcPr>
          <w:p>
            <w:pPr>
              <w:spacing w:line="300" w:lineRule="exact"/>
              <w:jc w:val="center"/>
              <w:rPr>
                <w:rFonts w:eastAsia="仿宋_GB2312"/>
                <w:color w:val="000000"/>
                <w:sz w:val="24"/>
              </w:rPr>
            </w:pPr>
            <w:r>
              <w:rPr>
                <w:rFonts w:eastAsia="仿宋_GB2312"/>
                <w:color w:val="000000"/>
                <w:sz w:val="24"/>
              </w:rPr>
              <w:t>两业融合领域高级专家（省级企业技术中心标准）、博士</w:t>
            </w:r>
          </w:p>
        </w:tc>
        <w:tc>
          <w:tcPr>
            <w:tcW w:w="2472" w:type="dxa"/>
            <w:gridSpan w:val="2"/>
            <w:vAlign w:val="center"/>
          </w:tcPr>
          <w:p>
            <w:pPr>
              <w:jc w:val="center"/>
              <w:rPr>
                <w:rFonts w:eastAsia="仿宋_GB2312"/>
                <w:color w:val="000000"/>
                <w:sz w:val="24"/>
              </w:rPr>
            </w:pPr>
            <w:r>
              <w:rPr>
                <w:rFonts w:eastAsia="仿宋_GB2312"/>
                <w:color w:val="000000"/>
                <w:sz w:val="24"/>
              </w:rPr>
              <w:t>高级专家（人）</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Merge w:val="continue"/>
            <w:vAlign w:val="center"/>
          </w:tcPr>
          <w:p>
            <w:pPr>
              <w:jc w:val="center"/>
              <w:rPr>
                <w:rFonts w:eastAsia="仿宋_GB2312"/>
                <w:color w:val="000000"/>
                <w:sz w:val="24"/>
              </w:rPr>
            </w:pPr>
          </w:p>
        </w:tc>
        <w:tc>
          <w:tcPr>
            <w:tcW w:w="3240" w:type="dxa"/>
            <w:vMerge w:val="continue"/>
            <w:vAlign w:val="center"/>
          </w:tcPr>
          <w:p>
            <w:pPr>
              <w:spacing w:line="300" w:lineRule="exact"/>
              <w:jc w:val="center"/>
              <w:rPr>
                <w:rFonts w:eastAsia="仿宋_GB2312"/>
                <w:color w:val="000000"/>
                <w:sz w:val="24"/>
              </w:rPr>
            </w:pPr>
          </w:p>
        </w:tc>
        <w:tc>
          <w:tcPr>
            <w:tcW w:w="2472" w:type="dxa"/>
            <w:gridSpan w:val="2"/>
            <w:vAlign w:val="center"/>
          </w:tcPr>
          <w:p>
            <w:pPr>
              <w:jc w:val="center"/>
              <w:rPr>
                <w:rFonts w:eastAsia="仿宋_GB2312"/>
                <w:color w:val="000000"/>
                <w:sz w:val="24"/>
              </w:rPr>
            </w:pPr>
            <w:r>
              <w:rPr>
                <w:rFonts w:eastAsia="仿宋_GB2312"/>
                <w:color w:val="000000"/>
                <w:sz w:val="24"/>
              </w:rPr>
              <w:t>博士（人）</w:t>
            </w:r>
          </w:p>
        </w:tc>
        <w:tc>
          <w:tcPr>
            <w:tcW w:w="2484" w:type="dxa"/>
            <w:gridSpan w:val="2"/>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4" w:type="dxa"/>
            <w:vMerge w:val="restart"/>
            <w:vAlign w:val="center"/>
          </w:tcPr>
          <w:p>
            <w:pPr>
              <w:jc w:val="center"/>
              <w:rPr>
                <w:rFonts w:eastAsia="仿宋_GB2312"/>
                <w:color w:val="000000"/>
                <w:sz w:val="24"/>
              </w:rPr>
            </w:pPr>
            <w:r>
              <w:rPr>
                <w:rFonts w:eastAsia="仿宋_GB2312"/>
                <w:color w:val="000000"/>
                <w:sz w:val="24"/>
              </w:rPr>
              <w:t>科技创新</w:t>
            </w:r>
          </w:p>
        </w:tc>
        <w:tc>
          <w:tcPr>
            <w:tcW w:w="3240" w:type="dxa"/>
            <w:vAlign w:val="center"/>
          </w:tcPr>
          <w:p>
            <w:pPr>
              <w:spacing w:line="300" w:lineRule="exact"/>
              <w:jc w:val="center"/>
              <w:rPr>
                <w:rFonts w:eastAsia="仿宋_GB2312"/>
                <w:color w:val="000000"/>
                <w:sz w:val="24"/>
              </w:rPr>
            </w:pPr>
            <w:r>
              <w:rPr>
                <w:rFonts w:eastAsia="仿宋_GB2312"/>
                <w:color w:val="000000"/>
                <w:sz w:val="24"/>
              </w:rPr>
              <w:t>R&amp;D经费支出占当年度营业收入比重（%）</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企业信息化投入占当年度营业收入比重（%）</w:t>
            </w:r>
          </w:p>
        </w:tc>
        <w:tc>
          <w:tcPr>
            <w:tcW w:w="984" w:type="dxa"/>
            <w:vAlign w:val="center"/>
          </w:tcPr>
          <w:p>
            <w:pPr>
              <w:jc w:val="center"/>
              <w:rPr>
                <w:rFonts w:eastAsia="仿宋_GB2312"/>
                <w:color w:val="000000"/>
                <w:sz w:val="24"/>
              </w:rPr>
            </w:pPr>
            <w:r>
              <w:rPr>
                <w:rFonts w:eastAsia="仿宋_GB2312"/>
                <w:color w:val="000000"/>
                <w:sz w:val="24"/>
              </w:rPr>
              <w:t>2019年</w:t>
            </w:r>
          </w:p>
        </w:tc>
        <w:tc>
          <w:tcPr>
            <w:tcW w:w="1488" w:type="dxa"/>
            <w:vAlign w:val="center"/>
          </w:tcPr>
          <w:p>
            <w:pPr>
              <w:jc w:val="center"/>
              <w:rPr>
                <w:rFonts w:eastAsia="仿宋_GB2312"/>
                <w:color w:val="000000"/>
                <w:sz w:val="24"/>
              </w:rPr>
            </w:pPr>
          </w:p>
        </w:tc>
        <w:tc>
          <w:tcPr>
            <w:tcW w:w="1008" w:type="dxa"/>
            <w:vAlign w:val="center"/>
          </w:tcPr>
          <w:p>
            <w:pPr>
              <w:jc w:val="center"/>
              <w:rPr>
                <w:rFonts w:eastAsia="仿宋_GB2312"/>
                <w:color w:val="000000"/>
                <w:sz w:val="24"/>
              </w:rPr>
            </w:pPr>
            <w:r>
              <w:rPr>
                <w:rFonts w:eastAsia="仿宋_GB2312"/>
                <w:color w:val="000000"/>
                <w:sz w:val="24"/>
              </w:rPr>
              <w:t>2020年</w:t>
            </w:r>
          </w:p>
        </w:tc>
        <w:tc>
          <w:tcPr>
            <w:tcW w:w="1476" w:type="dxa"/>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人均发明专利拥有量情况</w:t>
            </w:r>
          </w:p>
          <w:p>
            <w:pPr>
              <w:spacing w:line="300" w:lineRule="exact"/>
              <w:jc w:val="center"/>
              <w:rPr>
                <w:rFonts w:eastAsia="仿宋_GB2312"/>
                <w:color w:val="000000"/>
                <w:sz w:val="24"/>
              </w:rPr>
            </w:pPr>
            <w:r>
              <w:rPr>
                <w:rFonts w:eastAsia="仿宋_GB2312"/>
                <w:color w:val="000000"/>
                <w:sz w:val="24"/>
              </w:rPr>
              <w:t>（件/万人）</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省级以上研发或公共服务</w:t>
            </w:r>
          </w:p>
          <w:p>
            <w:pPr>
              <w:spacing w:line="300" w:lineRule="exact"/>
              <w:jc w:val="center"/>
              <w:rPr>
                <w:rFonts w:eastAsia="仿宋_GB2312"/>
                <w:color w:val="000000"/>
                <w:sz w:val="24"/>
              </w:rPr>
            </w:pPr>
            <w:r>
              <w:rPr>
                <w:rFonts w:eastAsia="仿宋_GB2312"/>
                <w:color w:val="000000"/>
                <w:sz w:val="24"/>
              </w:rPr>
              <w:t>平台数量（个）</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pPr>
              <w:jc w:val="center"/>
              <w:rPr>
                <w:rFonts w:eastAsia="仿宋_GB2312"/>
                <w:color w:val="000000"/>
                <w:sz w:val="24"/>
              </w:rPr>
            </w:pPr>
          </w:p>
        </w:tc>
        <w:tc>
          <w:tcPr>
            <w:tcW w:w="3240" w:type="dxa"/>
            <w:vAlign w:val="center"/>
          </w:tcPr>
          <w:p>
            <w:pPr>
              <w:spacing w:line="300" w:lineRule="exact"/>
              <w:jc w:val="center"/>
              <w:rPr>
                <w:rFonts w:eastAsia="仿宋_GB2312"/>
                <w:color w:val="000000"/>
                <w:sz w:val="24"/>
              </w:rPr>
            </w:pPr>
            <w:r>
              <w:rPr>
                <w:rFonts w:eastAsia="仿宋_GB2312"/>
                <w:color w:val="000000"/>
                <w:sz w:val="24"/>
              </w:rPr>
              <w:t>认定为省级以上两业深度融合龙头骨干企业试点、高技术企业、科技型企业或其他类似称号数量（个）</w:t>
            </w:r>
          </w:p>
        </w:tc>
        <w:tc>
          <w:tcPr>
            <w:tcW w:w="4956" w:type="dxa"/>
            <w:gridSpan w:val="4"/>
            <w:vAlign w:val="center"/>
          </w:tcPr>
          <w:p>
            <w:pPr>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864" w:type="dxa"/>
            <w:vAlign w:val="center"/>
          </w:tcPr>
          <w:p>
            <w:pPr>
              <w:jc w:val="center"/>
              <w:rPr>
                <w:rFonts w:eastAsia="仿宋_GB2312"/>
                <w:color w:val="000000"/>
                <w:sz w:val="24"/>
              </w:rPr>
            </w:pPr>
            <w:r>
              <w:rPr>
                <w:rFonts w:eastAsia="仿宋_GB2312"/>
                <w:color w:val="000000"/>
                <w:sz w:val="24"/>
              </w:rPr>
              <w:t>申报企业申明</w:t>
            </w:r>
          </w:p>
        </w:tc>
        <w:tc>
          <w:tcPr>
            <w:tcW w:w="8196" w:type="dxa"/>
            <w:gridSpan w:val="5"/>
            <w:vAlign w:val="center"/>
          </w:tcPr>
          <w:p>
            <w:pPr>
              <w:ind w:firstLine="480" w:firstLineChars="200"/>
              <w:rPr>
                <w:rFonts w:eastAsia="仿宋_GB2312"/>
                <w:color w:val="000000"/>
                <w:sz w:val="24"/>
              </w:rPr>
            </w:pPr>
          </w:p>
          <w:p>
            <w:pPr>
              <w:spacing w:line="300" w:lineRule="exact"/>
              <w:ind w:firstLine="480" w:firstLineChars="200"/>
              <w:rPr>
                <w:rFonts w:eastAsia="仿宋_GB2312"/>
                <w:color w:val="000000"/>
                <w:sz w:val="24"/>
              </w:rPr>
            </w:pPr>
            <w:r>
              <w:rPr>
                <w:rFonts w:eastAsia="仿宋_GB2312"/>
                <w:color w:val="000000"/>
                <w:sz w:val="24"/>
              </w:rPr>
              <w:t>本公司经营规范，无违法违纪行为，申报市级“两业融合”示范企业全过程所有材料均依据相关申报要求据实提供，否则愿意承担相应的法律责任。</w:t>
            </w:r>
          </w:p>
          <w:p>
            <w:pPr>
              <w:spacing w:line="300" w:lineRule="exact"/>
              <w:jc w:val="center"/>
              <w:rPr>
                <w:rFonts w:eastAsia="仿宋_GB2312"/>
                <w:color w:val="000000"/>
                <w:sz w:val="24"/>
              </w:rPr>
            </w:pPr>
            <w:r>
              <w:rPr>
                <w:rFonts w:eastAsia="仿宋_GB2312"/>
                <w:color w:val="000000"/>
                <w:sz w:val="24"/>
              </w:rPr>
              <w:t>　　　　　　　　　　　</w:t>
            </w:r>
          </w:p>
          <w:p>
            <w:pPr>
              <w:spacing w:line="300" w:lineRule="exact"/>
              <w:ind w:firstLine="2160" w:firstLineChars="900"/>
              <w:rPr>
                <w:rFonts w:eastAsia="仿宋_GB2312"/>
                <w:color w:val="000000"/>
                <w:sz w:val="24"/>
              </w:rPr>
            </w:pPr>
            <w:r>
              <w:rPr>
                <w:rFonts w:eastAsia="仿宋_GB2312"/>
                <w:color w:val="000000"/>
                <w:sz w:val="24"/>
              </w:rPr>
              <w:t>法定代表人签字：</w:t>
            </w:r>
          </w:p>
          <w:p>
            <w:pPr>
              <w:spacing w:line="300" w:lineRule="exact"/>
              <w:rPr>
                <w:rFonts w:eastAsia="仿宋_GB2312"/>
                <w:color w:val="000000"/>
                <w:sz w:val="24"/>
              </w:rPr>
            </w:pPr>
            <w:r>
              <w:rPr>
                <w:rFonts w:eastAsia="仿宋_GB2312"/>
                <w:color w:val="000000"/>
                <w:sz w:val="24"/>
              </w:rPr>
              <w:t xml:space="preserve">　　　　　　　　　                       </w:t>
            </w:r>
          </w:p>
          <w:p>
            <w:pPr>
              <w:spacing w:line="300" w:lineRule="exact"/>
              <w:ind w:firstLine="4560" w:firstLineChars="1900"/>
              <w:rPr>
                <w:rFonts w:eastAsia="仿宋_GB2312"/>
                <w:color w:val="000000"/>
                <w:sz w:val="24"/>
              </w:rPr>
            </w:pPr>
            <w:r>
              <w:rPr>
                <w:rFonts w:eastAsia="仿宋_GB2312"/>
                <w:color w:val="000000"/>
                <w:sz w:val="24"/>
              </w:rPr>
              <w:t xml:space="preserve">（单位公章）     </w:t>
            </w:r>
          </w:p>
          <w:p>
            <w:pPr>
              <w:spacing w:line="300" w:lineRule="exact"/>
              <w:jc w:val="center"/>
              <w:rPr>
                <w:rFonts w:eastAsia="仿宋_GB2312"/>
                <w:color w:val="000000"/>
                <w:sz w:val="24"/>
              </w:rPr>
            </w:pPr>
            <w:r>
              <w:rPr>
                <w:rFonts w:eastAsia="仿宋_GB2312"/>
                <w:color w:val="000000"/>
                <w:sz w:val="24"/>
              </w:rPr>
              <w:t xml:space="preserve">                     </w:t>
            </w:r>
          </w:p>
          <w:p>
            <w:pPr>
              <w:spacing w:line="300" w:lineRule="exact"/>
              <w:jc w:val="center"/>
              <w:rPr>
                <w:rFonts w:eastAsia="仿宋_GB2312"/>
                <w:color w:val="000000"/>
                <w:sz w:val="24"/>
              </w:rPr>
            </w:pPr>
            <w:r>
              <w:rPr>
                <w:rFonts w:eastAsia="仿宋_GB2312"/>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00" w:lineRule="exact"/>
              <w:jc w:val="center"/>
              <w:rPr>
                <w:rFonts w:eastAsia="仿宋_GB2312"/>
                <w:color w:val="000000"/>
                <w:sz w:val="24"/>
              </w:rPr>
            </w:pPr>
            <w:r>
              <w:rPr>
                <w:rFonts w:eastAsia="仿宋_GB2312"/>
                <w:color w:val="000000"/>
                <w:sz w:val="24"/>
              </w:rPr>
              <w:t>辖市区发改部门审核意见</w:t>
            </w:r>
          </w:p>
        </w:tc>
        <w:tc>
          <w:tcPr>
            <w:tcW w:w="8196" w:type="dxa"/>
            <w:gridSpan w:val="5"/>
            <w:vAlign w:val="center"/>
          </w:tcPr>
          <w:p>
            <w:pPr>
              <w:ind w:firstLine="4320" w:firstLineChars="1800"/>
              <w:jc w:val="left"/>
              <w:rPr>
                <w:rFonts w:eastAsia="仿宋_GB2312"/>
                <w:color w:val="000000"/>
                <w:sz w:val="24"/>
              </w:rPr>
            </w:pPr>
          </w:p>
          <w:p>
            <w:pPr>
              <w:ind w:firstLine="4320" w:firstLineChars="1800"/>
              <w:jc w:val="left"/>
              <w:rPr>
                <w:rFonts w:eastAsia="仿宋_GB2312"/>
                <w:color w:val="000000"/>
                <w:sz w:val="24"/>
              </w:rPr>
            </w:pPr>
          </w:p>
          <w:p>
            <w:pPr>
              <w:ind w:firstLine="4320" w:firstLineChars="1800"/>
              <w:jc w:val="left"/>
              <w:rPr>
                <w:rFonts w:eastAsia="仿宋_GB2312"/>
                <w:color w:val="000000"/>
                <w:sz w:val="24"/>
              </w:rPr>
            </w:pPr>
          </w:p>
          <w:p>
            <w:pPr>
              <w:ind w:firstLine="4800" w:firstLineChars="2000"/>
              <w:jc w:val="left"/>
              <w:rPr>
                <w:rFonts w:eastAsia="仿宋_GB2312"/>
                <w:color w:val="000000"/>
                <w:sz w:val="24"/>
              </w:rPr>
            </w:pPr>
            <w:r>
              <w:rPr>
                <w:rFonts w:eastAsia="仿宋_GB2312"/>
                <w:color w:val="000000"/>
                <w:sz w:val="24"/>
              </w:rPr>
              <w:t>（盖章）</w:t>
            </w:r>
          </w:p>
          <w:p>
            <w:pPr>
              <w:jc w:val="center"/>
              <w:rPr>
                <w:rFonts w:eastAsia="仿宋_GB2312"/>
                <w:color w:val="000000"/>
                <w:sz w:val="24"/>
              </w:rPr>
            </w:pPr>
            <w:r>
              <w:rPr>
                <w:rFonts w:eastAsia="仿宋_GB2312"/>
                <w:color w:val="000000"/>
                <w:sz w:val="24"/>
              </w:rPr>
              <w:t xml:space="preserve">                    </w:t>
            </w:r>
          </w:p>
          <w:p>
            <w:pPr>
              <w:jc w:val="center"/>
              <w:rPr>
                <w:rFonts w:eastAsia="仿宋_GB2312"/>
                <w:color w:val="000000"/>
                <w:sz w:val="24"/>
              </w:rPr>
            </w:pPr>
            <w:r>
              <w:rPr>
                <w:rFonts w:eastAsia="仿宋_GB2312"/>
                <w:color w:val="000000"/>
                <w:sz w:val="24"/>
              </w:rPr>
              <w:t xml:space="preserve">                     年    月    日</w:t>
            </w:r>
          </w:p>
        </w:tc>
      </w:tr>
    </w:tbl>
    <w:p>
      <w:pPr>
        <w:jc w:val="left"/>
        <w:rPr>
          <w:color w:val="000000"/>
          <w:sz w:val="32"/>
          <w:szCs w:val="40"/>
        </w:rPr>
        <w:sectPr>
          <w:pgSz w:w="11906" w:h="16838"/>
          <w:pgMar w:top="2098" w:right="1531" w:bottom="1984" w:left="1531" w:header="851" w:footer="992" w:gutter="0"/>
          <w:cols w:space="720" w:num="1"/>
          <w:docGrid w:type="lines" w:linePitch="312" w:charSpace="0"/>
        </w:sectPr>
      </w:pPr>
    </w:p>
    <w:p>
      <w:pPr>
        <w:rPr>
          <w:rFonts w:eastAsia="黑体"/>
          <w:color w:val="000000"/>
          <w:sz w:val="32"/>
          <w:szCs w:val="48"/>
        </w:rPr>
      </w:pPr>
      <w:r>
        <w:rPr>
          <w:rFonts w:eastAsia="黑体"/>
          <w:color w:val="000000"/>
          <w:sz w:val="32"/>
          <w:szCs w:val="48"/>
        </w:rPr>
        <w:t>附件3-2</w:t>
      </w:r>
    </w:p>
    <w:p>
      <w:pPr>
        <w:jc w:val="center"/>
        <w:rPr>
          <w:rFonts w:eastAsia="方正小标宋简体"/>
          <w:color w:val="000000"/>
          <w:spacing w:val="-6"/>
          <w:sz w:val="44"/>
          <w:szCs w:val="52"/>
        </w:rPr>
      </w:pPr>
      <w:r>
        <w:rPr>
          <w:rFonts w:eastAsia="方正小标宋简体"/>
          <w:color w:val="000000"/>
          <w:spacing w:val="-6"/>
          <w:sz w:val="44"/>
          <w:szCs w:val="52"/>
        </w:rPr>
        <w:t>2021年市级“两业融合”示范企业辖市区推荐汇总表</w:t>
      </w:r>
    </w:p>
    <w:p>
      <w:pPr>
        <w:rPr>
          <w:rFonts w:eastAsia="方正楷体_GBK"/>
          <w:color w:val="000000"/>
          <w:sz w:val="28"/>
          <w:szCs w:val="44"/>
        </w:rPr>
      </w:pPr>
      <w:r>
        <w:rPr>
          <w:rFonts w:eastAsia="方正楷体_GBK"/>
          <w:color w:val="000000"/>
          <w:sz w:val="28"/>
          <w:szCs w:val="44"/>
        </w:rPr>
        <w:t>辖市区：                                                                             单位：万元、人、%</w:t>
      </w:r>
    </w:p>
    <w:tbl>
      <w:tblPr>
        <w:tblStyle w:val="15"/>
        <w:tblW w:w="5342" w:type="pct"/>
        <w:tblInd w:w="-5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388"/>
        <w:gridCol w:w="1066"/>
        <w:gridCol w:w="759"/>
        <w:gridCol w:w="1731"/>
        <w:gridCol w:w="1747"/>
        <w:gridCol w:w="751"/>
        <w:gridCol w:w="751"/>
        <w:gridCol w:w="751"/>
        <w:gridCol w:w="751"/>
        <w:gridCol w:w="751"/>
        <w:gridCol w:w="751"/>
        <w:gridCol w:w="751"/>
        <w:gridCol w:w="751"/>
        <w:gridCol w:w="751"/>
        <w:gridCol w:w="12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63" w:type="pct"/>
            <w:vMerge w:val="restart"/>
            <w:vAlign w:val="center"/>
          </w:tcPr>
          <w:p>
            <w:pPr>
              <w:widowControl/>
              <w:jc w:val="center"/>
              <w:rPr>
                <w:rFonts w:eastAsia="黑体"/>
                <w:color w:val="000000"/>
                <w:sz w:val="24"/>
              </w:rPr>
            </w:pPr>
            <w:r>
              <w:rPr>
                <w:rFonts w:eastAsia="黑体"/>
                <w:color w:val="000000"/>
                <w:sz w:val="24"/>
              </w:rPr>
              <w:t>序号</w:t>
            </w:r>
          </w:p>
        </w:tc>
        <w:tc>
          <w:tcPr>
            <w:tcW w:w="457" w:type="pct"/>
            <w:vMerge w:val="restart"/>
            <w:vAlign w:val="center"/>
          </w:tcPr>
          <w:p>
            <w:pPr>
              <w:widowControl/>
              <w:jc w:val="center"/>
              <w:rPr>
                <w:rFonts w:eastAsia="黑体"/>
                <w:color w:val="000000"/>
                <w:sz w:val="24"/>
              </w:rPr>
            </w:pPr>
            <w:r>
              <w:rPr>
                <w:rFonts w:eastAsia="黑体"/>
                <w:color w:val="000000"/>
                <w:sz w:val="24"/>
              </w:rPr>
              <w:t>企业名称</w:t>
            </w:r>
          </w:p>
        </w:tc>
        <w:tc>
          <w:tcPr>
            <w:tcW w:w="351" w:type="pct"/>
            <w:vMerge w:val="restart"/>
            <w:vAlign w:val="center"/>
          </w:tcPr>
          <w:p>
            <w:pPr>
              <w:widowControl/>
              <w:jc w:val="center"/>
              <w:rPr>
                <w:rFonts w:eastAsia="黑体"/>
                <w:color w:val="000000"/>
                <w:sz w:val="24"/>
              </w:rPr>
            </w:pPr>
            <w:r>
              <w:rPr>
                <w:rFonts w:eastAsia="黑体"/>
                <w:color w:val="000000"/>
                <w:sz w:val="24"/>
              </w:rPr>
              <w:t>所属类型</w:t>
            </w:r>
          </w:p>
        </w:tc>
        <w:tc>
          <w:tcPr>
            <w:tcW w:w="250" w:type="pct"/>
            <w:vMerge w:val="restart"/>
            <w:vAlign w:val="center"/>
          </w:tcPr>
          <w:p>
            <w:pPr>
              <w:widowControl/>
              <w:jc w:val="center"/>
              <w:rPr>
                <w:rFonts w:eastAsia="黑体"/>
                <w:color w:val="000000"/>
                <w:sz w:val="24"/>
              </w:rPr>
            </w:pPr>
            <w:r>
              <w:rPr>
                <w:rFonts w:eastAsia="黑体"/>
                <w:color w:val="000000"/>
                <w:sz w:val="24"/>
              </w:rPr>
              <w:t>注册资本</w:t>
            </w:r>
          </w:p>
        </w:tc>
        <w:tc>
          <w:tcPr>
            <w:tcW w:w="570" w:type="pct"/>
            <w:vMerge w:val="restart"/>
            <w:vAlign w:val="center"/>
          </w:tcPr>
          <w:p>
            <w:pPr>
              <w:widowControl/>
              <w:jc w:val="center"/>
              <w:rPr>
                <w:rFonts w:eastAsia="黑体"/>
                <w:color w:val="000000"/>
                <w:sz w:val="24"/>
              </w:rPr>
            </w:pPr>
            <w:r>
              <w:rPr>
                <w:rFonts w:eastAsia="黑体"/>
                <w:color w:val="000000"/>
                <w:sz w:val="24"/>
              </w:rPr>
              <w:t>企业融合模式介绍（不超过300字）</w:t>
            </w:r>
          </w:p>
        </w:tc>
        <w:tc>
          <w:tcPr>
            <w:tcW w:w="575" w:type="pct"/>
            <w:vMerge w:val="restart"/>
            <w:vAlign w:val="center"/>
          </w:tcPr>
          <w:p>
            <w:pPr>
              <w:widowControl/>
              <w:jc w:val="center"/>
              <w:rPr>
                <w:rFonts w:eastAsia="黑体"/>
                <w:color w:val="000000"/>
                <w:sz w:val="24"/>
              </w:rPr>
            </w:pPr>
            <w:r>
              <w:rPr>
                <w:rFonts w:eastAsia="黑体"/>
                <w:color w:val="000000"/>
                <w:sz w:val="24"/>
              </w:rPr>
              <w:t>项目融合模式介绍（不超过300字）</w:t>
            </w:r>
          </w:p>
        </w:tc>
        <w:tc>
          <w:tcPr>
            <w:tcW w:w="247" w:type="pct"/>
            <w:vAlign w:val="center"/>
          </w:tcPr>
          <w:p>
            <w:pPr>
              <w:widowControl/>
              <w:jc w:val="center"/>
              <w:rPr>
                <w:rFonts w:eastAsia="黑体"/>
                <w:color w:val="000000"/>
                <w:sz w:val="24"/>
              </w:rPr>
            </w:pPr>
            <w:r>
              <w:rPr>
                <w:rFonts w:eastAsia="黑体"/>
                <w:color w:val="000000"/>
                <w:sz w:val="24"/>
              </w:rPr>
              <w:t>营业收入总额</w:t>
            </w:r>
          </w:p>
        </w:tc>
        <w:tc>
          <w:tcPr>
            <w:tcW w:w="247" w:type="pct"/>
            <w:vAlign w:val="center"/>
          </w:tcPr>
          <w:p>
            <w:pPr>
              <w:widowControl/>
              <w:jc w:val="center"/>
              <w:rPr>
                <w:rFonts w:eastAsia="黑体"/>
                <w:color w:val="000000"/>
                <w:sz w:val="24"/>
              </w:rPr>
            </w:pPr>
            <w:r>
              <w:rPr>
                <w:rFonts w:eastAsia="黑体"/>
                <w:color w:val="000000"/>
                <w:sz w:val="24"/>
              </w:rPr>
              <w:t>营业收入增长率</w:t>
            </w:r>
          </w:p>
        </w:tc>
        <w:tc>
          <w:tcPr>
            <w:tcW w:w="247" w:type="pct"/>
            <w:vAlign w:val="center"/>
          </w:tcPr>
          <w:p>
            <w:pPr>
              <w:widowControl/>
              <w:jc w:val="center"/>
              <w:rPr>
                <w:rFonts w:eastAsia="黑体"/>
                <w:color w:val="000000"/>
                <w:sz w:val="24"/>
              </w:rPr>
            </w:pPr>
            <w:r>
              <w:rPr>
                <w:rFonts w:eastAsia="黑体"/>
                <w:color w:val="000000"/>
                <w:sz w:val="24"/>
              </w:rPr>
              <w:t>利税总额</w:t>
            </w:r>
          </w:p>
        </w:tc>
        <w:tc>
          <w:tcPr>
            <w:tcW w:w="247" w:type="pct"/>
            <w:vAlign w:val="center"/>
          </w:tcPr>
          <w:p>
            <w:pPr>
              <w:widowControl/>
              <w:jc w:val="center"/>
              <w:rPr>
                <w:rFonts w:eastAsia="黑体"/>
                <w:color w:val="000000"/>
                <w:sz w:val="24"/>
              </w:rPr>
            </w:pPr>
            <w:r>
              <w:rPr>
                <w:rFonts w:eastAsia="黑体"/>
                <w:color w:val="000000"/>
                <w:sz w:val="24"/>
              </w:rPr>
              <w:t>利润总额</w:t>
            </w:r>
          </w:p>
        </w:tc>
        <w:tc>
          <w:tcPr>
            <w:tcW w:w="247" w:type="pct"/>
            <w:vAlign w:val="center"/>
          </w:tcPr>
          <w:p>
            <w:pPr>
              <w:widowControl/>
              <w:jc w:val="center"/>
              <w:rPr>
                <w:rFonts w:eastAsia="黑体"/>
                <w:color w:val="000000"/>
                <w:sz w:val="24"/>
              </w:rPr>
            </w:pPr>
            <w:r>
              <w:rPr>
                <w:rFonts w:eastAsia="黑体"/>
                <w:color w:val="000000"/>
                <w:sz w:val="24"/>
              </w:rPr>
              <w:t>实交税金</w:t>
            </w:r>
          </w:p>
        </w:tc>
        <w:tc>
          <w:tcPr>
            <w:tcW w:w="247" w:type="pct"/>
            <w:vAlign w:val="center"/>
          </w:tcPr>
          <w:p>
            <w:pPr>
              <w:widowControl/>
              <w:jc w:val="center"/>
              <w:rPr>
                <w:rFonts w:eastAsia="黑体"/>
                <w:color w:val="000000"/>
                <w:sz w:val="24"/>
              </w:rPr>
            </w:pPr>
            <w:r>
              <w:rPr>
                <w:rFonts w:eastAsia="黑体"/>
                <w:color w:val="000000"/>
                <w:sz w:val="24"/>
              </w:rPr>
              <w:t>资产总额</w:t>
            </w:r>
          </w:p>
        </w:tc>
        <w:tc>
          <w:tcPr>
            <w:tcW w:w="247" w:type="pct"/>
            <w:vAlign w:val="center"/>
          </w:tcPr>
          <w:p>
            <w:pPr>
              <w:widowControl/>
              <w:jc w:val="center"/>
              <w:rPr>
                <w:rFonts w:eastAsia="黑体"/>
                <w:color w:val="000000"/>
                <w:sz w:val="24"/>
              </w:rPr>
            </w:pPr>
            <w:r>
              <w:rPr>
                <w:rFonts w:eastAsia="黑体"/>
                <w:color w:val="000000"/>
                <w:sz w:val="24"/>
              </w:rPr>
              <w:t>研发经费投入比例</w:t>
            </w:r>
          </w:p>
        </w:tc>
        <w:tc>
          <w:tcPr>
            <w:tcW w:w="247" w:type="pct"/>
            <w:vAlign w:val="center"/>
          </w:tcPr>
          <w:p>
            <w:pPr>
              <w:widowControl/>
              <w:jc w:val="center"/>
              <w:rPr>
                <w:rFonts w:eastAsia="黑体"/>
                <w:color w:val="000000"/>
                <w:sz w:val="24"/>
              </w:rPr>
            </w:pPr>
            <w:r>
              <w:rPr>
                <w:rFonts w:eastAsia="黑体"/>
                <w:color w:val="000000"/>
                <w:sz w:val="24"/>
              </w:rPr>
              <w:t>企业从业人员数</w:t>
            </w:r>
          </w:p>
        </w:tc>
        <w:tc>
          <w:tcPr>
            <w:tcW w:w="247" w:type="pct"/>
            <w:vAlign w:val="center"/>
          </w:tcPr>
          <w:p>
            <w:pPr>
              <w:widowControl/>
              <w:jc w:val="center"/>
              <w:rPr>
                <w:rFonts w:eastAsia="黑体"/>
                <w:color w:val="000000"/>
                <w:sz w:val="24"/>
              </w:rPr>
            </w:pPr>
            <w:r>
              <w:rPr>
                <w:rFonts w:eastAsia="黑体"/>
                <w:color w:val="000000"/>
                <w:sz w:val="24"/>
              </w:rPr>
              <w:t>企业研发人员比重</w:t>
            </w:r>
          </w:p>
        </w:tc>
        <w:tc>
          <w:tcPr>
            <w:tcW w:w="413" w:type="pct"/>
            <w:vMerge w:val="restart"/>
            <w:vAlign w:val="center"/>
          </w:tcPr>
          <w:p>
            <w:pPr>
              <w:widowControl/>
              <w:jc w:val="center"/>
              <w:rPr>
                <w:rFonts w:eastAsia="黑体"/>
                <w:color w:val="000000"/>
                <w:sz w:val="24"/>
              </w:rPr>
            </w:pPr>
            <w:r>
              <w:rPr>
                <w:rFonts w:eastAsia="黑体"/>
                <w:color w:val="000000"/>
                <w:sz w:val="24"/>
              </w:rPr>
              <w:t>联系人及</w:t>
            </w:r>
          </w:p>
          <w:p>
            <w:pPr>
              <w:widowControl/>
              <w:jc w:val="center"/>
              <w:rPr>
                <w:rFonts w:eastAsia="黑体"/>
                <w:color w:val="000000"/>
                <w:sz w:val="22"/>
              </w:rPr>
            </w:pPr>
            <w:r>
              <w:rPr>
                <w:rFonts w:eastAsia="黑体"/>
                <w:color w:val="000000"/>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3" w:type="pct"/>
            <w:vMerge w:val="continue"/>
            <w:vAlign w:val="center"/>
          </w:tcPr>
          <w:p>
            <w:pPr>
              <w:widowControl/>
              <w:jc w:val="left"/>
              <w:rPr>
                <w:rFonts w:eastAsia="黑体"/>
                <w:color w:val="000000"/>
                <w:sz w:val="22"/>
              </w:rPr>
            </w:pPr>
          </w:p>
        </w:tc>
        <w:tc>
          <w:tcPr>
            <w:tcW w:w="457" w:type="pct"/>
            <w:vMerge w:val="continue"/>
            <w:vAlign w:val="center"/>
          </w:tcPr>
          <w:p>
            <w:pPr>
              <w:widowControl/>
              <w:jc w:val="left"/>
              <w:rPr>
                <w:rFonts w:eastAsia="黑体"/>
                <w:color w:val="000000"/>
                <w:sz w:val="22"/>
              </w:rPr>
            </w:pPr>
          </w:p>
        </w:tc>
        <w:tc>
          <w:tcPr>
            <w:tcW w:w="351" w:type="pct"/>
            <w:vMerge w:val="continue"/>
            <w:vAlign w:val="center"/>
          </w:tcPr>
          <w:p>
            <w:pPr>
              <w:widowControl/>
              <w:jc w:val="left"/>
              <w:rPr>
                <w:rFonts w:eastAsia="黑体"/>
                <w:color w:val="000000"/>
                <w:sz w:val="22"/>
              </w:rPr>
            </w:pPr>
          </w:p>
        </w:tc>
        <w:tc>
          <w:tcPr>
            <w:tcW w:w="250" w:type="pct"/>
            <w:vMerge w:val="continue"/>
            <w:vAlign w:val="center"/>
          </w:tcPr>
          <w:p>
            <w:pPr>
              <w:widowControl/>
              <w:jc w:val="left"/>
              <w:rPr>
                <w:rFonts w:eastAsia="黑体"/>
                <w:color w:val="000000"/>
                <w:sz w:val="22"/>
              </w:rPr>
            </w:pPr>
          </w:p>
        </w:tc>
        <w:tc>
          <w:tcPr>
            <w:tcW w:w="570" w:type="pct"/>
            <w:vMerge w:val="continue"/>
            <w:vAlign w:val="center"/>
          </w:tcPr>
          <w:p>
            <w:pPr>
              <w:widowControl/>
              <w:jc w:val="left"/>
              <w:rPr>
                <w:rFonts w:eastAsia="黑体"/>
                <w:color w:val="000000"/>
                <w:sz w:val="22"/>
              </w:rPr>
            </w:pPr>
          </w:p>
        </w:tc>
        <w:tc>
          <w:tcPr>
            <w:tcW w:w="575" w:type="pct"/>
            <w:vMerge w:val="continue"/>
            <w:vAlign w:val="center"/>
          </w:tcPr>
          <w:p>
            <w:pPr>
              <w:widowControl/>
              <w:jc w:val="left"/>
              <w:rPr>
                <w:rFonts w:eastAsia="黑体"/>
                <w:color w:val="000000"/>
                <w:sz w:val="22"/>
              </w:rPr>
            </w:pP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247" w:type="pct"/>
            <w:vAlign w:val="center"/>
          </w:tcPr>
          <w:p>
            <w:pPr>
              <w:widowControl/>
              <w:jc w:val="center"/>
              <w:rPr>
                <w:rFonts w:eastAsia="黑体"/>
                <w:color w:val="000000"/>
                <w:sz w:val="24"/>
              </w:rPr>
            </w:pPr>
            <w:r>
              <w:rPr>
                <w:rFonts w:eastAsia="黑体"/>
                <w:color w:val="000000"/>
                <w:sz w:val="24"/>
              </w:rPr>
              <w:t>2020</w:t>
            </w:r>
          </w:p>
        </w:tc>
        <w:tc>
          <w:tcPr>
            <w:tcW w:w="413" w:type="pct"/>
            <w:vMerge w:val="continue"/>
            <w:vAlign w:val="center"/>
          </w:tcPr>
          <w:p>
            <w:pPr>
              <w:widowControl/>
              <w:jc w:val="left"/>
              <w:rPr>
                <w:rFonts w:eastAsia="黑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 w:type="pct"/>
            <w:vAlign w:val="center"/>
          </w:tcPr>
          <w:p>
            <w:pPr>
              <w:widowControl/>
              <w:spacing w:line="240" w:lineRule="exact"/>
              <w:jc w:val="center"/>
              <w:rPr>
                <w:color w:val="000000"/>
                <w:szCs w:val="21"/>
              </w:rPr>
            </w:pPr>
            <w:r>
              <w:rPr>
                <w:color w:val="000000"/>
                <w:szCs w:val="21"/>
              </w:rPr>
              <w:t>1</w:t>
            </w:r>
          </w:p>
        </w:tc>
        <w:tc>
          <w:tcPr>
            <w:tcW w:w="457" w:type="pct"/>
            <w:vAlign w:val="center"/>
          </w:tcPr>
          <w:p>
            <w:pPr>
              <w:widowControl/>
              <w:spacing w:line="240" w:lineRule="exact"/>
              <w:jc w:val="center"/>
              <w:rPr>
                <w:rFonts w:eastAsia="仿宋_GB2312"/>
                <w:color w:val="000000"/>
                <w:szCs w:val="21"/>
              </w:rPr>
            </w:pPr>
          </w:p>
          <w:p>
            <w:pPr>
              <w:widowControl/>
              <w:spacing w:line="240" w:lineRule="exact"/>
              <w:jc w:val="center"/>
              <w:rPr>
                <w:rFonts w:eastAsia="仿宋_GB2312"/>
                <w:color w:val="000000"/>
                <w:szCs w:val="21"/>
              </w:rPr>
            </w:pPr>
          </w:p>
        </w:tc>
        <w:tc>
          <w:tcPr>
            <w:tcW w:w="351" w:type="pct"/>
            <w:vAlign w:val="center"/>
          </w:tcPr>
          <w:p>
            <w:pPr>
              <w:widowControl/>
              <w:spacing w:line="240" w:lineRule="exact"/>
              <w:jc w:val="center"/>
              <w:rPr>
                <w:rFonts w:eastAsia="仿宋_GB2312"/>
                <w:color w:val="000000"/>
                <w:szCs w:val="21"/>
              </w:rPr>
            </w:pPr>
            <w:r>
              <w:rPr>
                <w:rFonts w:eastAsia="仿宋_GB2312"/>
                <w:color w:val="000000"/>
                <w:szCs w:val="21"/>
              </w:rPr>
              <w:t>先进制造业／生产性服务业</w:t>
            </w:r>
          </w:p>
        </w:tc>
        <w:tc>
          <w:tcPr>
            <w:tcW w:w="250" w:type="pct"/>
            <w:vAlign w:val="center"/>
          </w:tcPr>
          <w:p>
            <w:pPr>
              <w:widowControl/>
              <w:spacing w:line="240" w:lineRule="exact"/>
              <w:jc w:val="center"/>
              <w:rPr>
                <w:rFonts w:eastAsia="仿宋_GB2312"/>
                <w:color w:val="000000"/>
                <w:szCs w:val="21"/>
              </w:rPr>
            </w:pPr>
          </w:p>
        </w:tc>
        <w:tc>
          <w:tcPr>
            <w:tcW w:w="570" w:type="pct"/>
            <w:vAlign w:val="center"/>
          </w:tcPr>
          <w:p>
            <w:pPr>
              <w:widowControl/>
              <w:spacing w:line="240" w:lineRule="exact"/>
              <w:jc w:val="center"/>
              <w:rPr>
                <w:rFonts w:eastAsia="仿宋_GB2312"/>
                <w:color w:val="000000"/>
                <w:szCs w:val="21"/>
              </w:rPr>
            </w:pPr>
          </w:p>
        </w:tc>
        <w:tc>
          <w:tcPr>
            <w:tcW w:w="575" w:type="pct"/>
            <w:vAlign w:val="center"/>
          </w:tcPr>
          <w:p>
            <w:pPr>
              <w:widowControl/>
              <w:spacing w:line="240" w:lineRule="exact"/>
              <w:jc w:val="center"/>
              <w:rPr>
                <w:rFonts w:eastAsia="仿宋_GB2312"/>
                <w:color w:val="000000"/>
                <w:szCs w:val="21"/>
              </w:rPr>
            </w:pPr>
          </w:p>
          <w:p>
            <w:pPr>
              <w:widowControl/>
              <w:spacing w:line="240" w:lineRule="exact"/>
              <w:jc w:val="center"/>
              <w:rPr>
                <w:rFonts w:eastAsia="仿宋_GB2312"/>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413" w:type="pct"/>
            <w:noWrap/>
            <w:vAlign w:val="center"/>
          </w:tcPr>
          <w:p>
            <w:pPr>
              <w:widowControl/>
              <w:spacing w:line="240" w:lineRule="exact"/>
              <w:jc w:val="center"/>
              <w:rPr>
                <w:rFonts w:eastAsia="等线"/>
                <w:color w:val="000000"/>
                <w:szCs w:val="21"/>
              </w:rPr>
            </w:pPr>
          </w:p>
          <w:p>
            <w:pPr>
              <w:widowControl/>
              <w:spacing w:line="240" w:lineRule="exact"/>
              <w:jc w:val="center"/>
              <w:rPr>
                <w:rFonts w:eastAsia="等线"/>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3" w:type="pct"/>
            <w:vAlign w:val="center"/>
          </w:tcPr>
          <w:p>
            <w:pPr>
              <w:widowControl/>
              <w:spacing w:line="240" w:lineRule="exact"/>
              <w:jc w:val="center"/>
              <w:rPr>
                <w:color w:val="000000"/>
                <w:szCs w:val="21"/>
              </w:rPr>
            </w:pPr>
            <w:r>
              <w:rPr>
                <w:color w:val="000000"/>
                <w:szCs w:val="21"/>
              </w:rPr>
              <w:t>2</w:t>
            </w:r>
          </w:p>
        </w:tc>
        <w:tc>
          <w:tcPr>
            <w:tcW w:w="457" w:type="pct"/>
            <w:vAlign w:val="center"/>
          </w:tcPr>
          <w:p>
            <w:pPr>
              <w:widowControl/>
              <w:spacing w:line="240" w:lineRule="exact"/>
              <w:jc w:val="center"/>
              <w:rPr>
                <w:rFonts w:eastAsia="仿宋_GB2312"/>
                <w:color w:val="000000"/>
                <w:szCs w:val="21"/>
              </w:rPr>
            </w:pPr>
          </w:p>
        </w:tc>
        <w:tc>
          <w:tcPr>
            <w:tcW w:w="351" w:type="pct"/>
            <w:vAlign w:val="center"/>
          </w:tcPr>
          <w:p>
            <w:pPr>
              <w:widowControl/>
              <w:spacing w:line="240" w:lineRule="exact"/>
              <w:jc w:val="center"/>
              <w:rPr>
                <w:rFonts w:eastAsia="仿宋_GB2312"/>
                <w:color w:val="000000"/>
                <w:szCs w:val="21"/>
              </w:rPr>
            </w:pPr>
          </w:p>
        </w:tc>
        <w:tc>
          <w:tcPr>
            <w:tcW w:w="250" w:type="pct"/>
            <w:vAlign w:val="center"/>
          </w:tcPr>
          <w:p>
            <w:pPr>
              <w:widowControl/>
              <w:spacing w:line="240" w:lineRule="exact"/>
              <w:jc w:val="center"/>
              <w:rPr>
                <w:rFonts w:eastAsia="仿宋_GB2312"/>
                <w:color w:val="000000"/>
                <w:szCs w:val="21"/>
              </w:rPr>
            </w:pPr>
          </w:p>
        </w:tc>
        <w:tc>
          <w:tcPr>
            <w:tcW w:w="570" w:type="pct"/>
            <w:vAlign w:val="center"/>
          </w:tcPr>
          <w:p>
            <w:pPr>
              <w:widowControl/>
              <w:spacing w:line="240" w:lineRule="exact"/>
              <w:jc w:val="center"/>
              <w:rPr>
                <w:rFonts w:eastAsia="仿宋_GB2312"/>
                <w:color w:val="000000"/>
                <w:szCs w:val="21"/>
              </w:rPr>
            </w:pPr>
          </w:p>
        </w:tc>
        <w:tc>
          <w:tcPr>
            <w:tcW w:w="575" w:type="pct"/>
            <w:vAlign w:val="center"/>
          </w:tcPr>
          <w:p>
            <w:pPr>
              <w:widowControl/>
              <w:spacing w:line="240" w:lineRule="exact"/>
              <w:jc w:val="center"/>
              <w:rPr>
                <w:rFonts w:eastAsia="仿宋_GB2312"/>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413" w:type="pct"/>
            <w:noWrap/>
            <w:vAlign w:val="center"/>
          </w:tcPr>
          <w:p>
            <w:pPr>
              <w:widowControl/>
              <w:spacing w:line="240" w:lineRule="exact"/>
              <w:jc w:val="center"/>
              <w:rPr>
                <w:rFonts w:eastAsia="等线"/>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3" w:type="pct"/>
            <w:vAlign w:val="center"/>
          </w:tcPr>
          <w:p>
            <w:pPr>
              <w:widowControl/>
              <w:spacing w:line="240" w:lineRule="exact"/>
              <w:jc w:val="center"/>
              <w:rPr>
                <w:color w:val="000000"/>
                <w:szCs w:val="21"/>
              </w:rPr>
            </w:pPr>
            <w:r>
              <w:rPr>
                <w:color w:val="000000"/>
                <w:szCs w:val="21"/>
              </w:rPr>
              <w:t>3</w:t>
            </w:r>
          </w:p>
        </w:tc>
        <w:tc>
          <w:tcPr>
            <w:tcW w:w="457" w:type="pct"/>
            <w:vAlign w:val="center"/>
          </w:tcPr>
          <w:p>
            <w:pPr>
              <w:widowControl/>
              <w:spacing w:line="240" w:lineRule="exact"/>
              <w:jc w:val="center"/>
              <w:rPr>
                <w:rFonts w:eastAsia="仿宋_GB2312"/>
                <w:color w:val="000000"/>
                <w:szCs w:val="21"/>
              </w:rPr>
            </w:pPr>
          </w:p>
        </w:tc>
        <w:tc>
          <w:tcPr>
            <w:tcW w:w="351" w:type="pct"/>
            <w:vAlign w:val="center"/>
          </w:tcPr>
          <w:p>
            <w:pPr>
              <w:widowControl/>
              <w:spacing w:line="240" w:lineRule="exact"/>
              <w:jc w:val="center"/>
              <w:rPr>
                <w:rFonts w:eastAsia="仿宋_GB2312"/>
                <w:color w:val="000000"/>
                <w:szCs w:val="21"/>
              </w:rPr>
            </w:pPr>
          </w:p>
        </w:tc>
        <w:tc>
          <w:tcPr>
            <w:tcW w:w="250" w:type="pct"/>
            <w:vAlign w:val="center"/>
          </w:tcPr>
          <w:p>
            <w:pPr>
              <w:widowControl/>
              <w:spacing w:line="240" w:lineRule="exact"/>
              <w:jc w:val="center"/>
              <w:rPr>
                <w:rFonts w:eastAsia="仿宋_GB2312"/>
                <w:color w:val="000000"/>
                <w:szCs w:val="21"/>
              </w:rPr>
            </w:pPr>
          </w:p>
        </w:tc>
        <w:tc>
          <w:tcPr>
            <w:tcW w:w="570" w:type="pct"/>
            <w:vAlign w:val="center"/>
          </w:tcPr>
          <w:p>
            <w:pPr>
              <w:widowControl/>
              <w:spacing w:line="240" w:lineRule="exact"/>
              <w:jc w:val="center"/>
              <w:rPr>
                <w:rFonts w:eastAsia="仿宋_GB2312"/>
                <w:color w:val="000000"/>
                <w:szCs w:val="21"/>
              </w:rPr>
            </w:pPr>
          </w:p>
        </w:tc>
        <w:tc>
          <w:tcPr>
            <w:tcW w:w="575" w:type="pct"/>
            <w:vAlign w:val="center"/>
          </w:tcPr>
          <w:p>
            <w:pPr>
              <w:widowControl/>
              <w:spacing w:line="240" w:lineRule="exact"/>
              <w:jc w:val="center"/>
              <w:rPr>
                <w:rFonts w:eastAsia="仿宋_GB2312"/>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413" w:type="pct"/>
            <w:noWrap/>
            <w:vAlign w:val="center"/>
          </w:tcPr>
          <w:p>
            <w:pPr>
              <w:widowControl/>
              <w:spacing w:line="240" w:lineRule="exact"/>
              <w:jc w:val="center"/>
              <w:rPr>
                <w:rFonts w:eastAsia="等线"/>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63" w:type="pct"/>
            <w:vAlign w:val="center"/>
          </w:tcPr>
          <w:p>
            <w:pPr>
              <w:widowControl/>
              <w:spacing w:line="240" w:lineRule="exact"/>
              <w:jc w:val="center"/>
              <w:rPr>
                <w:color w:val="000000"/>
                <w:szCs w:val="21"/>
              </w:rPr>
            </w:pPr>
            <w:r>
              <w:rPr>
                <w:color w:val="000000"/>
                <w:szCs w:val="21"/>
              </w:rPr>
              <w:t>4</w:t>
            </w:r>
          </w:p>
        </w:tc>
        <w:tc>
          <w:tcPr>
            <w:tcW w:w="457" w:type="pct"/>
            <w:vAlign w:val="center"/>
          </w:tcPr>
          <w:p>
            <w:pPr>
              <w:widowControl/>
              <w:spacing w:line="240" w:lineRule="exact"/>
              <w:jc w:val="center"/>
              <w:rPr>
                <w:rFonts w:eastAsia="仿宋_GB2312"/>
                <w:color w:val="000000"/>
                <w:szCs w:val="21"/>
              </w:rPr>
            </w:pPr>
          </w:p>
        </w:tc>
        <w:tc>
          <w:tcPr>
            <w:tcW w:w="351" w:type="pct"/>
            <w:vAlign w:val="center"/>
          </w:tcPr>
          <w:p>
            <w:pPr>
              <w:widowControl/>
              <w:spacing w:line="240" w:lineRule="exact"/>
              <w:jc w:val="center"/>
              <w:rPr>
                <w:rFonts w:eastAsia="仿宋_GB2312"/>
                <w:color w:val="000000"/>
                <w:szCs w:val="21"/>
              </w:rPr>
            </w:pPr>
          </w:p>
        </w:tc>
        <w:tc>
          <w:tcPr>
            <w:tcW w:w="250" w:type="pct"/>
            <w:vAlign w:val="center"/>
          </w:tcPr>
          <w:p>
            <w:pPr>
              <w:widowControl/>
              <w:spacing w:line="240" w:lineRule="exact"/>
              <w:jc w:val="center"/>
              <w:rPr>
                <w:rFonts w:eastAsia="仿宋_GB2312"/>
                <w:color w:val="000000"/>
                <w:szCs w:val="21"/>
              </w:rPr>
            </w:pPr>
          </w:p>
        </w:tc>
        <w:tc>
          <w:tcPr>
            <w:tcW w:w="570" w:type="pct"/>
            <w:vAlign w:val="center"/>
          </w:tcPr>
          <w:p>
            <w:pPr>
              <w:widowControl/>
              <w:spacing w:line="240" w:lineRule="exact"/>
              <w:jc w:val="center"/>
              <w:rPr>
                <w:rFonts w:eastAsia="仿宋_GB2312"/>
                <w:color w:val="000000"/>
                <w:szCs w:val="21"/>
              </w:rPr>
            </w:pPr>
          </w:p>
        </w:tc>
        <w:tc>
          <w:tcPr>
            <w:tcW w:w="575" w:type="pct"/>
            <w:vAlign w:val="center"/>
          </w:tcPr>
          <w:p>
            <w:pPr>
              <w:widowControl/>
              <w:spacing w:line="240" w:lineRule="exact"/>
              <w:jc w:val="center"/>
              <w:rPr>
                <w:rFonts w:eastAsia="仿宋_GB2312"/>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413" w:type="pct"/>
            <w:noWrap/>
            <w:vAlign w:val="center"/>
          </w:tcPr>
          <w:p>
            <w:pPr>
              <w:widowControl/>
              <w:spacing w:line="240" w:lineRule="exact"/>
              <w:jc w:val="center"/>
              <w:rPr>
                <w:rFonts w:eastAsia="等线"/>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3" w:type="pct"/>
            <w:vAlign w:val="center"/>
          </w:tcPr>
          <w:p>
            <w:pPr>
              <w:widowControl/>
              <w:spacing w:line="240" w:lineRule="exact"/>
              <w:jc w:val="center"/>
              <w:rPr>
                <w:color w:val="000000"/>
                <w:szCs w:val="21"/>
              </w:rPr>
            </w:pPr>
            <w:r>
              <w:rPr>
                <w:color w:val="000000"/>
                <w:szCs w:val="21"/>
              </w:rPr>
              <w:t>5</w:t>
            </w:r>
          </w:p>
        </w:tc>
        <w:tc>
          <w:tcPr>
            <w:tcW w:w="457" w:type="pct"/>
            <w:vAlign w:val="center"/>
          </w:tcPr>
          <w:p>
            <w:pPr>
              <w:widowControl/>
              <w:spacing w:line="240" w:lineRule="exact"/>
              <w:jc w:val="center"/>
              <w:rPr>
                <w:rFonts w:eastAsia="仿宋_GB2312"/>
                <w:color w:val="000000"/>
                <w:szCs w:val="21"/>
              </w:rPr>
            </w:pPr>
          </w:p>
        </w:tc>
        <w:tc>
          <w:tcPr>
            <w:tcW w:w="351" w:type="pct"/>
            <w:vAlign w:val="center"/>
          </w:tcPr>
          <w:p>
            <w:pPr>
              <w:widowControl/>
              <w:spacing w:line="240" w:lineRule="exact"/>
              <w:jc w:val="center"/>
              <w:rPr>
                <w:rFonts w:eastAsia="仿宋_GB2312"/>
                <w:color w:val="000000"/>
                <w:szCs w:val="21"/>
              </w:rPr>
            </w:pPr>
          </w:p>
        </w:tc>
        <w:tc>
          <w:tcPr>
            <w:tcW w:w="250" w:type="pct"/>
            <w:vAlign w:val="center"/>
          </w:tcPr>
          <w:p>
            <w:pPr>
              <w:widowControl/>
              <w:spacing w:line="240" w:lineRule="exact"/>
              <w:jc w:val="center"/>
              <w:rPr>
                <w:rFonts w:eastAsia="仿宋_GB2312"/>
                <w:color w:val="000000"/>
                <w:szCs w:val="21"/>
              </w:rPr>
            </w:pPr>
          </w:p>
        </w:tc>
        <w:tc>
          <w:tcPr>
            <w:tcW w:w="570" w:type="pct"/>
            <w:vAlign w:val="center"/>
          </w:tcPr>
          <w:p>
            <w:pPr>
              <w:widowControl/>
              <w:spacing w:line="240" w:lineRule="exact"/>
              <w:jc w:val="center"/>
              <w:rPr>
                <w:rFonts w:eastAsia="仿宋_GB2312"/>
                <w:color w:val="000000"/>
                <w:szCs w:val="21"/>
              </w:rPr>
            </w:pPr>
          </w:p>
        </w:tc>
        <w:tc>
          <w:tcPr>
            <w:tcW w:w="575" w:type="pct"/>
            <w:vAlign w:val="center"/>
          </w:tcPr>
          <w:p>
            <w:pPr>
              <w:widowControl/>
              <w:spacing w:line="240" w:lineRule="exact"/>
              <w:jc w:val="center"/>
              <w:rPr>
                <w:rFonts w:eastAsia="仿宋_GB2312"/>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247" w:type="pct"/>
            <w:noWrap/>
            <w:vAlign w:val="center"/>
          </w:tcPr>
          <w:p>
            <w:pPr>
              <w:widowControl/>
              <w:spacing w:line="240" w:lineRule="exact"/>
              <w:jc w:val="center"/>
              <w:rPr>
                <w:rFonts w:eastAsia="等线"/>
                <w:color w:val="000000"/>
                <w:szCs w:val="21"/>
              </w:rPr>
            </w:pPr>
          </w:p>
        </w:tc>
        <w:tc>
          <w:tcPr>
            <w:tcW w:w="413" w:type="pct"/>
            <w:noWrap/>
            <w:vAlign w:val="center"/>
          </w:tcPr>
          <w:p>
            <w:pPr>
              <w:widowControl/>
              <w:spacing w:line="240" w:lineRule="exact"/>
              <w:jc w:val="center"/>
              <w:rPr>
                <w:rFonts w:eastAsia="等线"/>
                <w:color w:val="000000"/>
                <w:szCs w:val="21"/>
              </w:rPr>
            </w:pPr>
          </w:p>
        </w:tc>
      </w:tr>
    </w:tbl>
    <w:p>
      <w:pPr>
        <w:ind w:firstLine="640" w:firstLineChars="200"/>
        <w:jc w:val="left"/>
        <w:rPr>
          <w:color w:val="000000"/>
          <w:sz w:val="32"/>
          <w:szCs w:val="40"/>
        </w:rPr>
        <w:sectPr>
          <w:pgSz w:w="16838" w:h="11906" w:orient="landscape"/>
          <w:pgMar w:top="1417" w:right="1417" w:bottom="1417" w:left="1417" w:header="851" w:footer="992" w:gutter="0"/>
          <w:cols w:space="720" w:num="1"/>
          <w:docGrid w:type="lines" w:linePitch="312" w:charSpace="0"/>
        </w:sectPr>
      </w:pPr>
    </w:p>
    <w:p>
      <w:pPr>
        <w:jc w:val="left"/>
        <w:rPr>
          <w:rFonts w:eastAsia="黑体"/>
          <w:color w:val="000000"/>
          <w:sz w:val="32"/>
          <w:szCs w:val="40"/>
        </w:rPr>
      </w:pPr>
      <w:r>
        <w:rPr>
          <w:rFonts w:eastAsia="黑体"/>
          <w:color w:val="000000"/>
          <w:sz w:val="32"/>
          <w:szCs w:val="40"/>
        </w:rPr>
        <w:t>附件3-3</w:t>
      </w:r>
    </w:p>
    <w:p>
      <w:pPr>
        <w:jc w:val="center"/>
        <w:rPr>
          <w:rFonts w:eastAsia="方正小标宋简体"/>
          <w:color w:val="000000"/>
          <w:sz w:val="44"/>
          <w:szCs w:val="52"/>
        </w:rPr>
      </w:pPr>
      <w:r>
        <w:rPr>
          <w:rFonts w:eastAsia="方正小标宋简体"/>
          <w:color w:val="000000"/>
          <w:sz w:val="44"/>
          <w:szCs w:val="52"/>
        </w:rPr>
        <w:t>2021年市级“两业融合”示范企业绩效评价表</w:t>
      </w:r>
    </w:p>
    <w:tbl>
      <w:tblPr>
        <w:tblStyle w:val="15"/>
        <w:tblW w:w="14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42"/>
        <w:gridCol w:w="3369"/>
        <w:gridCol w:w="4027"/>
        <w:gridCol w:w="865"/>
        <w:gridCol w:w="843"/>
        <w:gridCol w:w="3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0" w:type="dxa"/>
            <w:gridSpan w:val="4"/>
            <w:vAlign w:val="center"/>
          </w:tcPr>
          <w:p>
            <w:pPr>
              <w:spacing w:line="260" w:lineRule="exact"/>
              <w:jc w:val="center"/>
              <w:rPr>
                <w:rFonts w:eastAsia="黑体"/>
                <w:color w:val="000000"/>
                <w:sz w:val="24"/>
              </w:rPr>
            </w:pPr>
            <w:r>
              <w:rPr>
                <w:rFonts w:eastAsia="黑体"/>
                <w:color w:val="000000"/>
                <w:sz w:val="24"/>
              </w:rPr>
              <w:t>定量评价</w:t>
            </w:r>
          </w:p>
        </w:tc>
        <w:tc>
          <w:tcPr>
            <w:tcW w:w="5199" w:type="dxa"/>
            <w:gridSpan w:val="3"/>
            <w:vAlign w:val="center"/>
          </w:tcPr>
          <w:p>
            <w:pPr>
              <w:spacing w:line="260" w:lineRule="exact"/>
              <w:jc w:val="center"/>
              <w:rPr>
                <w:rFonts w:eastAsia="黑体"/>
                <w:color w:val="000000"/>
                <w:sz w:val="24"/>
              </w:rPr>
            </w:pPr>
            <w:r>
              <w:rPr>
                <w:rFonts w:eastAsia="黑体"/>
                <w:color w:val="000000"/>
                <w:sz w:val="24"/>
              </w:rPr>
              <w:t>定性评价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pPr>
              <w:spacing w:line="260" w:lineRule="exact"/>
              <w:jc w:val="center"/>
              <w:rPr>
                <w:rFonts w:eastAsia="黑体"/>
                <w:color w:val="000000"/>
                <w:sz w:val="24"/>
              </w:rPr>
            </w:pPr>
            <w:r>
              <w:rPr>
                <w:rFonts w:eastAsia="黑体"/>
                <w:color w:val="000000"/>
                <w:sz w:val="24"/>
              </w:rPr>
              <w:t>一级指标</w:t>
            </w:r>
          </w:p>
        </w:tc>
        <w:tc>
          <w:tcPr>
            <w:tcW w:w="842" w:type="dxa"/>
            <w:vAlign w:val="center"/>
          </w:tcPr>
          <w:p>
            <w:pPr>
              <w:spacing w:line="260" w:lineRule="exact"/>
              <w:jc w:val="center"/>
              <w:rPr>
                <w:rFonts w:eastAsia="黑体"/>
                <w:color w:val="000000"/>
                <w:sz w:val="24"/>
              </w:rPr>
            </w:pPr>
            <w:r>
              <w:rPr>
                <w:rFonts w:eastAsia="黑体"/>
                <w:color w:val="000000"/>
                <w:sz w:val="24"/>
              </w:rPr>
              <w:t>二级指标</w:t>
            </w:r>
          </w:p>
        </w:tc>
        <w:tc>
          <w:tcPr>
            <w:tcW w:w="3369" w:type="dxa"/>
            <w:vAlign w:val="center"/>
          </w:tcPr>
          <w:p>
            <w:pPr>
              <w:spacing w:line="260" w:lineRule="exact"/>
              <w:jc w:val="center"/>
              <w:rPr>
                <w:rFonts w:eastAsia="黑体"/>
                <w:color w:val="000000"/>
                <w:sz w:val="24"/>
              </w:rPr>
            </w:pPr>
            <w:r>
              <w:rPr>
                <w:rFonts w:eastAsia="黑体"/>
                <w:color w:val="000000"/>
                <w:sz w:val="24"/>
              </w:rPr>
              <w:t>三级指标</w:t>
            </w:r>
          </w:p>
        </w:tc>
        <w:tc>
          <w:tcPr>
            <w:tcW w:w="4027" w:type="dxa"/>
            <w:vAlign w:val="center"/>
          </w:tcPr>
          <w:p>
            <w:pPr>
              <w:spacing w:line="260" w:lineRule="exact"/>
              <w:jc w:val="center"/>
              <w:rPr>
                <w:rFonts w:eastAsia="黑体"/>
                <w:color w:val="000000"/>
                <w:sz w:val="24"/>
              </w:rPr>
            </w:pPr>
            <w:r>
              <w:rPr>
                <w:rFonts w:eastAsia="黑体"/>
                <w:color w:val="000000"/>
                <w:sz w:val="24"/>
              </w:rPr>
              <w:t>指标解释</w:t>
            </w:r>
          </w:p>
        </w:tc>
        <w:tc>
          <w:tcPr>
            <w:tcW w:w="865" w:type="dxa"/>
            <w:vAlign w:val="center"/>
          </w:tcPr>
          <w:p>
            <w:pPr>
              <w:spacing w:line="260" w:lineRule="exact"/>
              <w:jc w:val="center"/>
              <w:rPr>
                <w:rFonts w:eastAsia="黑体"/>
                <w:color w:val="000000"/>
                <w:sz w:val="24"/>
              </w:rPr>
            </w:pPr>
            <w:r>
              <w:rPr>
                <w:rFonts w:eastAsia="黑体"/>
                <w:color w:val="000000"/>
                <w:sz w:val="24"/>
              </w:rPr>
              <w:t>一级指标</w:t>
            </w:r>
          </w:p>
        </w:tc>
        <w:tc>
          <w:tcPr>
            <w:tcW w:w="843" w:type="dxa"/>
            <w:vAlign w:val="center"/>
          </w:tcPr>
          <w:p>
            <w:pPr>
              <w:spacing w:line="260" w:lineRule="exact"/>
              <w:jc w:val="center"/>
              <w:rPr>
                <w:rFonts w:eastAsia="黑体"/>
                <w:color w:val="000000"/>
                <w:sz w:val="24"/>
              </w:rPr>
            </w:pPr>
            <w:r>
              <w:rPr>
                <w:rFonts w:eastAsia="黑体"/>
                <w:color w:val="000000"/>
                <w:sz w:val="24"/>
              </w:rPr>
              <w:t>二级指标</w:t>
            </w:r>
          </w:p>
        </w:tc>
        <w:tc>
          <w:tcPr>
            <w:tcW w:w="3491" w:type="dxa"/>
            <w:vAlign w:val="center"/>
          </w:tcPr>
          <w:p>
            <w:pPr>
              <w:spacing w:line="260" w:lineRule="exact"/>
              <w:jc w:val="center"/>
              <w:rPr>
                <w:rFonts w:eastAsia="黑体"/>
                <w:color w:val="000000"/>
                <w:sz w:val="24"/>
              </w:rPr>
            </w:pPr>
            <w:r>
              <w:rPr>
                <w:rFonts w:eastAsia="黑体"/>
                <w:color w:val="000000"/>
                <w:sz w:val="24"/>
              </w:rPr>
              <w:t>指标解释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restart"/>
            <w:vAlign w:val="center"/>
          </w:tcPr>
          <w:p>
            <w:pPr>
              <w:spacing w:line="260" w:lineRule="exact"/>
              <w:jc w:val="center"/>
              <w:rPr>
                <w:rFonts w:eastAsia="楷体_GB2312"/>
                <w:color w:val="000000"/>
                <w:sz w:val="24"/>
              </w:rPr>
            </w:pPr>
            <w:r>
              <w:rPr>
                <w:rFonts w:eastAsia="楷体_GB2312"/>
                <w:color w:val="000000"/>
                <w:sz w:val="24"/>
              </w:rPr>
              <w:t>要素支撑</w:t>
            </w:r>
          </w:p>
        </w:tc>
        <w:tc>
          <w:tcPr>
            <w:tcW w:w="842" w:type="dxa"/>
            <w:vMerge w:val="restart"/>
            <w:vAlign w:val="center"/>
          </w:tcPr>
          <w:p>
            <w:pPr>
              <w:spacing w:line="260" w:lineRule="exact"/>
              <w:jc w:val="center"/>
              <w:rPr>
                <w:rFonts w:eastAsia="仿宋_GB2312"/>
                <w:color w:val="000000"/>
                <w:sz w:val="24"/>
              </w:rPr>
            </w:pPr>
            <w:r>
              <w:rPr>
                <w:rFonts w:eastAsia="仿宋_GB2312"/>
                <w:color w:val="000000"/>
                <w:sz w:val="24"/>
              </w:rPr>
              <w:t>项目支撑</w:t>
            </w:r>
          </w:p>
        </w:tc>
        <w:tc>
          <w:tcPr>
            <w:tcW w:w="3369" w:type="dxa"/>
            <w:vAlign w:val="center"/>
          </w:tcPr>
          <w:p>
            <w:pPr>
              <w:spacing w:line="260" w:lineRule="exact"/>
              <w:jc w:val="center"/>
              <w:rPr>
                <w:rFonts w:eastAsia="仿宋_GB2312"/>
                <w:color w:val="000000"/>
                <w:sz w:val="24"/>
              </w:rPr>
            </w:pPr>
            <w:r>
              <w:rPr>
                <w:rFonts w:eastAsia="仿宋_GB2312"/>
                <w:color w:val="000000"/>
                <w:sz w:val="24"/>
              </w:rPr>
              <w:t>融合项目计划总投资、年度计划投资（万元）</w:t>
            </w:r>
          </w:p>
        </w:tc>
        <w:tc>
          <w:tcPr>
            <w:tcW w:w="4027" w:type="dxa"/>
            <w:vAlign w:val="center"/>
          </w:tcPr>
          <w:p>
            <w:pPr>
              <w:spacing w:line="260" w:lineRule="exact"/>
              <w:jc w:val="left"/>
              <w:rPr>
                <w:rFonts w:eastAsia="仿宋_GB2312"/>
                <w:color w:val="000000"/>
                <w:sz w:val="24"/>
              </w:rPr>
            </w:pPr>
            <w:r>
              <w:rPr>
                <w:rFonts w:eastAsia="仿宋_GB2312"/>
                <w:color w:val="000000"/>
                <w:sz w:val="24"/>
              </w:rPr>
              <w:t>两业融合项目计划总投资和2021年度计划投资额。</w:t>
            </w:r>
          </w:p>
        </w:tc>
        <w:tc>
          <w:tcPr>
            <w:tcW w:w="865" w:type="dxa"/>
            <w:vMerge w:val="restart"/>
            <w:vAlign w:val="center"/>
          </w:tcPr>
          <w:p>
            <w:pPr>
              <w:spacing w:line="260" w:lineRule="exact"/>
              <w:jc w:val="center"/>
              <w:rPr>
                <w:rFonts w:eastAsia="楷体_GB2312"/>
                <w:color w:val="000000"/>
                <w:sz w:val="24"/>
              </w:rPr>
            </w:pPr>
            <w:r>
              <w:rPr>
                <w:rFonts w:eastAsia="楷体_GB2312"/>
                <w:color w:val="000000"/>
                <w:sz w:val="24"/>
              </w:rPr>
              <w:t>要素支撑</w:t>
            </w:r>
          </w:p>
        </w:tc>
        <w:tc>
          <w:tcPr>
            <w:tcW w:w="843" w:type="dxa"/>
            <w:vMerge w:val="restart"/>
            <w:vAlign w:val="center"/>
          </w:tcPr>
          <w:p>
            <w:pPr>
              <w:spacing w:line="260" w:lineRule="exact"/>
              <w:jc w:val="center"/>
              <w:rPr>
                <w:rFonts w:eastAsia="仿宋_GB2312"/>
                <w:color w:val="000000"/>
                <w:sz w:val="24"/>
              </w:rPr>
            </w:pPr>
            <w:r>
              <w:rPr>
                <w:rFonts w:eastAsia="仿宋_GB2312"/>
                <w:color w:val="000000"/>
                <w:sz w:val="24"/>
              </w:rPr>
              <w:t>项目支撑</w:t>
            </w:r>
          </w:p>
        </w:tc>
        <w:tc>
          <w:tcPr>
            <w:tcW w:w="3491" w:type="dxa"/>
            <w:vMerge w:val="restart"/>
            <w:vAlign w:val="center"/>
          </w:tcPr>
          <w:p>
            <w:pPr>
              <w:spacing w:line="260" w:lineRule="exact"/>
              <w:jc w:val="left"/>
              <w:rPr>
                <w:rFonts w:eastAsia="仿宋_GB2312"/>
                <w:color w:val="000000"/>
                <w:sz w:val="24"/>
              </w:rPr>
            </w:pPr>
            <w:r>
              <w:rPr>
                <w:rFonts w:eastAsia="仿宋_GB2312"/>
                <w:color w:val="000000"/>
                <w:sz w:val="24"/>
              </w:rPr>
              <w:t>融合项目功能、价值和带动性，以及项目建设进展情况，预期经济社会效益。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continue"/>
            <w:vAlign w:val="center"/>
          </w:tcPr>
          <w:p>
            <w:pPr>
              <w:spacing w:line="260" w:lineRule="exact"/>
              <w:jc w:val="center"/>
              <w:rPr>
                <w:rFonts w:eastAsia="仿宋_GB2312"/>
                <w:color w:val="000000"/>
                <w:sz w:val="24"/>
              </w:rPr>
            </w:pPr>
          </w:p>
        </w:tc>
        <w:tc>
          <w:tcPr>
            <w:tcW w:w="3369" w:type="dxa"/>
            <w:vAlign w:val="center"/>
          </w:tcPr>
          <w:p>
            <w:pPr>
              <w:spacing w:line="260" w:lineRule="exact"/>
              <w:jc w:val="center"/>
              <w:rPr>
                <w:rFonts w:eastAsia="仿宋_GB2312"/>
                <w:color w:val="000000"/>
                <w:sz w:val="24"/>
              </w:rPr>
            </w:pPr>
            <w:r>
              <w:rPr>
                <w:rFonts w:eastAsia="仿宋_GB2312"/>
                <w:color w:val="000000"/>
                <w:sz w:val="24"/>
              </w:rPr>
              <w:t>当年已完成投资占年度计划投资比例（%）</w:t>
            </w:r>
          </w:p>
        </w:tc>
        <w:tc>
          <w:tcPr>
            <w:tcW w:w="4027" w:type="dxa"/>
            <w:vAlign w:val="center"/>
          </w:tcPr>
          <w:p>
            <w:pPr>
              <w:spacing w:line="260" w:lineRule="exact"/>
              <w:jc w:val="left"/>
              <w:rPr>
                <w:rFonts w:eastAsia="仿宋_GB2312"/>
                <w:color w:val="000000"/>
                <w:sz w:val="24"/>
              </w:rPr>
            </w:pPr>
            <w:r>
              <w:rPr>
                <w:rFonts w:eastAsia="仿宋_GB2312"/>
                <w:color w:val="000000"/>
                <w:sz w:val="24"/>
              </w:rPr>
              <w:t>截至填报日，组织实施的两业融合项目已完成投资。</w:t>
            </w:r>
          </w:p>
        </w:tc>
        <w:tc>
          <w:tcPr>
            <w:tcW w:w="865" w:type="dxa"/>
            <w:vMerge w:val="continue"/>
            <w:vAlign w:val="center"/>
          </w:tcPr>
          <w:p>
            <w:pPr>
              <w:spacing w:line="260" w:lineRule="exact"/>
              <w:jc w:val="center"/>
              <w:rPr>
                <w:rFonts w:eastAsia="楷体_GB2312"/>
                <w:color w:val="000000"/>
                <w:sz w:val="24"/>
              </w:rPr>
            </w:pPr>
          </w:p>
        </w:tc>
        <w:tc>
          <w:tcPr>
            <w:tcW w:w="843" w:type="dxa"/>
            <w:vMerge w:val="continue"/>
            <w:vAlign w:val="center"/>
          </w:tcPr>
          <w:p>
            <w:pPr>
              <w:spacing w:line="260" w:lineRule="exact"/>
              <w:jc w:val="center"/>
              <w:rPr>
                <w:rFonts w:eastAsia="仿宋_GB2312"/>
                <w:color w:val="000000"/>
                <w:sz w:val="24"/>
              </w:rPr>
            </w:pPr>
          </w:p>
        </w:tc>
        <w:tc>
          <w:tcPr>
            <w:tcW w:w="3491" w:type="dxa"/>
            <w:vMerge w:val="continue"/>
            <w:vAlign w:val="center"/>
          </w:tcPr>
          <w:p>
            <w:pPr>
              <w:spacing w:line="260" w:lineRule="exact"/>
              <w:jc w:val="left"/>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restart"/>
            <w:vAlign w:val="center"/>
          </w:tcPr>
          <w:p>
            <w:pPr>
              <w:spacing w:line="260" w:lineRule="exact"/>
              <w:jc w:val="center"/>
              <w:rPr>
                <w:rFonts w:eastAsia="仿宋_GB2312"/>
                <w:color w:val="000000"/>
                <w:sz w:val="24"/>
              </w:rPr>
            </w:pPr>
            <w:r>
              <w:rPr>
                <w:rFonts w:eastAsia="仿宋_GB2312"/>
                <w:color w:val="000000"/>
                <w:sz w:val="24"/>
              </w:rPr>
              <w:t>人才支撑</w:t>
            </w:r>
          </w:p>
        </w:tc>
        <w:tc>
          <w:tcPr>
            <w:tcW w:w="3369" w:type="dxa"/>
            <w:vAlign w:val="center"/>
          </w:tcPr>
          <w:p>
            <w:pPr>
              <w:spacing w:line="260" w:lineRule="exact"/>
              <w:jc w:val="center"/>
              <w:rPr>
                <w:rFonts w:eastAsia="仿宋_GB2312"/>
                <w:color w:val="000000"/>
                <w:sz w:val="24"/>
              </w:rPr>
            </w:pPr>
            <w:r>
              <w:rPr>
                <w:rFonts w:eastAsia="仿宋_GB2312"/>
                <w:color w:val="000000"/>
                <w:sz w:val="24"/>
              </w:rPr>
              <w:t>两业融合高端人才引培数量（人）</w:t>
            </w:r>
          </w:p>
        </w:tc>
        <w:tc>
          <w:tcPr>
            <w:tcW w:w="4027" w:type="dxa"/>
            <w:vAlign w:val="center"/>
          </w:tcPr>
          <w:p>
            <w:pPr>
              <w:spacing w:line="260" w:lineRule="exact"/>
              <w:jc w:val="left"/>
              <w:rPr>
                <w:rFonts w:eastAsia="仿宋_GB2312"/>
                <w:color w:val="000000"/>
                <w:sz w:val="24"/>
              </w:rPr>
            </w:pPr>
            <w:r>
              <w:rPr>
                <w:rFonts w:eastAsia="仿宋_GB2312"/>
                <w:color w:val="000000"/>
                <w:sz w:val="24"/>
              </w:rPr>
              <w:t>2020年度截至申报日，共引进高级专家（省级企业技术中心标准）、博士数量，同一人不重复计算。</w:t>
            </w:r>
          </w:p>
        </w:tc>
        <w:tc>
          <w:tcPr>
            <w:tcW w:w="865" w:type="dxa"/>
            <w:vMerge w:val="continue"/>
            <w:vAlign w:val="center"/>
          </w:tcPr>
          <w:p>
            <w:pPr>
              <w:spacing w:line="260" w:lineRule="exact"/>
              <w:jc w:val="center"/>
              <w:rPr>
                <w:rFonts w:eastAsia="楷体_GB2312"/>
                <w:color w:val="000000"/>
                <w:sz w:val="24"/>
              </w:rPr>
            </w:pPr>
          </w:p>
        </w:tc>
        <w:tc>
          <w:tcPr>
            <w:tcW w:w="843" w:type="dxa"/>
            <w:vMerge w:val="restart"/>
            <w:vAlign w:val="center"/>
          </w:tcPr>
          <w:p>
            <w:pPr>
              <w:spacing w:line="260" w:lineRule="exact"/>
              <w:jc w:val="center"/>
              <w:rPr>
                <w:rFonts w:eastAsia="仿宋_GB2312"/>
                <w:color w:val="000000"/>
                <w:sz w:val="24"/>
              </w:rPr>
            </w:pPr>
            <w:r>
              <w:rPr>
                <w:rFonts w:eastAsia="仿宋_GB2312"/>
                <w:color w:val="000000"/>
                <w:sz w:val="24"/>
              </w:rPr>
              <w:t>人才支撑</w:t>
            </w:r>
          </w:p>
        </w:tc>
        <w:tc>
          <w:tcPr>
            <w:tcW w:w="3491" w:type="dxa"/>
            <w:vMerge w:val="restart"/>
            <w:vAlign w:val="center"/>
          </w:tcPr>
          <w:p>
            <w:pPr>
              <w:spacing w:line="260" w:lineRule="exact"/>
              <w:jc w:val="left"/>
              <w:rPr>
                <w:rFonts w:eastAsia="仿宋_GB2312"/>
                <w:color w:val="000000"/>
                <w:sz w:val="24"/>
              </w:rPr>
            </w:pPr>
            <w:r>
              <w:rPr>
                <w:rFonts w:eastAsia="仿宋_GB2312"/>
                <w:color w:val="000000"/>
                <w:sz w:val="24"/>
              </w:rPr>
              <w:t>两业融合相关高级专家（省级企业技术中心标准）、博士培育模式，企业融合发展重点领域团队支撑情况等。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continue"/>
            <w:vAlign w:val="center"/>
          </w:tcPr>
          <w:p>
            <w:pPr>
              <w:spacing w:line="260" w:lineRule="exact"/>
              <w:jc w:val="center"/>
              <w:rPr>
                <w:rFonts w:eastAsia="仿宋_GB2312"/>
                <w:color w:val="000000"/>
                <w:sz w:val="24"/>
              </w:rPr>
            </w:pPr>
          </w:p>
        </w:tc>
        <w:tc>
          <w:tcPr>
            <w:tcW w:w="3369" w:type="dxa"/>
            <w:vAlign w:val="center"/>
          </w:tcPr>
          <w:p>
            <w:pPr>
              <w:spacing w:line="260" w:lineRule="exact"/>
              <w:jc w:val="center"/>
              <w:rPr>
                <w:rFonts w:eastAsia="仿宋_GB2312"/>
                <w:color w:val="000000"/>
                <w:sz w:val="24"/>
              </w:rPr>
            </w:pPr>
            <w:r>
              <w:rPr>
                <w:rFonts w:eastAsia="仿宋_GB2312"/>
                <w:color w:val="000000"/>
                <w:sz w:val="24"/>
              </w:rPr>
              <w:t>本科及以上学历员工数（人）和占员工总人数的比例（%）</w:t>
            </w:r>
          </w:p>
        </w:tc>
        <w:tc>
          <w:tcPr>
            <w:tcW w:w="4027" w:type="dxa"/>
            <w:vAlign w:val="center"/>
          </w:tcPr>
          <w:p>
            <w:pPr>
              <w:spacing w:line="260" w:lineRule="exact"/>
              <w:jc w:val="left"/>
              <w:rPr>
                <w:rFonts w:eastAsia="仿宋_GB2312"/>
                <w:color w:val="000000"/>
                <w:sz w:val="24"/>
              </w:rPr>
            </w:pPr>
            <w:r>
              <w:rPr>
                <w:rFonts w:eastAsia="仿宋_GB2312"/>
                <w:color w:val="000000"/>
                <w:sz w:val="24"/>
              </w:rPr>
              <w:t>2020年度本科及以上学历员工数，占员工总数比例。</w:t>
            </w:r>
          </w:p>
        </w:tc>
        <w:tc>
          <w:tcPr>
            <w:tcW w:w="865" w:type="dxa"/>
            <w:vMerge w:val="continue"/>
            <w:vAlign w:val="center"/>
          </w:tcPr>
          <w:p>
            <w:pPr>
              <w:spacing w:line="260" w:lineRule="exact"/>
              <w:jc w:val="center"/>
              <w:rPr>
                <w:rFonts w:eastAsia="楷体_GB2312"/>
                <w:color w:val="000000"/>
                <w:sz w:val="24"/>
              </w:rPr>
            </w:pPr>
          </w:p>
        </w:tc>
        <w:tc>
          <w:tcPr>
            <w:tcW w:w="843" w:type="dxa"/>
            <w:vMerge w:val="continue"/>
            <w:vAlign w:val="center"/>
          </w:tcPr>
          <w:p>
            <w:pPr>
              <w:spacing w:line="260" w:lineRule="exact"/>
              <w:jc w:val="center"/>
              <w:rPr>
                <w:rFonts w:eastAsia="仿宋_GB2312"/>
                <w:color w:val="000000"/>
                <w:sz w:val="24"/>
              </w:rPr>
            </w:pPr>
          </w:p>
        </w:tc>
        <w:tc>
          <w:tcPr>
            <w:tcW w:w="3491" w:type="dxa"/>
            <w:vMerge w:val="continue"/>
            <w:vAlign w:val="center"/>
          </w:tcPr>
          <w:p>
            <w:pPr>
              <w:spacing w:line="260" w:lineRule="exact"/>
              <w:jc w:val="left"/>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restart"/>
            <w:vAlign w:val="center"/>
          </w:tcPr>
          <w:p>
            <w:pPr>
              <w:spacing w:line="260" w:lineRule="exact"/>
              <w:jc w:val="center"/>
              <w:rPr>
                <w:rFonts w:eastAsia="仿宋_GB2312"/>
                <w:color w:val="000000"/>
                <w:sz w:val="24"/>
              </w:rPr>
            </w:pPr>
            <w:r>
              <w:rPr>
                <w:rFonts w:eastAsia="仿宋_GB2312"/>
                <w:color w:val="000000"/>
                <w:sz w:val="24"/>
              </w:rPr>
              <w:t>创新支撑</w:t>
            </w:r>
          </w:p>
        </w:tc>
        <w:tc>
          <w:tcPr>
            <w:tcW w:w="3369" w:type="dxa"/>
            <w:vAlign w:val="center"/>
          </w:tcPr>
          <w:p>
            <w:pPr>
              <w:spacing w:line="260" w:lineRule="exact"/>
              <w:jc w:val="center"/>
              <w:rPr>
                <w:rFonts w:eastAsia="仿宋_GB2312"/>
                <w:color w:val="000000"/>
                <w:sz w:val="24"/>
              </w:rPr>
            </w:pPr>
            <w:r>
              <w:rPr>
                <w:rFonts w:eastAsia="仿宋_GB2312"/>
                <w:color w:val="000000"/>
                <w:sz w:val="24"/>
              </w:rPr>
              <w:t>R&amp;D经费支出占营业收入</w:t>
            </w:r>
          </w:p>
          <w:p>
            <w:pPr>
              <w:spacing w:line="260" w:lineRule="exact"/>
              <w:jc w:val="center"/>
              <w:rPr>
                <w:rFonts w:eastAsia="仿宋_GB2312"/>
                <w:color w:val="000000"/>
                <w:sz w:val="24"/>
              </w:rPr>
            </w:pPr>
            <w:r>
              <w:rPr>
                <w:rFonts w:eastAsia="仿宋_GB2312"/>
                <w:color w:val="000000"/>
                <w:sz w:val="24"/>
              </w:rPr>
              <w:t>比重（%）</w:t>
            </w:r>
          </w:p>
        </w:tc>
        <w:tc>
          <w:tcPr>
            <w:tcW w:w="4027" w:type="dxa"/>
            <w:vAlign w:val="center"/>
          </w:tcPr>
          <w:p>
            <w:pPr>
              <w:spacing w:line="260" w:lineRule="exact"/>
              <w:jc w:val="left"/>
              <w:rPr>
                <w:rFonts w:eastAsia="仿宋_GB2312"/>
                <w:color w:val="000000"/>
                <w:sz w:val="24"/>
              </w:rPr>
            </w:pPr>
            <w:r>
              <w:rPr>
                <w:rFonts w:eastAsia="仿宋_GB2312"/>
                <w:color w:val="000000"/>
                <w:sz w:val="24"/>
              </w:rPr>
              <w:t>2020年度R&amp;D经费支出。</w:t>
            </w:r>
          </w:p>
        </w:tc>
        <w:tc>
          <w:tcPr>
            <w:tcW w:w="865" w:type="dxa"/>
            <w:vMerge w:val="continue"/>
            <w:vAlign w:val="center"/>
          </w:tcPr>
          <w:p>
            <w:pPr>
              <w:spacing w:line="260" w:lineRule="exact"/>
              <w:jc w:val="center"/>
              <w:rPr>
                <w:rFonts w:eastAsia="楷体_GB2312"/>
                <w:color w:val="000000"/>
                <w:sz w:val="24"/>
              </w:rPr>
            </w:pPr>
          </w:p>
        </w:tc>
        <w:tc>
          <w:tcPr>
            <w:tcW w:w="843" w:type="dxa"/>
            <w:vMerge w:val="restart"/>
            <w:vAlign w:val="center"/>
          </w:tcPr>
          <w:p>
            <w:pPr>
              <w:spacing w:line="260" w:lineRule="exact"/>
              <w:jc w:val="center"/>
              <w:rPr>
                <w:rFonts w:eastAsia="仿宋_GB2312"/>
                <w:color w:val="000000"/>
                <w:sz w:val="24"/>
              </w:rPr>
            </w:pPr>
            <w:r>
              <w:rPr>
                <w:rFonts w:eastAsia="仿宋_GB2312"/>
                <w:color w:val="000000"/>
                <w:sz w:val="24"/>
              </w:rPr>
              <w:t>创新支撑</w:t>
            </w:r>
          </w:p>
        </w:tc>
        <w:tc>
          <w:tcPr>
            <w:tcW w:w="3491" w:type="dxa"/>
            <w:vMerge w:val="restart"/>
            <w:vAlign w:val="center"/>
          </w:tcPr>
          <w:p>
            <w:pPr>
              <w:spacing w:line="260" w:lineRule="exact"/>
              <w:jc w:val="left"/>
              <w:rPr>
                <w:rFonts w:eastAsia="仿宋_GB2312"/>
                <w:color w:val="000000"/>
                <w:sz w:val="24"/>
              </w:rPr>
            </w:pPr>
            <w:r>
              <w:rPr>
                <w:rFonts w:eastAsia="仿宋_GB2312"/>
                <w:color w:val="000000"/>
                <w:sz w:val="24"/>
              </w:rPr>
              <w:t>申报企业创新能力建设情况，除定量指标外，还包括企业知识产权创造、核心技术难题攻关能力、生产技术与工艺、生产服务能力与水平等。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continue"/>
            <w:vAlign w:val="center"/>
          </w:tcPr>
          <w:p>
            <w:pPr>
              <w:spacing w:line="260" w:lineRule="exact"/>
              <w:jc w:val="center"/>
              <w:rPr>
                <w:rFonts w:eastAsia="仿宋_GB2312"/>
                <w:color w:val="000000"/>
                <w:sz w:val="24"/>
              </w:rPr>
            </w:pPr>
          </w:p>
        </w:tc>
        <w:tc>
          <w:tcPr>
            <w:tcW w:w="3369" w:type="dxa"/>
            <w:vAlign w:val="center"/>
          </w:tcPr>
          <w:p>
            <w:pPr>
              <w:spacing w:line="260" w:lineRule="exact"/>
              <w:jc w:val="center"/>
              <w:rPr>
                <w:rFonts w:eastAsia="仿宋_GB2312"/>
                <w:color w:val="000000"/>
                <w:sz w:val="24"/>
              </w:rPr>
            </w:pPr>
            <w:r>
              <w:rPr>
                <w:rFonts w:eastAsia="仿宋_GB2312"/>
                <w:color w:val="000000"/>
                <w:sz w:val="24"/>
              </w:rPr>
              <w:t>省级以上研发或公共服务平台数量（个）</w:t>
            </w:r>
          </w:p>
        </w:tc>
        <w:tc>
          <w:tcPr>
            <w:tcW w:w="4027" w:type="dxa"/>
            <w:vAlign w:val="center"/>
          </w:tcPr>
          <w:p>
            <w:pPr>
              <w:spacing w:line="260" w:lineRule="exact"/>
              <w:jc w:val="left"/>
              <w:rPr>
                <w:rFonts w:eastAsia="仿宋_GB2312"/>
                <w:color w:val="000000"/>
                <w:sz w:val="24"/>
              </w:rPr>
            </w:pPr>
            <w:r>
              <w:rPr>
                <w:rFonts w:eastAsia="仿宋_GB2312"/>
                <w:color w:val="000000"/>
                <w:sz w:val="24"/>
              </w:rPr>
              <w:t>包括国家实验室、国家工程实验室、国家工程（技术）研究中心、国家企业技术中心、博士后工作站；省级实验室和工程（技术）研究中心、企业技术中心等。</w:t>
            </w:r>
          </w:p>
        </w:tc>
        <w:tc>
          <w:tcPr>
            <w:tcW w:w="865" w:type="dxa"/>
            <w:vMerge w:val="continue"/>
            <w:vAlign w:val="center"/>
          </w:tcPr>
          <w:p>
            <w:pPr>
              <w:spacing w:line="260" w:lineRule="exact"/>
              <w:jc w:val="center"/>
              <w:rPr>
                <w:rFonts w:eastAsia="楷体_GB2312"/>
                <w:color w:val="000000"/>
                <w:sz w:val="24"/>
              </w:rPr>
            </w:pPr>
          </w:p>
        </w:tc>
        <w:tc>
          <w:tcPr>
            <w:tcW w:w="843" w:type="dxa"/>
            <w:vMerge w:val="continue"/>
            <w:vAlign w:val="center"/>
          </w:tcPr>
          <w:p>
            <w:pPr>
              <w:spacing w:line="260" w:lineRule="exact"/>
              <w:jc w:val="center"/>
              <w:rPr>
                <w:rFonts w:eastAsia="仿宋_GB2312"/>
                <w:color w:val="000000"/>
                <w:sz w:val="24"/>
              </w:rPr>
            </w:pPr>
          </w:p>
        </w:tc>
        <w:tc>
          <w:tcPr>
            <w:tcW w:w="3491" w:type="dxa"/>
            <w:vMerge w:val="continue"/>
            <w:vAlign w:val="center"/>
          </w:tcPr>
          <w:p>
            <w:pPr>
              <w:spacing w:line="260" w:lineRule="exact"/>
              <w:jc w:val="left"/>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260" w:lineRule="exact"/>
              <w:jc w:val="center"/>
              <w:rPr>
                <w:rFonts w:eastAsia="楷体_GB2312"/>
                <w:color w:val="000000"/>
                <w:sz w:val="24"/>
              </w:rPr>
            </w:pPr>
          </w:p>
        </w:tc>
        <w:tc>
          <w:tcPr>
            <w:tcW w:w="842" w:type="dxa"/>
            <w:vMerge w:val="continue"/>
            <w:vAlign w:val="center"/>
          </w:tcPr>
          <w:p>
            <w:pPr>
              <w:spacing w:line="260" w:lineRule="exact"/>
              <w:jc w:val="center"/>
              <w:rPr>
                <w:rFonts w:eastAsia="仿宋_GB2312"/>
                <w:color w:val="000000"/>
                <w:sz w:val="24"/>
              </w:rPr>
            </w:pPr>
          </w:p>
        </w:tc>
        <w:tc>
          <w:tcPr>
            <w:tcW w:w="3369" w:type="dxa"/>
            <w:vAlign w:val="center"/>
          </w:tcPr>
          <w:p>
            <w:pPr>
              <w:spacing w:line="260" w:lineRule="exact"/>
              <w:jc w:val="center"/>
              <w:rPr>
                <w:rFonts w:eastAsia="仿宋_GB2312"/>
                <w:color w:val="000000"/>
                <w:sz w:val="24"/>
              </w:rPr>
            </w:pPr>
            <w:r>
              <w:rPr>
                <w:rFonts w:eastAsia="仿宋_GB2312"/>
                <w:color w:val="000000"/>
                <w:sz w:val="24"/>
              </w:rPr>
              <w:t>主持或参与国际、国家行业标准制定情况</w:t>
            </w:r>
          </w:p>
        </w:tc>
        <w:tc>
          <w:tcPr>
            <w:tcW w:w="4027" w:type="dxa"/>
            <w:vAlign w:val="center"/>
          </w:tcPr>
          <w:p>
            <w:pPr>
              <w:spacing w:line="260" w:lineRule="exact"/>
              <w:jc w:val="left"/>
              <w:rPr>
                <w:rFonts w:eastAsia="仿宋_GB2312"/>
                <w:color w:val="000000"/>
                <w:sz w:val="24"/>
              </w:rPr>
            </w:pPr>
            <w:r>
              <w:rPr>
                <w:rFonts w:eastAsia="仿宋_GB2312"/>
                <w:color w:val="000000"/>
                <w:sz w:val="24"/>
              </w:rPr>
              <w:t>主持或参与国际、国家行业标准制定情况。</w:t>
            </w:r>
          </w:p>
        </w:tc>
        <w:tc>
          <w:tcPr>
            <w:tcW w:w="865" w:type="dxa"/>
            <w:vMerge w:val="continue"/>
            <w:vAlign w:val="center"/>
          </w:tcPr>
          <w:p>
            <w:pPr>
              <w:spacing w:line="260" w:lineRule="exact"/>
              <w:jc w:val="center"/>
              <w:rPr>
                <w:rFonts w:eastAsia="楷体_GB2312"/>
                <w:color w:val="000000"/>
                <w:sz w:val="24"/>
              </w:rPr>
            </w:pPr>
          </w:p>
        </w:tc>
        <w:tc>
          <w:tcPr>
            <w:tcW w:w="843" w:type="dxa"/>
            <w:vMerge w:val="continue"/>
            <w:vAlign w:val="center"/>
          </w:tcPr>
          <w:p>
            <w:pPr>
              <w:spacing w:line="260" w:lineRule="exact"/>
              <w:jc w:val="center"/>
              <w:rPr>
                <w:rFonts w:eastAsia="仿宋_GB2312"/>
                <w:color w:val="000000"/>
                <w:sz w:val="24"/>
              </w:rPr>
            </w:pPr>
          </w:p>
        </w:tc>
        <w:tc>
          <w:tcPr>
            <w:tcW w:w="3491" w:type="dxa"/>
            <w:vMerge w:val="continue"/>
            <w:vAlign w:val="center"/>
          </w:tcPr>
          <w:p>
            <w:pPr>
              <w:spacing w:line="260" w:lineRule="exact"/>
              <w:jc w:val="left"/>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0" w:type="dxa"/>
            <w:gridSpan w:val="4"/>
            <w:vAlign w:val="center"/>
          </w:tcPr>
          <w:p>
            <w:pPr>
              <w:spacing w:line="300" w:lineRule="exact"/>
              <w:jc w:val="center"/>
              <w:rPr>
                <w:rFonts w:eastAsia="黑体"/>
                <w:color w:val="000000"/>
                <w:sz w:val="24"/>
              </w:rPr>
            </w:pPr>
            <w:r>
              <w:rPr>
                <w:rFonts w:eastAsia="黑体"/>
                <w:color w:val="000000"/>
                <w:sz w:val="24"/>
              </w:rPr>
              <w:t>定量评价</w:t>
            </w:r>
          </w:p>
        </w:tc>
        <w:tc>
          <w:tcPr>
            <w:tcW w:w="5199" w:type="dxa"/>
            <w:gridSpan w:val="3"/>
            <w:vAlign w:val="center"/>
          </w:tcPr>
          <w:p>
            <w:pPr>
              <w:spacing w:line="300" w:lineRule="exact"/>
              <w:jc w:val="center"/>
              <w:rPr>
                <w:rFonts w:eastAsia="黑体"/>
                <w:color w:val="000000"/>
                <w:sz w:val="24"/>
              </w:rPr>
            </w:pPr>
            <w:r>
              <w:rPr>
                <w:rFonts w:eastAsia="黑体"/>
                <w:color w:val="000000"/>
                <w:sz w:val="24"/>
              </w:rPr>
              <w:t>定性评价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pPr>
              <w:spacing w:line="300" w:lineRule="exact"/>
              <w:jc w:val="center"/>
              <w:rPr>
                <w:rFonts w:eastAsia="黑体"/>
                <w:color w:val="000000"/>
                <w:sz w:val="24"/>
              </w:rPr>
            </w:pPr>
            <w:r>
              <w:rPr>
                <w:rFonts w:eastAsia="黑体"/>
                <w:color w:val="000000"/>
                <w:sz w:val="24"/>
              </w:rPr>
              <w:t>一级指标</w:t>
            </w:r>
          </w:p>
        </w:tc>
        <w:tc>
          <w:tcPr>
            <w:tcW w:w="842" w:type="dxa"/>
            <w:vAlign w:val="center"/>
          </w:tcPr>
          <w:p>
            <w:pPr>
              <w:spacing w:line="300" w:lineRule="exact"/>
              <w:jc w:val="center"/>
              <w:rPr>
                <w:rFonts w:eastAsia="黑体"/>
                <w:color w:val="000000"/>
                <w:sz w:val="24"/>
              </w:rPr>
            </w:pPr>
            <w:r>
              <w:rPr>
                <w:rFonts w:eastAsia="黑体"/>
                <w:color w:val="000000"/>
                <w:sz w:val="24"/>
              </w:rPr>
              <w:t>二级指标</w:t>
            </w:r>
          </w:p>
        </w:tc>
        <w:tc>
          <w:tcPr>
            <w:tcW w:w="3369" w:type="dxa"/>
            <w:vAlign w:val="center"/>
          </w:tcPr>
          <w:p>
            <w:pPr>
              <w:spacing w:line="300" w:lineRule="exact"/>
              <w:jc w:val="center"/>
              <w:rPr>
                <w:rFonts w:eastAsia="黑体"/>
                <w:color w:val="000000"/>
                <w:sz w:val="24"/>
              </w:rPr>
            </w:pPr>
            <w:r>
              <w:rPr>
                <w:rFonts w:eastAsia="黑体"/>
                <w:color w:val="000000"/>
                <w:sz w:val="24"/>
              </w:rPr>
              <w:t>三级指标</w:t>
            </w:r>
          </w:p>
        </w:tc>
        <w:tc>
          <w:tcPr>
            <w:tcW w:w="4027" w:type="dxa"/>
            <w:vAlign w:val="center"/>
          </w:tcPr>
          <w:p>
            <w:pPr>
              <w:spacing w:line="300" w:lineRule="exact"/>
              <w:jc w:val="center"/>
              <w:rPr>
                <w:rFonts w:eastAsia="黑体"/>
                <w:color w:val="000000"/>
                <w:sz w:val="24"/>
              </w:rPr>
            </w:pPr>
            <w:r>
              <w:rPr>
                <w:rFonts w:eastAsia="黑体"/>
                <w:color w:val="000000"/>
                <w:sz w:val="24"/>
              </w:rPr>
              <w:t>指标解释</w:t>
            </w:r>
          </w:p>
        </w:tc>
        <w:tc>
          <w:tcPr>
            <w:tcW w:w="865" w:type="dxa"/>
            <w:vAlign w:val="center"/>
          </w:tcPr>
          <w:p>
            <w:pPr>
              <w:spacing w:line="300" w:lineRule="exact"/>
              <w:jc w:val="center"/>
              <w:rPr>
                <w:rFonts w:eastAsia="黑体"/>
                <w:color w:val="000000"/>
                <w:sz w:val="24"/>
              </w:rPr>
            </w:pPr>
            <w:r>
              <w:rPr>
                <w:rFonts w:eastAsia="黑体"/>
                <w:color w:val="000000"/>
                <w:sz w:val="24"/>
              </w:rPr>
              <w:t>一级指标</w:t>
            </w:r>
          </w:p>
        </w:tc>
        <w:tc>
          <w:tcPr>
            <w:tcW w:w="843" w:type="dxa"/>
            <w:vAlign w:val="center"/>
          </w:tcPr>
          <w:p>
            <w:pPr>
              <w:spacing w:line="300" w:lineRule="exact"/>
              <w:jc w:val="center"/>
              <w:rPr>
                <w:rFonts w:eastAsia="黑体"/>
                <w:color w:val="000000"/>
                <w:sz w:val="24"/>
              </w:rPr>
            </w:pPr>
            <w:r>
              <w:rPr>
                <w:rFonts w:eastAsia="黑体"/>
                <w:color w:val="000000"/>
                <w:sz w:val="24"/>
              </w:rPr>
              <w:t>二级指标</w:t>
            </w:r>
          </w:p>
        </w:tc>
        <w:tc>
          <w:tcPr>
            <w:tcW w:w="3491" w:type="dxa"/>
            <w:vAlign w:val="center"/>
          </w:tcPr>
          <w:p>
            <w:pPr>
              <w:spacing w:line="300" w:lineRule="exact"/>
              <w:jc w:val="center"/>
              <w:rPr>
                <w:rFonts w:eastAsia="黑体"/>
                <w:color w:val="000000"/>
                <w:sz w:val="24"/>
              </w:rPr>
            </w:pPr>
            <w:r>
              <w:rPr>
                <w:rFonts w:eastAsia="黑体"/>
                <w:color w:val="000000"/>
                <w:sz w:val="24"/>
              </w:rPr>
              <w:t>指标解释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62" w:type="dxa"/>
            <w:vMerge w:val="restart"/>
            <w:vAlign w:val="center"/>
          </w:tcPr>
          <w:p>
            <w:pPr>
              <w:spacing w:line="300" w:lineRule="exact"/>
              <w:jc w:val="center"/>
              <w:rPr>
                <w:rFonts w:eastAsia="楷体_GB2312"/>
                <w:color w:val="000000"/>
                <w:sz w:val="24"/>
              </w:rPr>
            </w:pPr>
            <w:r>
              <w:rPr>
                <w:rFonts w:eastAsia="楷体_GB2312"/>
                <w:color w:val="000000"/>
                <w:sz w:val="24"/>
              </w:rPr>
              <w:t>融合进展</w:t>
            </w:r>
          </w:p>
        </w:tc>
        <w:tc>
          <w:tcPr>
            <w:tcW w:w="842" w:type="dxa"/>
            <w:vAlign w:val="center"/>
          </w:tcPr>
          <w:p>
            <w:pPr>
              <w:spacing w:line="300" w:lineRule="exact"/>
              <w:jc w:val="center"/>
              <w:rPr>
                <w:rFonts w:eastAsia="仿宋_GB2312"/>
                <w:color w:val="000000"/>
                <w:sz w:val="24"/>
              </w:rPr>
            </w:pPr>
            <w:r>
              <w:rPr>
                <w:rFonts w:eastAsia="仿宋_GB2312"/>
                <w:color w:val="000000"/>
                <w:sz w:val="24"/>
              </w:rPr>
              <w:t>重点任务完成</w:t>
            </w:r>
          </w:p>
        </w:tc>
        <w:tc>
          <w:tcPr>
            <w:tcW w:w="3369" w:type="dxa"/>
            <w:vAlign w:val="center"/>
          </w:tcPr>
          <w:p>
            <w:pPr>
              <w:spacing w:line="300" w:lineRule="exact"/>
              <w:jc w:val="center"/>
              <w:rPr>
                <w:rFonts w:eastAsia="仿宋_GB2312"/>
                <w:color w:val="000000"/>
                <w:sz w:val="24"/>
              </w:rPr>
            </w:pPr>
            <w:r>
              <w:rPr>
                <w:rFonts w:eastAsia="仿宋_GB2312"/>
                <w:color w:val="000000"/>
                <w:sz w:val="24"/>
              </w:rPr>
              <w:t>年度两业融合重点任务完成进度（%）</w:t>
            </w:r>
          </w:p>
        </w:tc>
        <w:tc>
          <w:tcPr>
            <w:tcW w:w="4027" w:type="dxa"/>
            <w:vAlign w:val="center"/>
          </w:tcPr>
          <w:p>
            <w:pPr>
              <w:spacing w:line="300" w:lineRule="exact"/>
              <w:jc w:val="left"/>
              <w:rPr>
                <w:rFonts w:eastAsia="仿宋_GB2312"/>
                <w:color w:val="000000"/>
                <w:sz w:val="24"/>
              </w:rPr>
            </w:pPr>
            <w:r>
              <w:rPr>
                <w:rFonts w:eastAsia="仿宋_GB2312"/>
                <w:color w:val="000000"/>
                <w:sz w:val="24"/>
              </w:rPr>
              <w:t>根据申报方案填写的两业融合重点任务内容、完成时间节点，查看完成进度。</w:t>
            </w:r>
          </w:p>
        </w:tc>
        <w:tc>
          <w:tcPr>
            <w:tcW w:w="865" w:type="dxa"/>
            <w:vMerge w:val="restart"/>
            <w:vAlign w:val="center"/>
          </w:tcPr>
          <w:p>
            <w:pPr>
              <w:spacing w:line="300" w:lineRule="exact"/>
              <w:jc w:val="center"/>
              <w:rPr>
                <w:rFonts w:eastAsia="楷体_GB2312"/>
                <w:color w:val="000000"/>
                <w:sz w:val="24"/>
              </w:rPr>
            </w:pPr>
            <w:r>
              <w:rPr>
                <w:rFonts w:eastAsia="楷体_GB2312"/>
                <w:color w:val="000000"/>
                <w:sz w:val="24"/>
              </w:rPr>
              <w:t>融合进展</w:t>
            </w:r>
          </w:p>
        </w:tc>
        <w:tc>
          <w:tcPr>
            <w:tcW w:w="843" w:type="dxa"/>
            <w:vAlign w:val="center"/>
          </w:tcPr>
          <w:p>
            <w:pPr>
              <w:spacing w:line="300" w:lineRule="exact"/>
              <w:jc w:val="center"/>
              <w:rPr>
                <w:rFonts w:eastAsia="仿宋_GB2312"/>
                <w:color w:val="000000"/>
                <w:sz w:val="24"/>
              </w:rPr>
            </w:pPr>
            <w:r>
              <w:rPr>
                <w:rFonts w:eastAsia="仿宋_GB2312"/>
                <w:color w:val="000000"/>
                <w:sz w:val="24"/>
              </w:rPr>
              <w:t>重点任务完成</w:t>
            </w:r>
          </w:p>
        </w:tc>
        <w:tc>
          <w:tcPr>
            <w:tcW w:w="3491" w:type="dxa"/>
            <w:vAlign w:val="center"/>
          </w:tcPr>
          <w:p>
            <w:pPr>
              <w:spacing w:line="300" w:lineRule="exact"/>
              <w:jc w:val="left"/>
              <w:rPr>
                <w:rFonts w:eastAsia="仿宋_GB2312"/>
                <w:color w:val="000000"/>
                <w:sz w:val="24"/>
              </w:rPr>
            </w:pPr>
            <w:r>
              <w:rPr>
                <w:rFonts w:eastAsia="仿宋_GB2312"/>
                <w:color w:val="000000"/>
                <w:sz w:val="24"/>
              </w:rPr>
              <w:t>企业组织实施的两业融合重点任务计划条理性、可行性、完成情况。融合发展关键技术/服务产品进展情况。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Merge w:val="continue"/>
            <w:vAlign w:val="center"/>
          </w:tcPr>
          <w:p>
            <w:pPr>
              <w:spacing w:line="300" w:lineRule="exact"/>
              <w:jc w:val="center"/>
              <w:rPr>
                <w:rFonts w:eastAsia="楷体_GB2312"/>
                <w:color w:val="000000"/>
                <w:sz w:val="24"/>
              </w:rPr>
            </w:pPr>
          </w:p>
        </w:tc>
        <w:tc>
          <w:tcPr>
            <w:tcW w:w="842" w:type="dxa"/>
            <w:vAlign w:val="center"/>
          </w:tcPr>
          <w:p>
            <w:pPr>
              <w:spacing w:line="300" w:lineRule="exact"/>
              <w:jc w:val="center"/>
              <w:rPr>
                <w:rFonts w:eastAsia="仿宋_GB2312"/>
                <w:color w:val="000000"/>
                <w:sz w:val="24"/>
              </w:rPr>
            </w:pPr>
            <w:r>
              <w:rPr>
                <w:rFonts w:eastAsia="仿宋_GB2312"/>
                <w:color w:val="000000"/>
                <w:sz w:val="24"/>
              </w:rPr>
              <w:t>模式成效</w:t>
            </w:r>
          </w:p>
        </w:tc>
        <w:tc>
          <w:tcPr>
            <w:tcW w:w="3369" w:type="dxa"/>
            <w:vAlign w:val="center"/>
          </w:tcPr>
          <w:p>
            <w:pPr>
              <w:spacing w:line="300" w:lineRule="exact"/>
              <w:jc w:val="center"/>
              <w:rPr>
                <w:rFonts w:eastAsia="仿宋_GB2312"/>
                <w:color w:val="000000"/>
                <w:sz w:val="24"/>
              </w:rPr>
            </w:pPr>
            <w:r>
              <w:rPr>
                <w:rFonts w:eastAsia="仿宋_GB2312"/>
                <w:color w:val="000000"/>
                <w:sz w:val="24"/>
              </w:rPr>
              <w:t>两业融合的案例、成果，及相应的创新性</w:t>
            </w:r>
          </w:p>
        </w:tc>
        <w:tc>
          <w:tcPr>
            <w:tcW w:w="4027" w:type="dxa"/>
            <w:vAlign w:val="center"/>
          </w:tcPr>
          <w:p>
            <w:pPr>
              <w:spacing w:line="300" w:lineRule="exact"/>
              <w:jc w:val="left"/>
              <w:rPr>
                <w:rFonts w:eastAsia="仿宋_GB2312"/>
                <w:color w:val="000000"/>
                <w:sz w:val="24"/>
              </w:rPr>
            </w:pPr>
            <w:r>
              <w:rPr>
                <w:rFonts w:eastAsia="仿宋_GB2312"/>
                <w:color w:val="000000"/>
                <w:sz w:val="24"/>
              </w:rPr>
              <w:t>根据企业融合发展的现状，提供融合案例，介绍融合发展取得的成果。</w:t>
            </w:r>
          </w:p>
        </w:tc>
        <w:tc>
          <w:tcPr>
            <w:tcW w:w="865" w:type="dxa"/>
            <w:vMerge w:val="continue"/>
            <w:vAlign w:val="center"/>
          </w:tcPr>
          <w:p>
            <w:pPr>
              <w:spacing w:line="300" w:lineRule="exact"/>
              <w:jc w:val="center"/>
              <w:rPr>
                <w:rFonts w:eastAsia="楷体_GB2312"/>
                <w:color w:val="000000"/>
                <w:sz w:val="24"/>
              </w:rPr>
            </w:pPr>
          </w:p>
        </w:tc>
        <w:tc>
          <w:tcPr>
            <w:tcW w:w="843" w:type="dxa"/>
            <w:vAlign w:val="center"/>
          </w:tcPr>
          <w:p>
            <w:pPr>
              <w:spacing w:line="300" w:lineRule="exact"/>
              <w:jc w:val="center"/>
              <w:rPr>
                <w:rFonts w:eastAsia="仿宋_GB2312"/>
                <w:b/>
                <w:bCs/>
                <w:color w:val="000000"/>
                <w:sz w:val="24"/>
              </w:rPr>
            </w:pPr>
            <w:r>
              <w:rPr>
                <w:rFonts w:eastAsia="仿宋_GB2312"/>
                <w:color w:val="000000"/>
                <w:sz w:val="24"/>
              </w:rPr>
              <w:t>模式成效</w:t>
            </w:r>
          </w:p>
        </w:tc>
        <w:tc>
          <w:tcPr>
            <w:tcW w:w="3491" w:type="dxa"/>
            <w:vAlign w:val="center"/>
          </w:tcPr>
          <w:p>
            <w:pPr>
              <w:widowControl/>
              <w:spacing w:line="276" w:lineRule="auto"/>
              <w:rPr>
                <w:rFonts w:eastAsia="仿宋_GB2312"/>
                <w:color w:val="000000"/>
                <w:sz w:val="24"/>
              </w:rPr>
            </w:pPr>
            <w:r>
              <w:rPr>
                <w:rFonts w:eastAsia="仿宋_GB2312"/>
                <w:color w:val="000000"/>
                <w:sz w:val="24"/>
              </w:rPr>
              <w:t>考虑运营能力和服务提供能力，以及技术提升对本企业发展两业融合的促进情况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62" w:type="dxa"/>
            <w:vMerge w:val="restart"/>
            <w:vAlign w:val="center"/>
          </w:tcPr>
          <w:p>
            <w:pPr>
              <w:spacing w:line="300" w:lineRule="exact"/>
              <w:jc w:val="center"/>
              <w:rPr>
                <w:rFonts w:eastAsia="楷体_GB2312"/>
                <w:color w:val="000000"/>
                <w:sz w:val="24"/>
              </w:rPr>
            </w:pPr>
            <w:r>
              <w:rPr>
                <w:rFonts w:eastAsia="楷体_GB2312"/>
                <w:color w:val="000000"/>
                <w:sz w:val="24"/>
              </w:rPr>
              <w:t>经营效益</w:t>
            </w:r>
          </w:p>
        </w:tc>
        <w:tc>
          <w:tcPr>
            <w:tcW w:w="842" w:type="dxa"/>
            <w:vMerge w:val="restart"/>
            <w:vAlign w:val="center"/>
          </w:tcPr>
          <w:p>
            <w:pPr>
              <w:spacing w:line="300" w:lineRule="exact"/>
              <w:jc w:val="center"/>
              <w:rPr>
                <w:rFonts w:eastAsia="仿宋_GB2312"/>
                <w:color w:val="000000"/>
                <w:sz w:val="24"/>
              </w:rPr>
            </w:pPr>
            <w:r>
              <w:rPr>
                <w:rFonts w:eastAsia="仿宋_GB2312"/>
                <w:color w:val="000000"/>
                <w:sz w:val="24"/>
              </w:rPr>
              <w:t>经营情况</w:t>
            </w:r>
          </w:p>
        </w:tc>
        <w:tc>
          <w:tcPr>
            <w:tcW w:w="3369" w:type="dxa"/>
            <w:vAlign w:val="center"/>
          </w:tcPr>
          <w:p>
            <w:pPr>
              <w:spacing w:line="300" w:lineRule="exact"/>
              <w:jc w:val="center"/>
              <w:rPr>
                <w:rFonts w:eastAsia="仿宋_GB2312"/>
                <w:color w:val="000000"/>
                <w:sz w:val="24"/>
              </w:rPr>
            </w:pPr>
            <w:r>
              <w:rPr>
                <w:rFonts w:eastAsia="仿宋_GB2312"/>
                <w:color w:val="000000"/>
                <w:sz w:val="24"/>
              </w:rPr>
              <w:t>营业收入（万元）</w:t>
            </w:r>
          </w:p>
        </w:tc>
        <w:tc>
          <w:tcPr>
            <w:tcW w:w="4027" w:type="dxa"/>
            <w:vAlign w:val="center"/>
          </w:tcPr>
          <w:p>
            <w:pPr>
              <w:spacing w:line="300" w:lineRule="exact"/>
              <w:jc w:val="left"/>
              <w:rPr>
                <w:rFonts w:eastAsia="仿宋_GB2312"/>
                <w:color w:val="000000"/>
                <w:sz w:val="24"/>
              </w:rPr>
            </w:pPr>
            <w:r>
              <w:rPr>
                <w:rFonts w:eastAsia="仿宋_GB2312"/>
                <w:color w:val="000000"/>
                <w:sz w:val="24"/>
              </w:rPr>
              <w:t>2020年营业收入。</w:t>
            </w:r>
          </w:p>
        </w:tc>
        <w:tc>
          <w:tcPr>
            <w:tcW w:w="865" w:type="dxa"/>
            <w:vMerge w:val="restart"/>
            <w:vAlign w:val="center"/>
          </w:tcPr>
          <w:p>
            <w:pPr>
              <w:spacing w:line="300" w:lineRule="exact"/>
              <w:jc w:val="center"/>
              <w:rPr>
                <w:rFonts w:eastAsia="楷体_GB2312"/>
                <w:color w:val="000000"/>
                <w:sz w:val="24"/>
              </w:rPr>
            </w:pPr>
            <w:r>
              <w:rPr>
                <w:rFonts w:eastAsia="楷体_GB2312"/>
                <w:color w:val="000000"/>
                <w:sz w:val="24"/>
              </w:rPr>
              <w:t>经营效益</w:t>
            </w:r>
          </w:p>
        </w:tc>
        <w:tc>
          <w:tcPr>
            <w:tcW w:w="843" w:type="dxa"/>
            <w:vMerge w:val="restart"/>
            <w:vAlign w:val="center"/>
          </w:tcPr>
          <w:p>
            <w:pPr>
              <w:spacing w:line="300" w:lineRule="exact"/>
              <w:jc w:val="center"/>
              <w:rPr>
                <w:rFonts w:eastAsia="仿宋_GB2312"/>
                <w:color w:val="000000"/>
                <w:sz w:val="24"/>
              </w:rPr>
            </w:pPr>
            <w:r>
              <w:rPr>
                <w:rFonts w:eastAsia="仿宋_GB2312"/>
                <w:color w:val="000000"/>
                <w:sz w:val="24"/>
              </w:rPr>
              <w:t>经济社会效益</w:t>
            </w:r>
          </w:p>
        </w:tc>
        <w:tc>
          <w:tcPr>
            <w:tcW w:w="3491" w:type="dxa"/>
            <w:vMerge w:val="restart"/>
            <w:vAlign w:val="center"/>
          </w:tcPr>
          <w:p>
            <w:pPr>
              <w:spacing w:line="300" w:lineRule="exact"/>
              <w:jc w:val="left"/>
              <w:rPr>
                <w:rFonts w:eastAsia="仿宋_GB2312"/>
                <w:color w:val="000000"/>
                <w:sz w:val="24"/>
              </w:rPr>
            </w:pPr>
            <w:r>
              <w:rPr>
                <w:rFonts w:eastAsia="仿宋_GB2312"/>
                <w:color w:val="000000"/>
                <w:sz w:val="24"/>
              </w:rPr>
              <w:t>除经营情况数据外，还包括拉动就业情况、产品市场占有率，以及带动产业链上下游企业共同提升等情况。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2" w:type="dxa"/>
            <w:vMerge w:val="continue"/>
            <w:vAlign w:val="center"/>
          </w:tcPr>
          <w:p>
            <w:pPr>
              <w:spacing w:line="300" w:lineRule="exact"/>
              <w:jc w:val="center"/>
              <w:rPr>
                <w:rFonts w:eastAsia="仿宋_GB2312"/>
                <w:color w:val="000000"/>
                <w:sz w:val="24"/>
              </w:rPr>
            </w:pPr>
          </w:p>
        </w:tc>
        <w:tc>
          <w:tcPr>
            <w:tcW w:w="842" w:type="dxa"/>
            <w:vMerge w:val="continue"/>
            <w:vAlign w:val="center"/>
          </w:tcPr>
          <w:p>
            <w:pPr>
              <w:spacing w:line="300" w:lineRule="exact"/>
              <w:jc w:val="center"/>
              <w:rPr>
                <w:rFonts w:eastAsia="仿宋_GB2312"/>
                <w:color w:val="000000"/>
                <w:sz w:val="24"/>
              </w:rPr>
            </w:pPr>
          </w:p>
        </w:tc>
        <w:tc>
          <w:tcPr>
            <w:tcW w:w="3369" w:type="dxa"/>
            <w:vAlign w:val="center"/>
          </w:tcPr>
          <w:p>
            <w:pPr>
              <w:spacing w:line="300" w:lineRule="exact"/>
              <w:jc w:val="center"/>
              <w:rPr>
                <w:rFonts w:eastAsia="仿宋_GB2312"/>
                <w:color w:val="000000"/>
                <w:sz w:val="24"/>
              </w:rPr>
            </w:pPr>
            <w:r>
              <w:rPr>
                <w:rFonts w:eastAsia="仿宋_GB2312"/>
                <w:color w:val="000000"/>
                <w:sz w:val="24"/>
              </w:rPr>
              <w:t>利润总额（万元）</w:t>
            </w:r>
          </w:p>
        </w:tc>
        <w:tc>
          <w:tcPr>
            <w:tcW w:w="4027" w:type="dxa"/>
            <w:vAlign w:val="center"/>
          </w:tcPr>
          <w:p>
            <w:pPr>
              <w:spacing w:line="300" w:lineRule="exact"/>
              <w:jc w:val="left"/>
              <w:rPr>
                <w:rFonts w:eastAsia="仿宋_GB2312"/>
                <w:color w:val="000000"/>
                <w:sz w:val="24"/>
              </w:rPr>
            </w:pPr>
            <w:r>
              <w:rPr>
                <w:rFonts w:eastAsia="仿宋_GB2312"/>
                <w:color w:val="000000"/>
                <w:sz w:val="24"/>
              </w:rPr>
              <w:t>2020年利润总额。</w:t>
            </w:r>
          </w:p>
        </w:tc>
        <w:tc>
          <w:tcPr>
            <w:tcW w:w="865" w:type="dxa"/>
            <w:vMerge w:val="continue"/>
            <w:vAlign w:val="center"/>
          </w:tcPr>
          <w:p>
            <w:pPr>
              <w:spacing w:line="300" w:lineRule="exact"/>
              <w:jc w:val="center"/>
              <w:rPr>
                <w:rFonts w:eastAsia="仿宋_GB2312"/>
                <w:color w:val="000000"/>
                <w:sz w:val="24"/>
              </w:rPr>
            </w:pPr>
          </w:p>
        </w:tc>
        <w:tc>
          <w:tcPr>
            <w:tcW w:w="843" w:type="dxa"/>
            <w:vMerge w:val="continue"/>
            <w:vAlign w:val="center"/>
          </w:tcPr>
          <w:p>
            <w:pPr>
              <w:spacing w:line="300" w:lineRule="exact"/>
              <w:jc w:val="center"/>
              <w:rPr>
                <w:rFonts w:eastAsia="仿宋_GB2312"/>
                <w:color w:val="000000"/>
                <w:sz w:val="24"/>
              </w:rPr>
            </w:pPr>
          </w:p>
        </w:tc>
        <w:tc>
          <w:tcPr>
            <w:tcW w:w="3491" w:type="dxa"/>
            <w:vMerge w:val="continue"/>
            <w:vAlign w:val="center"/>
          </w:tcPr>
          <w:p>
            <w:pPr>
              <w:spacing w:line="30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2" w:type="dxa"/>
            <w:vMerge w:val="continue"/>
            <w:vAlign w:val="center"/>
          </w:tcPr>
          <w:p>
            <w:pPr>
              <w:spacing w:line="300" w:lineRule="exact"/>
              <w:jc w:val="center"/>
              <w:rPr>
                <w:rFonts w:eastAsia="仿宋_GB2312"/>
                <w:color w:val="000000"/>
                <w:sz w:val="24"/>
              </w:rPr>
            </w:pPr>
          </w:p>
        </w:tc>
        <w:tc>
          <w:tcPr>
            <w:tcW w:w="842" w:type="dxa"/>
            <w:vMerge w:val="continue"/>
            <w:vAlign w:val="center"/>
          </w:tcPr>
          <w:p>
            <w:pPr>
              <w:spacing w:line="300" w:lineRule="exact"/>
              <w:jc w:val="center"/>
              <w:rPr>
                <w:rFonts w:eastAsia="仿宋_GB2312"/>
                <w:color w:val="000000"/>
                <w:sz w:val="24"/>
              </w:rPr>
            </w:pPr>
          </w:p>
        </w:tc>
        <w:tc>
          <w:tcPr>
            <w:tcW w:w="3369" w:type="dxa"/>
            <w:vAlign w:val="center"/>
          </w:tcPr>
          <w:p>
            <w:pPr>
              <w:spacing w:line="300" w:lineRule="exact"/>
              <w:jc w:val="center"/>
              <w:rPr>
                <w:rFonts w:eastAsia="仿宋_GB2312"/>
                <w:color w:val="000000"/>
                <w:sz w:val="24"/>
              </w:rPr>
            </w:pPr>
            <w:r>
              <w:rPr>
                <w:rFonts w:eastAsia="仿宋_GB2312"/>
                <w:color w:val="000000"/>
                <w:sz w:val="24"/>
              </w:rPr>
              <w:t>纳税总额（万元）</w:t>
            </w:r>
          </w:p>
        </w:tc>
        <w:tc>
          <w:tcPr>
            <w:tcW w:w="4027" w:type="dxa"/>
            <w:vAlign w:val="center"/>
          </w:tcPr>
          <w:p>
            <w:pPr>
              <w:spacing w:line="300" w:lineRule="exact"/>
              <w:jc w:val="left"/>
              <w:rPr>
                <w:rFonts w:eastAsia="仿宋_GB2312"/>
                <w:color w:val="000000"/>
                <w:sz w:val="24"/>
              </w:rPr>
            </w:pPr>
            <w:r>
              <w:rPr>
                <w:rFonts w:eastAsia="仿宋_GB2312"/>
                <w:color w:val="000000"/>
                <w:sz w:val="24"/>
              </w:rPr>
              <w:t>2020年纳税总额。</w:t>
            </w:r>
          </w:p>
        </w:tc>
        <w:tc>
          <w:tcPr>
            <w:tcW w:w="865" w:type="dxa"/>
            <w:vMerge w:val="continue"/>
            <w:vAlign w:val="center"/>
          </w:tcPr>
          <w:p>
            <w:pPr>
              <w:spacing w:line="300" w:lineRule="exact"/>
              <w:jc w:val="center"/>
              <w:rPr>
                <w:rFonts w:eastAsia="仿宋_GB2312"/>
                <w:color w:val="000000"/>
                <w:sz w:val="24"/>
              </w:rPr>
            </w:pPr>
          </w:p>
        </w:tc>
        <w:tc>
          <w:tcPr>
            <w:tcW w:w="843" w:type="dxa"/>
            <w:vAlign w:val="center"/>
          </w:tcPr>
          <w:p>
            <w:pPr>
              <w:spacing w:line="300" w:lineRule="exact"/>
              <w:jc w:val="center"/>
              <w:rPr>
                <w:rFonts w:eastAsia="仿宋_GB2312"/>
                <w:color w:val="000000"/>
                <w:sz w:val="24"/>
              </w:rPr>
            </w:pPr>
            <w:r>
              <w:rPr>
                <w:rFonts w:eastAsia="仿宋_GB2312"/>
                <w:color w:val="000000"/>
                <w:sz w:val="24"/>
              </w:rPr>
              <w:t>典型经验做法</w:t>
            </w:r>
          </w:p>
        </w:tc>
        <w:tc>
          <w:tcPr>
            <w:tcW w:w="3491" w:type="dxa"/>
            <w:vAlign w:val="center"/>
          </w:tcPr>
          <w:p>
            <w:pPr>
              <w:spacing w:line="300" w:lineRule="exact"/>
              <w:jc w:val="left"/>
              <w:rPr>
                <w:rFonts w:eastAsia="仿宋_GB2312"/>
                <w:color w:val="000000"/>
                <w:sz w:val="24"/>
              </w:rPr>
            </w:pPr>
            <w:r>
              <w:rPr>
                <w:rFonts w:eastAsia="仿宋_GB2312"/>
                <w:color w:val="000000"/>
                <w:sz w:val="24"/>
              </w:rPr>
              <w:t>企业为全市、全省两业融合发展和产业转型升级探索可复制可推广经验情况。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300" w:lineRule="exact"/>
              <w:jc w:val="center"/>
              <w:rPr>
                <w:rFonts w:eastAsia="仿宋_GB2312"/>
                <w:color w:val="000000"/>
                <w:sz w:val="24"/>
              </w:rPr>
            </w:pPr>
          </w:p>
        </w:tc>
        <w:tc>
          <w:tcPr>
            <w:tcW w:w="842" w:type="dxa"/>
            <w:vMerge w:val="restart"/>
            <w:vAlign w:val="center"/>
          </w:tcPr>
          <w:p>
            <w:pPr>
              <w:spacing w:line="300" w:lineRule="exact"/>
              <w:jc w:val="center"/>
              <w:rPr>
                <w:rFonts w:eastAsia="仿宋_GB2312"/>
                <w:color w:val="000000"/>
                <w:sz w:val="24"/>
              </w:rPr>
            </w:pPr>
            <w:r>
              <w:rPr>
                <w:rFonts w:eastAsia="仿宋_GB2312"/>
                <w:color w:val="000000"/>
                <w:sz w:val="24"/>
              </w:rPr>
              <w:t>服务收入占比情况</w:t>
            </w:r>
          </w:p>
        </w:tc>
        <w:tc>
          <w:tcPr>
            <w:tcW w:w="3369" w:type="dxa"/>
            <w:vAlign w:val="center"/>
          </w:tcPr>
          <w:p>
            <w:pPr>
              <w:spacing w:line="300" w:lineRule="exact"/>
              <w:jc w:val="center"/>
              <w:rPr>
                <w:rFonts w:eastAsia="仿宋_GB2312"/>
                <w:color w:val="000000"/>
                <w:sz w:val="24"/>
              </w:rPr>
            </w:pPr>
            <w:r>
              <w:rPr>
                <w:rFonts w:eastAsia="仿宋_GB2312"/>
                <w:color w:val="000000"/>
                <w:sz w:val="24"/>
              </w:rPr>
              <w:t>向其他企业提供生产服务的营收占总营收的比重（%）</w:t>
            </w:r>
          </w:p>
        </w:tc>
        <w:tc>
          <w:tcPr>
            <w:tcW w:w="4027" w:type="dxa"/>
            <w:vAlign w:val="center"/>
          </w:tcPr>
          <w:p>
            <w:pPr>
              <w:spacing w:line="300" w:lineRule="exact"/>
              <w:jc w:val="left"/>
              <w:rPr>
                <w:rFonts w:eastAsia="仿宋_GB2312"/>
                <w:color w:val="000000"/>
                <w:sz w:val="24"/>
              </w:rPr>
            </w:pPr>
            <w:r>
              <w:rPr>
                <w:rFonts w:eastAsia="仿宋_GB2312"/>
                <w:color w:val="000000"/>
                <w:sz w:val="24"/>
              </w:rPr>
              <w:t>该指标面向制造业企业，向产业链两端延伸，向服务型制造转型进程。</w:t>
            </w:r>
          </w:p>
        </w:tc>
        <w:tc>
          <w:tcPr>
            <w:tcW w:w="865" w:type="dxa"/>
            <w:vMerge w:val="continue"/>
            <w:vAlign w:val="center"/>
          </w:tcPr>
          <w:p>
            <w:pPr>
              <w:spacing w:line="300" w:lineRule="exact"/>
              <w:jc w:val="center"/>
              <w:rPr>
                <w:rFonts w:eastAsia="仿宋_GB2312"/>
                <w:color w:val="000000"/>
                <w:sz w:val="24"/>
              </w:rPr>
            </w:pPr>
          </w:p>
        </w:tc>
        <w:tc>
          <w:tcPr>
            <w:tcW w:w="843" w:type="dxa"/>
            <w:vMerge w:val="restart"/>
            <w:vAlign w:val="center"/>
          </w:tcPr>
          <w:p>
            <w:pPr>
              <w:spacing w:line="300" w:lineRule="exact"/>
              <w:jc w:val="center"/>
              <w:rPr>
                <w:rFonts w:eastAsia="仿宋_GB2312"/>
                <w:color w:val="000000"/>
                <w:sz w:val="24"/>
              </w:rPr>
            </w:pPr>
            <w:r>
              <w:rPr>
                <w:rFonts w:eastAsia="仿宋_GB2312"/>
                <w:color w:val="000000"/>
                <w:kern w:val="0"/>
                <w:sz w:val="24"/>
              </w:rPr>
              <w:t>对制造企业竞争力提升效能</w:t>
            </w:r>
          </w:p>
        </w:tc>
        <w:tc>
          <w:tcPr>
            <w:tcW w:w="3491" w:type="dxa"/>
            <w:vMerge w:val="restart"/>
            <w:vAlign w:val="center"/>
          </w:tcPr>
          <w:p>
            <w:pPr>
              <w:spacing w:line="300" w:lineRule="exact"/>
              <w:jc w:val="left"/>
              <w:rPr>
                <w:rFonts w:eastAsia="仿宋_GB2312"/>
                <w:color w:val="000000"/>
                <w:sz w:val="24"/>
              </w:rPr>
            </w:pPr>
            <w:r>
              <w:rPr>
                <w:rFonts w:eastAsia="仿宋_GB2312"/>
                <w:color w:val="000000"/>
                <w:kern w:val="0"/>
                <w:sz w:val="24"/>
              </w:rPr>
              <w:t>企业主要产品（服务）在产业链中的定位，主要服务的客户群，与主要竞争对手的差异，企业在行业领域中的地位等方面的提升情况，以及企业产品（服务）性能、技术实力、与国内外领先水平的对比情况。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300" w:lineRule="exact"/>
              <w:jc w:val="center"/>
              <w:rPr>
                <w:rFonts w:eastAsia="仿宋_GB2312"/>
                <w:color w:val="000000"/>
                <w:sz w:val="24"/>
              </w:rPr>
            </w:pPr>
          </w:p>
        </w:tc>
        <w:tc>
          <w:tcPr>
            <w:tcW w:w="842" w:type="dxa"/>
            <w:vMerge w:val="continue"/>
            <w:vAlign w:val="center"/>
          </w:tcPr>
          <w:p>
            <w:pPr>
              <w:spacing w:line="300" w:lineRule="exact"/>
              <w:jc w:val="center"/>
              <w:rPr>
                <w:rFonts w:eastAsia="仿宋_GB2312"/>
                <w:color w:val="000000"/>
                <w:sz w:val="24"/>
              </w:rPr>
            </w:pPr>
          </w:p>
        </w:tc>
        <w:tc>
          <w:tcPr>
            <w:tcW w:w="3369" w:type="dxa"/>
            <w:vAlign w:val="center"/>
          </w:tcPr>
          <w:p>
            <w:pPr>
              <w:spacing w:line="300" w:lineRule="exact"/>
              <w:jc w:val="center"/>
              <w:rPr>
                <w:rFonts w:eastAsia="仿宋_GB2312"/>
                <w:color w:val="000000"/>
                <w:sz w:val="24"/>
              </w:rPr>
            </w:pPr>
            <w:r>
              <w:rPr>
                <w:rFonts w:eastAsia="仿宋_GB2312"/>
                <w:color w:val="000000"/>
                <w:sz w:val="24"/>
              </w:rPr>
              <w:t>向制造业企业提供生产服务的营收占总营收的比重（%）</w:t>
            </w:r>
          </w:p>
        </w:tc>
        <w:tc>
          <w:tcPr>
            <w:tcW w:w="4027" w:type="dxa"/>
            <w:vAlign w:val="center"/>
          </w:tcPr>
          <w:p>
            <w:pPr>
              <w:spacing w:line="300" w:lineRule="exact"/>
              <w:jc w:val="left"/>
              <w:rPr>
                <w:rFonts w:eastAsia="仿宋_GB2312"/>
                <w:color w:val="000000"/>
                <w:sz w:val="24"/>
              </w:rPr>
            </w:pPr>
            <w:r>
              <w:rPr>
                <w:rFonts w:eastAsia="仿宋_GB2312"/>
                <w:color w:val="000000"/>
                <w:sz w:val="24"/>
              </w:rPr>
              <w:t>该指标面向生产性服务业企业，生产服务嵌入到制造业全产业链产生的价值能力。</w:t>
            </w:r>
          </w:p>
        </w:tc>
        <w:tc>
          <w:tcPr>
            <w:tcW w:w="865" w:type="dxa"/>
            <w:vMerge w:val="continue"/>
            <w:vAlign w:val="center"/>
          </w:tcPr>
          <w:p>
            <w:pPr>
              <w:spacing w:line="300" w:lineRule="exact"/>
              <w:jc w:val="center"/>
              <w:rPr>
                <w:rFonts w:eastAsia="仿宋_GB2312"/>
                <w:color w:val="000000"/>
                <w:sz w:val="24"/>
              </w:rPr>
            </w:pPr>
          </w:p>
        </w:tc>
        <w:tc>
          <w:tcPr>
            <w:tcW w:w="843" w:type="dxa"/>
            <w:vMerge w:val="continue"/>
            <w:vAlign w:val="center"/>
          </w:tcPr>
          <w:p>
            <w:pPr>
              <w:spacing w:line="300" w:lineRule="exact"/>
              <w:jc w:val="center"/>
              <w:rPr>
                <w:rFonts w:eastAsia="仿宋_GB2312"/>
                <w:color w:val="000000"/>
                <w:sz w:val="24"/>
              </w:rPr>
            </w:pPr>
          </w:p>
        </w:tc>
        <w:tc>
          <w:tcPr>
            <w:tcW w:w="3491" w:type="dxa"/>
            <w:vMerge w:val="continue"/>
            <w:vAlign w:val="center"/>
          </w:tcPr>
          <w:p>
            <w:pPr>
              <w:spacing w:line="300" w:lineRule="exact"/>
              <w:jc w:val="center"/>
              <w:rPr>
                <w:rFonts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pPr>
              <w:spacing w:line="300" w:lineRule="exact"/>
              <w:jc w:val="center"/>
              <w:rPr>
                <w:rFonts w:eastAsia="仿宋_GB2312"/>
                <w:color w:val="000000"/>
                <w:sz w:val="24"/>
              </w:rPr>
            </w:pPr>
          </w:p>
        </w:tc>
        <w:tc>
          <w:tcPr>
            <w:tcW w:w="842" w:type="dxa"/>
            <w:vMerge w:val="continue"/>
            <w:vAlign w:val="center"/>
          </w:tcPr>
          <w:p>
            <w:pPr>
              <w:spacing w:line="300" w:lineRule="exact"/>
              <w:jc w:val="center"/>
              <w:rPr>
                <w:rFonts w:eastAsia="仿宋_GB2312"/>
                <w:color w:val="000000"/>
                <w:sz w:val="24"/>
              </w:rPr>
            </w:pPr>
          </w:p>
        </w:tc>
        <w:tc>
          <w:tcPr>
            <w:tcW w:w="3369" w:type="dxa"/>
            <w:vAlign w:val="center"/>
          </w:tcPr>
          <w:p>
            <w:pPr>
              <w:spacing w:line="300" w:lineRule="exact"/>
              <w:jc w:val="center"/>
              <w:rPr>
                <w:rFonts w:eastAsia="仿宋_GB2312"/>
                <w:color w:val="000000"/>
                <w:sz w:val="24"/>
              </w:rPr>
            </w:pPr>
            <w:r>
              <w:rPr>
                <w:rFonts w:eastAsia="仿宋_GB2312"/>
                <w:color w:val="000000"/>
                <w:sz w:val="24"/>
              </w:rPr>
              <w:t>信息化投入占当年度营业收入比重（%）</w:t>
            </w:r>
          </w:p>
        </w:tc>
        <w:tc>
          <w:tcPr>
            <w:tcW w:w="4027" w:type="dxa"/>
            <w:vAlign w:val="center"/>
          </w:tcPr>
          <w:p>
            <w:pPr>
              <w:spacing w:line="300" w:lineRule="exact"/>
              <w:jc w:val="left"/>
              <w:rPr>
                <w:rFonts w:eastAsia="仿宋_GB2312"/>
                <w:color w:val="000000"/>
                <w:sz w:val="24"/>
              </w:rPr>
            </w:pPr>
            <w:r>
              <w:rPr>
                <w:rFonts w:eastAsia="仿宋_GB2312"/>
                <w:color w:val="000000"/>
                <w:kern w:val="0"/>
                <w:sz w:val="24"/>
              </w:rPr>
              <w:t>企业的信息化建设，业务和管理信息平台建设，以及通过信息化技术推动服务升级的效能指标。</w:t>
            </w:r>
          </w:p>
        </w:tc>
        <w:tc>
          <w:tcPr>
            <w:tcW w:w="865" w:type="dxa"/>
            <w:vMerge w:val="continue"/>
            <w:vAlign w:val="center"/>
          </w:tcPr>
          <w:p>
            <w:pPr>
              <w:spacing w:line="300" w:lineRule="exact"/>
              <w:jc w:val="center"/>
              <w:rPr>
                <w:rFonts w:eastAsia="仿宋_GB2312"/>
                <w:color w:val="000000"/>
                <w:sz w:val="24"/>
              </w:rPr>
            </w:pPr>
          </w:p>
        </w:tc>
        <w:tc>
          <w:tcPr>
            <w:tcW w:w="843" w:type="dxa"/>
            <w:vMerge w:val="continue"/>
            <w:vAlign w:val="center"/>
          </w:tcPr>
          <w:p>
            <w:pPr>
              <w:spacing w:line="300" w:lineRule="exact"/>
              <w:jc w:val="center"/>
              <w:rPr>
                <w:rFonts w:eastAsia="仿宋_GB2312"/>
                <w:color w:val="000000"/>
                <w:sz w:val="24"/>
              </w:rPr>
            </w:pPr>
          </w:p>
        </w:tc>
        <w:tc>
          <w:tcPr>
            <w:tcW w:w="3491" w:type="dxa"/>
            <w:vMerge w:val="continue"/>
            <w:vAlign w:val="center"/>
          </w:tcPr>
          <w:p>
            <w:pPr>
              <w:spacing w:line="300" w:lineRule="exact"/>
              <w:jc w:val="center"/>
              <w:rPr>
                <w:rFonts w:eastAsia="仿宋_GB2312"/>
                <w:color w:val="000000"/>
                <w:sz w:val="24"/>
              </w:rPr>
            </w:pPr>
          </w:p>
        </w:tc>
      </w:tr>
    </w:tbl>
    <w:p>
      <w:pPr>
        <w:spacing w:line="300" w:lineRule="exact"/>
        <w:ind w:left="-1050" w:leftChars="-500" w:right="-1050" w:rightChars="-500" w:firstLine="792" w:firstLineChars="330"/>
        <w:jc w:val="left"/>
        <w:rPr>
          <w:rFonts w:eastAsia="仿宋_GB2312"/>
          <w:sz w:val="28"/>
          <w:szCs w:val="28"/>
        </w:rPr>
      </w:pP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r>
        <w:rPr>
          <w:rFonts w:eastAsia="楷体_GB2312"/>
          <w:color w:val="000000"/>
          <w:sz w:val="24"/>
          <w:szCs w:val="32"/>
        </w:rPr>
        <w:tab/>
      </w:r>
    </w:p>
    <w:sectPr>
      <w:headerReference r:id="rId5" w:type="default"/>
      <w:footerReference r:id="rId6" w:type="default"/>
      <w:footerReference r:id="rId7" w:type="even"/>
      <w:pgSz w:w="16840" w:h="11907" w:orient="landscape"/>
      <w:pgMar w:top="1531" w:right="2098" w:bottom="1531" w:left="1985" w:header="709"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11</w:t>
    </w:r>
    <w:r>
      <w:rPr>
        <w:sz w:val="28"/>
        <w:szCs w:val="28"/>
      </w:rPr>
      <w:fldChar w:fldCharType="end"/>
    </w:r>
    <w:r>
      <w:rPr>
        <w:rStyle w:val="18"/>
        <w:rFonts w:hint="eastAsia"/>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12</w:t>
    </w:r>
    <w:r>
      <w:rPr>
        <w:sz w:val="28"/>
        <w:szCs w:val="28"/>
      </w:rPr>
      <w:fldChar w:fldCharType="end"/>
    </w:r>
    <w:r>
      <w:rPr>
        <w:rStyle w:val="18"/>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FA"/>
    <w:rsid w:val="00000B30"/>
    <w:rsid w:val="00027AC8"/>
    <w:rsid w:val="00040C63"/>
    <w:rsid w:val="000438F3"/>
    <w:rsid w:val="00053B7E"/>
    <w:rsid w:val="00083A87"/>
    <w:rsid w:val="000A6598"/>
    <w:rsid w:val="000C0657"/>
    <w:rsid w:val="000C1410"/>
    <w:rsid w:val="000D76A7"/>
    <w:rsid w:val="000E2274"/>
    <w:rsid w:val="00113ADA"/>
    <w:rsid w:val="00122D38"/>
    <w:rsid w:val="00132FAA"/>
    <w:rsid w:val="00134850"/>
    <w:rsid w:val="00140F09"/>
    <w:rsid w:val="00153D4E"/>
    <w:rsid w:val="00157B47"/>
    <w:rsid w:val="00161C48"/>
    <w:rsid w:val="00166F32"/>
    <w:rsid w:val="00195535"/>
    <w:rsid w:val="001A46B7"/>
    <w:rsid w:val="001A7AD2"/>
    <w:rsid w:val="001B7163"/>
    <w:rsid w:val="001C2D97"/>
    <w:rsid w:val="001E2420"/>
    <w:rsid w:val="00200683"/>
    <w:rsid w:val="00200E30"/>
    <w:rsid w:val="00220DC6"/>
    <w:rsid w:val="00224932"/>
    <w:rsid w:val="00227A18"/>
    <w:rsid w:val="00245E22"/>
    <w:rsid w:val="0025157E"/>
    <w:rsid w:val="0026468E"/>
    <w:rsid w:val="0027097A"/>
    <w:rsid w:val="00277F16"/>
    <w:rsid w:val="00284FA0"/>
    <w:rsid w:val="00286915"/>
    <w:rsid w:val="00290D3E"/>
    <w:rsid w:val="002B139C"/>
    <w:rsid w:val="002C0C67"/>
    <w:rsid w:val="002C1129"/>
    <w:rsid w:val="002F0084"/>
    <w:rsid w:val="002F5367"/>
    <w:rsid w:val="003069BC"/>
    <w:rsid w:val="003363CA"/>
    <w:rsid w:val="00340761"/>
    <w:rsid w:val="00352408"/>
    <w:rsid w:val="003567DE"/>
    <w:rsid w:val="00360B20"/>
    <w:rsid w:val="00367E91"/>
    <w:rsid w:val="0037128A"/>
    <w:rsid w:val="00391E7F"/>
    <w:rsid w:val="003A17F0"/>
    <w:rsid w:val="003A1863"/>
    <w:rsid w:val="003A5EBF"/>
    <w:rsid w:val="003B54BD"/>
    <w:rsid w:val="003C74A1"/>
    <w:rsid w:val="003D044C"/>
    <w:rsid w:val="003D0AB4"/>
    <w:rsid w:val="003D151F"/>
    <w:rsid w:val="003E73CC"/>
    <w:rsid w:val="003F076A"/>
    <w:rsid w:val="003F1A87"/>
    <w:rsid w:val="003F4705"/>
    <w:rsid w:val="004030F9"/>
    <w:rsid w:val="00407DFC"/>
    <w:rsid w:val="00433C7F"/>
    <w:rsid w:val="00464325"/>
    <w:rsid w:val="00466B87"/>
    <w:rsid w:val="0046783A"/>
    <w:rsid w:val="00473FDF"/>
    <w:rsid w:val="00474F5A"/>
    <w:rsid w:val="0048678B"/>
    <w:rsid w:val="00491FAE"/>
    <w:rsid w:val="00494AB6"/>
    <w:rsid w:val="004A5024"/>
    <w:rsid w:val="004B2A76"/>
    <w:rsid w:val="004B72A6"/>
    <w:rsid w:val="004C584D"/>
    <w:rsid w:val="004E13A6"/>
    <w:rsid w:val="004E45E3"/>
    <w:rsid w:val="004E600C"/>
    <w:rsid w:val="005067E2"/>
    <w:rsid w:val="00511370"/>
    <w:rsid w:val="0052767F"/>
    <w:rsid w:val="005309DE"/>
    <w:rsid w:val="00547E6F"/>
    <w:rsid w:val="00575E27"/>
    <w:rsid w:val="005820D4"/>
    <w:rsid w:val="0058498A"/>
    <w:rsid w:val="005960F6"/>
    <w:rsid w:val="0059755E"/>
    <w:rsid w:val="005A056D"/>
    <w:rsid w:val="005A1CBF"/>
    <w:rsid w:val="005B4A6A"/>
    <w:rsid w:val="005C343B"/>
    <w:rsid w:val="005D117E"/>
    <w:rsid w:val="005D1749"/>
    <w:rsid w:val="005D1E8C"/>
    <w:rsid w:val="005D5F31"/>
    <w:rsid w:val="005E785C"/>
    <w:rsid w:val="005F064D"/>
    <w:rsid w:val="005F5F11"/>
    <w:rsid w:val="005F7625"/>
    <w:rsid w:val="00601F4D"/>
    <w:rsid w:val="00603CC3"/>
    <w:rsid w:val="0062237E"/>
    <w:rsid w:val="00626135"/>
    <w:rsid w:val="00633107"/>
    <w:rsid w:val="006519F9"/>
    <w:rsid w:val="006533A7"/>
    <w:rsid w:val="0066799E"/>
    <w:rsid w:val="00693141"/>
    <w:rsid w:val="006A00BB"/>
    <w:rsid w:val="006E506D"/>
    <w:rsid w:val="006E55E6"/>
    <w:rsid w:val="006F192D"/>
    <w:rsid w:val="0070263C"/>
    <w:rsid w:val="0070572A"/>
    <w:rsid w:val="00713832"/>
    <w:rsid w:val="00715337"/>
    <w:rsid w:val="00725090"/>
    <w:rsid w:val="0073756D"/>
    <w:rsid w:val="00761C39"/>
    <w:rsid w:val="00765CB7"/>
    <w:rsid w:val="00776086"/>
    <w:rsid w:val="00777179"/>
    <w:rsid w:val="00777F07"/>
    <w:rsid w:val="00780684"/>
    <w:rsid w:val="007848AB"/>
    <w:rsid w:val="00786D7A"/>
    <w:rsid w:val="007A25DD"/>
    <w:rsid w:val="007A515B"/>
    <w:rsid w:val="007A5542"/>
    <w:rsid w:val="007B5734"/>
    <w:rsid w:val="007C2763"/>
    <w:rsid w:val="007C3209"/>
    <w:rsid w:val="007D5A3E"/>
    <w:rsid w:val="007E0B8A"/>
    <w:rsid w:val="007E2AED"/>
    <w:rsid w:val="00815096"/>
    <w:rsid w:val="00825D68"/>
    <w:rsid w:val="00826117"/>
    <w:rsid w:val="008267CF"/>
    <w:rsid w:val="008355E7"/>
    <w:rsid w:val="00846413"/>
    <w:rsid w:val="008509A7"/>
    <w:rsid w:val="00862A2D"/>
    <w:rsid w:val="00874A3E"/>
    <w:rsid w:val="008750B3"/>
    <w:rsid w:val="008763D9"/>
    <w:rsid w:val="00893365"/>
    <w:rsid w:val="008A019D"/>
    <w:rsid w:val="008A3B14"/>
    <w:rsid w:val="008A6173"/>
    <w:rsid w:val="008B62C4"/>
    <w:rsid w:val="008D46EF"/>
    <w:rsid w:val="008D7B87"/>
    <w:rsid w:val="008D7C6D"/>
    <w:rsid w:val="008E65D1"/>
    <w:rsid w:val="0092069E"/>
    <w:rsid w:val="00931E64"/>
    <w:rsid w:val="00941CCE"/>
    <w:rsid w:val="00942D9B"/>
    <w:rsid w:val="0094695A"/>
    <w:rsid w:val="009477C8"/>
    <w:rsid w:val="00956EC2"/>
    <w:rsid w:val="00967259"/>
    <w:rsid w:val="0097450C"/>
    <w:rsid w:val="00975258"/>
    <w:rsid w:val="0097700E"/>
    <w:rsid w:val="0098735C"/>
    <w:rsid w:val="009963E5"/>
    <w:rsid w:val="009A43FA"/>
    <w:rsid w:val="009C724A"/>
    <w:rsid w:val="009D20CA"/>
    <w:rsid w:val="009F3B99"/>
    <w:rsid w:val="009F42B5"/>
    <w:rsid w:val="009F6555"/>
    <w:rsid w:val="00A13385"/>
    <w:rsid w:val="00A14808"/>
    <w:rsid w:val="00A3053B"/>
    <w:rsid w:val="00A4658C"/>
    <w:rsid w:val="00A64A4C"/>
    <w:rsid w:val="00A86E8D"/>
    <w:rsid w:val="00A908EC"/>
    <w:rsid w:val="00A91D92"/>
    <w:rsid w:val="00A91FD6"/>
    <w:rsid w:val="00AA13C0"/>
    <w:rsid w:val="00AA6E4C"/>
    <w:rsid w:val="00AA6FEF"/>
    <w:rsid w:val="00AB6B66"/>
    <w:rsid w:val="00AC0BF7"/>
    <w:rsid w:val="00AC20C0"/>
    <w:rsid w:val="00AD7326"/>
    <w:rsid w:val="00AE18EC"/>
    <w:rsid w:val="00AE3967"/>
    <w:rsid w:val="00AF665E"/>
    <w:rsid w:val="00B03CAD"/>
    <w:rsid w:val="00B06AA4"/>
    <w:rsid w:val="00B10820"/>
    <w:rsid w:val="00B145BE"/>
    <w:rsid w:val="00B15661"/>
    <w:rsid w:val="00B20209"/>
    <w:rsid w:val="00B20928"/>
    <w:rsid w:val="00B36340"/>
    <w:rsid w:val="00B36D38"/>
    <w:rsid w:val="00B42F36"/>
    <w:rsid w:val="00B44E2E"/>
    <w:rsid w:val="00B50508"/>
    <w:rsid w:val="00B609E6"/>
    <w:rsid w:val="00B64B4A"/>
    <w:rsid w:val="00B64DEB"/>
    <w:rsid w:val="00B714F3"/>
    <w:rsid w:val="00B84ADC"/>
    <w:rsid w:val="00B86594"/>
    <w:rsid w:val="00B918CD"/>
    <w:rsid w:val="00B92DE4"/>
    <w:rsid w:val="00BB2916"/>
    <w:rsid w:val="00BF0DD9"/>
    <w:rsid w:val="00C058D8"/>
    <w:rsid w:val="00C2026D"/>
    <w:rsid w:val="00C24BC9"/>
    <w:rsid w:val="00C2583D"/>
    <w:rsid w:val="00C30ACD"/>
    <w:rsid w:val="00C3523E"/>
    <w:rsid w:val="00C35DB1"/>
    <w:rsid w:val="00C539A1"/>
    <w:rsid w:val="00C5648F"/>
    <w:rsid w:val="00C56B81"/>
    <w:rsid w:val="00C71F7E"/>
    <w:rsid w:val="00C93185"/>
    <w:rsid w:val="00C94475"/>
    <w:rsid w:val="00CB505B"/>
    <w:rsid w:val="00CC16F7"/>
    <w:rsid w:val="00CC78F1"/>
    <w:rsid w:val="00CC7964"/>
    <w:rsid w:val="00CE0BFD"/>
    <w:rsid w:val="00CE4BD2"/>
    <w:rsid w:val="00CE52FC"/>
    <w:rsid w:val="00D02BE9"/>
    <w:rsid w:val="00D060C7"/>
    <w:rsid w:val="00D10A90"/>
    <w:rsid w:val="00D211CA"/>
    <w:rsid w:val="00D21FBF"/>
    <w:rsid w:val="00D4001C"/>
    <w:rsid w:val="00D44CF5"/>
    <w:rsid w:val="00D564DB"/>
    <w:rsid w:val="00D62663"/>
    <w:rsid w:val="00D62A49"/>
    <w:rsid w:val="00D666F1"/>
    <w:rsid w:val="00D903D9"/>
    <w:rsid w:val="00D96987"/>
    <w:rsid w:val="00DA5672"/>
    <w:rsid w:val="00DB1008"/>
    <w:rsid w:val="00DB4879"/>
    <w:rsid w:val="00DC21C4"/>
    <w:rsid w:val="00DC4F1F"/>
    <w:rsid w:val="00DD3228"/>
    <w:rsid w:val="00DD4403"/>
    <w:rsid w:val="00DD6A8A"/>
    <w:rsid w:val="00DF0A83"/>
    <w:rsid w:val="00DF1FC4"/>
    <w:rsid w:val="00E02DF0"/>
    <w:rsid w:val="00E07932"/>
    <w:rsid w:val="00E1170A"/>
    <w:rsid w:val="00E14CCD"/>
    <w:rsid w:val="00E2487B"/>
    <w:rsid w:val="00E27F1C"/>
    <w:rsid w:val="00E3129C"/>
    <w:rsid w:val="00E47E5D"/>
    <w:rsid w:val="00E5168B"/>
    <w:rsid w:val="00E52391"/>
    <w:rsid w:val="00E530E1"/>
    <w:rsid w:val="00E57835"/>
    <w:rsid w:val="00E620DA"/>
    <w:rsid w:val="00E67CD3"/>
    <w:rsid w:val="00E74015"/>
    <w:rsid w:val="00E76783"/>
    <w:rsid w:val="00E8675C"/>
    <w:rsid w:val="00EA2EC6"/>
    <w:rsid w:val="00EB4017"/>
    <w:rsid w:val="00EB41E1"/>
    <w:rsid w:val="00EB420C"/>
    <w:rsid w:val="00EC12A2"/>
    <w:rsid w:val="00EC7A83"/>
    <w:rsid w:val="00ED4F12"/>
    <w:rsid w:val="00EE582B"/>
    <w:rsid w:val="00EE7738"/>
    <w:rsid w:val="00F01568"/>
    <w:rsid w:val="00F03215"/>
    <w:rsid w:val="00F054F6"/>
    <w:rsid w:val="00F102F4"/>
    <w:rsid w:val="00F10DFE"/>
    <w:rsid w:val="00F1408F"/>
    <w:rsid w:val="00F24508"/>
    <w:rsid w:val="00F25AEF"/>
    <w:rsid w:val="00F30C3D"/>
    <w:rsid w:val="00F33AEC"/>
    <w:rsid w:val="00F50B23"/>
    <w:rsid w:val="00F674AE"/>
    <w:rsid w:val="00F7750D"/>
    <w:rsid w:val="00FC023D"/>
    <w:rsid w:val="00FC039A"/>
    <w:rsid w:val="00FC6864"/>
    <w:rsid w:val="00FE6223"/>
    <w:rsid w:val="00FF0962"/>
    <w:rsid w:val="00FF7D34"/>
    <w:rsid w:val="172A2232"/>
    <w:rsid w:val="38AA255F"/>
    <w:rsid w:val="4A122C32"/>
    <w:rsid w:val="5E176400"/>
    <w:rsid w:val="635505A9"/>
    <w:rsid w:val="72F3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3">
    <w:name w:val="Body Text 3"/>
    <w:basedOn w:val="1"/>
    <w:uiPriority w:val="0"/>
    <w:pPr>
      <w:jc w:val="center"/>
    </w:pPr>
    <w:rPr>
      <w:rFonts w:ascii="Verdana" w:hAnsi="Verdana"/>
      <w:b/>
      <w:bCs/>
      <w:color w:val="000000"/>
      <w:spacing w:val="-8"/>
      <w:sz w:val="44"/>
      <w:szCs w:val="36"/>
    </w:rPr>
  </w:style>
  <w:style w:type="paragraph" w:styleId="4">
    <w:name w:val="Body Text"/>
    <w:basedOn w:val="1"/>
    <w:uiPriority w:val="0"/>
    <w:pPr>
      <w:snapToGrid w:val="0"/>
      <w:spacing w:line="420" w:lineRule="exact"/>
    </w:pPr>
    <w:rPr>
      <w:rFonts w:ascii="仿宋_GB2312" w:eastAsia="仿宋_GB2312"/>
      <w:sz w:val="32"/>
    </w:rPr>
  </w:style>
  <w:style w:type="paragraph" w:styleId="5">
    <w:name w:val="Body Text Indent"/>
    <w:basedOn w:val="1"/>
    <w:uiPriority w:val="0"/>
    <w:pPr>
      <w:tabs>
        <w:tab w:val="left" w:pos="7665"/>
      </w:tabs>
      <w:snapToGrid w:val="0"/>
      <w:spacing w:line="288" w:lineRule="auto"/>
      <w:ind w:firstLine="720"/>
    </w:pPr>
    <w:rPr>
      <w:rFonts w:ascii="仿宋_GB2312" w:eastAsia="仿宋_GB2312"/>
      <w:sz w:val="32"/>
      <w:szCs w:val="32"/>
    </w:rPr>
  </w:style>
  <w:style w:type="paragraph" w:styleId="6">
    <w:name w:val="Block Text"/>
    <w:basedOn w:val="1"/>
    <w:uiPriority w:val="0"/>
    <w:pPr>
      <w:tabs>
        <w:tab w:val="left" w:pos="7380"/>
      </w:tabs>
      <w:spacing w:line="660" w:lineRule="exact"/>
      <w:ind w:left="-2" w:leftChars="-1" w:right="46" w:rightChars="22"/>
      <w:jc w:val="center"/>
    </w:pPr>
    <w:rPr>
      <w:rFonts w:ascii="华文宋体" w:hAnsi="华文宋体" w:eastAsia="方正小标宋简体"/>
      <w:b/>
      <w:bCs/>
      <w:sz w:val="44"/>
      <w:szCs w:val="24"/>
    </w:rPr>
  </w:style>
  <w:style w:type="paragraph" w:styleId="7">
    <w:name w:val="Date"/>
    <w:basedOn w:val="1"/>
    <w:next w:val="1"/>
    <w:uiPriority w:val="0"/>
    <w:pPr>
      <w:ind w:left="100" w:leftChars="2500"/>
    </w:pPr>
    <w:rPr>
      <w:rFonts w:ascii="仿宋_GB2312" w:eastAsia="仿宋_GB2312"/>
      <w:sz w:val="32"/>
      <w:szCs w:val="32"/>
    </w:rPr>
  </w:style>
  <w:style w:type="paragraph" w:styleId="8">
    <w:name w:val="Body Text Indent 2"/>
    <w:basedOn w:val="1"/>
    <w:uiPriority w:val="0"/>
    <w:pPr>
      <w:snapToGrid w:val="0"/>
      <w:spacing w:line="460" w:lineRule="exact"/>
      <w:ind w:left="1599" w:leftChars="152" w:hanging="1280" w:hangingChars="400"/>
    </w:pPr>
    <w:rPr>
      <w:rFonts w:ascii="仿宋_GB2312" w:eastAsia="仿宋_GB2312"/>
      <w:sz w:val="32"/>
      <w:szCs w:val="32"/>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uiPriority w:val="0"/>
    <w:pPr>
      <w:spacing w:line="900" w:lineRule="exact"/>
      <w:ind w:firstLine="645"/>
    </w:pPr>
    <w:rPr>
      <w:rFonts w:eastAsia="仿宋_GB2312"/>
      <w:sz w:val="32"/>
    </w:rPr>
  </w:style>
  <w:style w:type="paragraph" w:styleId="13">
    <w:name w:val="Body Text 2"/>
    <w:basedOn w:val="1"/>
    <w:uiPriority w:val="0"/>
    <w:pPr>
      <w:jc w:val="center"/>
    </w:pPr>
    <w:rPr>
      <w:b/>
      <w:bCs/>
      <w:sz w:val="44"/>
    </w:rPr>
  </w:style>
  <w:style w:type="paragraph" w:styleId="14">
    <w:name w:val="Normal (Web)"/>
    <w:basedOn w:val="1"/>
    <w:uiPriority w:val="0"/>
    <w:pPr>
      <w:widowControl/>
      <w:spacing w:before="100" w:beforeAutospacing="1" w:after="100" w:afterAutospacing="1"/>
      <w:jc w:val="left"/>
    </w:pPr>
    <w:rPr>
      <w:rFonts w:ascii="宋体" w:hAnsi="宋体"/>
      <w:kern w:val="0"/>
      <w:sz w:val="24"/>
      <w:szCs w:val="24"/>
    </w:rPr>
  </w:style>
  <w:style w:type="character" w:styleId="17">
    <w:name w:val="Strong"/>
    <w:basedOn w:val="16"/>
    <w:qFormat/>
    <w:uiPriority w:val="0"/>
    <w:rPr>
      <w:b/>
      <w:bCs/>
    </w:rPr>
  </w:style>
  <w:style w:type="character" w:styleId="18">
    <w:name w:val="page number"/>
    <w:basedOn w:val="16"/>
    <w:uiPriority w:val="0"/>
  </w:style>
  <w:style w:type="character" w:styleId="19">
    <w:name w:val="FollowedHyperlink"/>
    <w:basedOn w:val="16"/>
    <w:uiPriority w:val="0"/>
    <w:rPr>
      <w:color w:val="800080"/>
      <w:u w:val="single"/>
    </w:rPr>
  </w:style>
  <w:style w:type="character" w:styleId="20">
    <w:name w:val="Hyperlink"/>
    <w:basedOn w:val="16"/>
    <w:uiPriority w:val="0"/>
    <w:rPr>
      <w:color w:val="0000FF"/>
      <w:u w:val="single"/>
    </w:rPr>
  </w:style>
  <w:style w:type="character" w:customStyle="1" w:styleId="21">
    <w:name w:val="read1"/>
    <w:basedOn w:val="16"/>
    <w:uiPriority w:val="0"/>
    <w:rPr>
      <w:rFonts w:hint="default"/>
      <w:color w:val="000000"/>
      <w:u w:val="none"/>
    </w:rPr>
  </w:style>
  <w:style w:type="character" w:customStyle="1" w:styleId="22">
    <w:name w:val="样式 加宽量  0.3 磅"/>
    <w:basedOn w:val="16"/>
    <w:uiPriority w:val="0"/>
    <w:rPr>
      <w:rFonts w:ascii="Times New Roman" w:hAnsi="Times New Roman" w:eastAsia="宋体"/>
      <w:spacing w:val="6"/>
      <w:sz w:val="24"/>
      <w:szCs w:val="24"/>
    </w:rPr>
  </w:style>
  <w:style w:type="character" w:customStyle="1" w:styleId="23">
    <w:name w:val="Subtle Emphasis"/>
    <w:basedOn w:val="16"/>
    <w:qFormat/>
    <w:uiPriority w:val="0"/>
    <w:rPr>
      <w:i/>
      <w:iCs/>
      <w:color w:val="808080"/>
    </w:rPr>
  </w:style>
  <w:style w:type="paragraph" w:customStyle="1" w:styleId="24">
    <w:name w:val="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25">
    <w:name w:val=" Char Char Char"/>
    <w:basedOn w:val="1"/>
    <w:uiPriority w:val="0"/>
    <w:pPr>
      <w:spacing w:line="360" w:lineRule="auto"/>
    </w:pPr>
    <w:rPr>
      <w:rFonts w:ascii="Tahoma" w:hAnsi="Tahoma"/>
      <w:sz w:val="24"/>
    </w:rPr>
  </w:style>
  <w:style w:type="paragraph" w:customStyle="1" w:styleId="26">
    <w:name w:val="默认段落字体 Para Char"/>
    <w:basedOn w:val="1"/>
    <w:uiPriority w:val="0"/>
    <w:rPr>
      <w:szCs w:val="24"/>
    </w:rPr>
  </w:style>
  <w:style w:type="paragraph" w:customStyle="1" w:styleId="27">
    <w:name w:val="线型"/>
    <w:basedOn w:val="1"/>
    <w:uiPriority w:val="0"/>
    <w:pPr>
      <w:autoSpaceDE w:val="0"/>
      <w:autoSpaceDN w:val="0"/>
      <w:adjustRightInd w:val="0"/>
      <w:ind w:right="357"/>
      <w:jc w:val="center"/>
    </w:pPr>
    <w:rPr>
      <w:rFonts w:ascii="方正仿宋_GBK" w:eastAsia="方正仿宋_GBK"/>
      <w:snapToGrid w:val="0"/>
      <w:kern w:val="0"/>
    </w:rPr>
  </w:style>
  <w:style w:type="paragraph" w:customStyle="1" w:styleId="28">
    <w:name w:val="1 Char Char Char Char Char Char Char Char Char Char Char Char Char Char Char Char Char Char Char"/>
    <w:basedOn w:val="1"/>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21457;&#25913;&#22996;&#19979;&#34892;&#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发改委下行文模板.dot</Template>
  <Company>计委</Company>
  <Pages>12</Pages>
  <Words>852</Words>
  <Characters>4861</Characters>
  <Lines>40</Lines>
  <Paragraphs>11</Paragraphs>
  <TotalTime>1</TotalTime>
  <ScaleCrop>false</ScaleCrop>
  <LinksUpToDate>false</LinksUpToDate>
  <CharactersWithSpaces>5702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2021-05-31T08:43:00Z</dcterms:created>
  <dc:creator>Legend User</dc:creator>
  <cp:lastModifiedBy>Pan</cp:lastModifiedBy>
  <cp:lastPrinted>2021-05-31T08:20:00Z</cp:lastPrinted>
  <dcterms:modified xsi:type="dcterms:W3CDTF">2021-06-01T06:25:27Z</dcterms:modified>
  <dc:title>关于申请2000年下半年度油脂及羊毛进口配额的请示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0BF8B39F93CF429293155D4DF5B28D3A</vt:lpwstr>
  </property>
</Properties>
</file>