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84" w:rsidRDefault="00E82D84" w:rsidP="00E82D84">
      <w:pPr>
        <w:adjustRightInd w:val="0"/>
        <w:snapToGrid w:val="0"/>
        <w:spacing w:line="560" w:lineRule="exact"/>
        <w:ind w:firstLineChars="0" w:firstLine="0"/>
        <w:rPr>
          <w:rFonts w:ascii="黑体" w:eastAsia="黑体" w:hAnsi="黑体" w:cs="黑体" w:hint="eastAsia"/>
          <w:szCs w:val="32"/>
        </w:rPr>
      </w:pPr>
      <w:r>
        <w:rPr>
          <w:rFonts w:ascii="黑体" w:eastAsia="黑体" w:hAnsi="黑体" w:cs="黑体" w:hint="eastAsia"/>
          <w:szCs w:val="32"/>
        </w:rPr>
        <w:t>附件1</w:t>
      </w:r>
    </w:p>
    <w:p w:rsidR="00E82D84" w:rsidRDefault="00E82D84" w:rsidP="00E82D84">
      <w:pPr>
        <w:spacing w:line="560" w:lineRule="exact"/>
        <w:ind w:firstLineChars="0" w:firstLine="0"/>
        <w:rPr>
          <w:rFonts w:ascii="黑体" w:eastAsia="黑体" w:hAnsi="黑体" w:cs="黑体"/>
          <w:szCs w:val="32"/>
        </w:rPr>
      </w:pPr>
    </w:p>
    <w:p w:rsidR="00E82D84" w:rsidRDefault="00E82D84" w:rsidP="00E82D84">
      <w:pPr>
        <w:spacing w:line="560" w:lineRule="exact"/>
        <w:ind w:firstLineChars="0" w:firstLine="0"/>
        <w:jc w:val="center"/>
        <w:rPr>
          <w:rFonts w:ascii="方正小标宋简体" w:eastAsia="方正小标宋简体" w:hAnsi="楷体"/>
          <w:bCs/>
          <w:color w:val="000000"/>
          <w:sz w:val="44"/>
          <w:szCs w:val="44"/>
        </w:rPr>
      </w:pPr>
      <w:bookmarkStart w:id="0" w:name="_GoBack"/>
      <w:r>
        <w:rPr>
          <w:rFonts w:ascii="方正小标宋简体" w:eastAsia="方正小标宋简体" w:hAnsi="楷体" w:hint="eastAsia"/>
          <w:bCs/>
          <w:color w:val="000000"/>
          <w:sz w:val="44"/>
          <w:szCs w:val="44"/>
        </w:rPr>
        <w:t>2021年新北区秸秆机械化还田作业</w:t>
      </w:r>
    </w:p>
    <w:p w:rsidR="00E82D84" w:rsidRDefault="00E82D84" w:rsidP="00E82D84">
      <w:pPr>
        <w:spacing w:line="560" w:lineRule="exact"/>
        <w:ind w:firstLineChars="0" w:firstLine="0"/>
        <w:jc w:val="center"/>
        <w:rPr>
          <w:rFonts w:ascii="方正小标宋简体" w:eastAsia="方正小标宋简体" w:hAnsi="楷体" w:hint="eastAsia"/>
          <w:bCs/>
          <w:color w:val="000000"/>
          <w:sz w:val="44"/>
          <w:szCs w:val="44"/>
        </w:rPr>
      </w:pPr>
      <w:r>
        <w:rPr>
          <w:rFonts w:ascii="方正小标宋简体" w:eastAsia="方正小标宋简体" w:hAnsi="楷体" w:hint="eastAsia"/>
          <w:bCs/>
          <w:color w:val="000000"/>
          <w:sz w:val="44"/>
          <w:szCs w:val="44"/>
        </w:rPr>
        <w:t>操作程序指导图</w:t>
      </w:r>
      <w:bookmarkEnd w:id="0"/>
    </w:p>
    <w:p w:rsidR="00E82D84" w:rsidRDefault="00E82D84" w:rsidP="00E82D84">
      <w:pPr>
        <w:spacing w:line="560" w:lineRule="exact"/>
        <w:ind w:firstLineChars="0" w:firstLine="0"/>
        <w:jc w:val="center"/>
        <w:rPr>
          <w:rFonts w:ascii="方正小标宋简体" w:eastAsia="方正小标宋简体" w:hAnsi="楷体" w:hint="eastAsia"/>
          <w:bCs/>
          <w:color w:val="000000"/>
          <w:sz w:val="44"/>
          <w:szCs w:val="44"/>
        </w:rPr>
      </w:pPr>
      <w:r>
        <w:rPr>
          <w:rFonts w:ascii="方正小标宋简体" w:eastAsia="方正小标宋简体" w:hAnsi="楷体"/>
          <w:bCs/>
          <w:noProof/>
          <w:color w:val="000000"/>
          <w:sz w:val="44"/>
          <w:szCs w:val="44"/>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342900</wp:posOffset>
                </wp:positionV>
                <wp:extent cx="5705475" cy="6353810"/>
                <wp:effectExtent l="8255" t="11430" r="1079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6353810"/>
                          <a:chOff x="1558" y="4878"/>
                          <a:chExt cx="8985" cy="10006"/>
                        </a:xfrm>
                      </wpg:grpSpPr>
                      <wpg:grpSp>
                        <wpg:cNvPr id="2" name="Group 3"/>
                        <wpg:cNvGrpSpPr>
                          <a:grpSpLocks/>
                        </wpg:cNvGrpSpPr>
                        <wpg:grpSpPr bwMode="auto">
                          <a:xfrm>
                            <a:off x="1558" y="4878"/>
                            <a:ext cx="8985" cy="10006"/>
                            <a:chOff x="1588" y="4573"/>
                            <a:chExt cx="8985" cy="10006"/>
                          </a:xfrm>
                        </wpg:grpSpPr>
                        <wps:wsp>
                          <wps:cNvPr id="3" name="Text Box 4"/>
                          <wps:cNvSpPr txBox="1">
                            <a:spLocks noChangeArrowheads="1"/>
                          </wps:cNvSpPr>
                          <wps:spPr bwMode="auto">
                            <a:xfrm>
                              <a:off x="1588" y="4573"/>
                              <a:ext cx="8955" cy="833"/>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rFonts w:ascii="仿宋_GB2312" w:hAnsi="宋体"/>
                                    <w:sz w:val="24"/>
                                    <w:szCs w:val="24"/>
                                  </w:rPr>
                                </w:pPr>
                                <w:r>
                                  <w:rPr>
                                    <w:rFonts w:ascii="仿宋_GB2312" w:hAnsi="仿宋" w:hint="eastAsia"/>
                                    <w:color w:val="000000"/>
                                    <w:sz w:val="24"/>
                                    <w:szCs w:val="24"/>
                                  </w:rPr>
                                  <w:t>镇根据年度实施方案组织各村委会（居委会）将</w:t>
                                </w:r>
                                <w:r>
                                  <w:rPr>
                                    <w:rFonts w:ascii="仿宋_GB2312" w:hAnsi="宋体" w:hint="eastAsia"/>
                                    <w:sz w:val="24"/>
                                    <w:szCs w:val="24"/>
                                  </w:rPr>
                                  <w:t>《2021年新北区秸秆机械化还田作业补助政策告知书》（附件2）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wps:txbx>
                          <wps:bodyPr rot="0" vert="horz" wrap="square" lIns="91440" tIns="45720" rIns="91440" bIns="45720" anchor="t" anchorCtr="0" upright="1">
                            <a:noAutofit/>
                          </wps:bodyPr>
                        </wps:wsp>
                        <wps:wsp>
                          <wps:cNvPr id="4" name="AutoShape 5"/>
                          <wps:cNvSpPr>
                            <a:spLocks noChangeArrowheads="1"/>
                          </wps:cNvSpPr>
                          <wps:spPr bwMode="auto">
                            <a:xfrm>
                              <a:off x="6088" y="5421"/>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 name="Text Box 6"/>
                          <wps:cNvSpPr txBox="1">
                            <a:spLocks noChangeArrowheads="1"/>
                          </wps:cNvSpPr>
                          <wps:spPr bwMode="auto">
                            <a:xfrm>
                              <a:off x="1588" y="8354"/>
                              <a:ext cx="8955" cy="434"/>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wps:txbx>
                          <wps:bodyPr rot="0" vert="horz" wrap="square" lIns="91440" tIns="45720" rIns="91440" bIns="45720" anchor="t" anchorCtr="0" upright="1">
                            <a:noAutofit/>
                          </wps:bodyPr>
                        </wps:wsp>
                        <wps:wsp>
                          <wps:cNvPr id="6" name="AutoShape 7"/>
                          <wps:cNvSpPr>
                            <a:spLocks noChangeArrowheads="1"/>
                          </wps:cNvSpPr>
                          <wps:spPr bwMode="auto">
                            <a:xfrm>
                              <a:off x="6088" y="8092"/>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 name="Text Box 8"/>
                          <wps:cNvSpPr txBox="1">
                            <a:spLocks noChangeArrowheads="1"/>
                          </wps:cNvSpPr>
                          <wps:spPr bwMode="auto">
                            <a:xfrm>
                              <a:off x="1588" y="9028"/>
                              <a:ext cx="8955" cy="1412"/>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sz w:val="24"/>
                                    <w:szCs w:val="24"/>
                                  </w:rPr>
                                </w:pPr>
                                <w:r>
                                  <w:rPr>
                                    <w:rFonts w:ascii="仿宋_GB2312" w:hAnsi="宋体" w:hint="eastAsia"/>
                                    <w:sz w:val="24"/>
                                    <w:szCs w:val="24"/>
                                  </w:rPr>
                                  <w:t>镇（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2021年秸秆机械化还田情况镇补贴清册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588" y="11745"/>
                              <a:ext cx="8955" cy="1470"/>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秸秆机械化还田作业补贴。省、区两级补贴同步下达，由区财政局统一代各镇发放，直接发放至补助对象，补助对象为个人的全部通过一折</w:t>
                                </w:r>
                                <w:proofErr w:type="gramStart"/>
                                <w:r>
                                  <w:rPr>
                                    <w:rFonts w:ascii="仿宋_GB2312" w:hAnsi="仿宋" w:cs="仿宋_GB2312" w:hint="eastAsia"/>
                                    <w:spacing w:val="-4"/>
                                    <w:sz w:val="24"/>
                                    <w:szCs w:val="24"/>
                                  </w:rPr>
                                  <w:t>通直接</w:t>
                                </w:r>
                                <w:proofErr w:type="gramEnd"/>
                                <w:r>
                                  <w:rPr>
                                    <w:rFonts w:ascii="仿宋_GB2312" w:hAnsi="仿宋" w:cs="仿宋_GB2312" w:hint="eastAsia"/>
                                    <w:spacing w:val="-4"/>
                                    <w:sz w:val="24"/>
                                    <w:szCs w:val="24"/>
                                  </w:rPr>
                                  <w:t>兑付，补助对象为农机服务组织的直接支付其对公账户。发放清单应当由区镇（街道）两级农机、财政部门会签，并确保及时兑付</w:t>
                                </w:r>
                                <w:r>
                                  <w:rPr>
                                    <w:rFonts w:ascii="仿宋_GB2312" w:hAnsi="宋体" w:hint="eastAsia"/>
                                    <w:sz w:val="24"/>
                                    <w:szCs w:val="24"/>
                                  </w:rPr>
                                  <w:t>。</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6088" y="11510"/>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 name="Text Box 11"/>
                          <wps:cNvSpPr txBox="1">
                            <a:spLocks noChangeArrowheads="1"/>
                          </wps:cNvSpPr>
                          <wps:spPr bwMode="auto">
                            <a:xfrm>
                              <a:off x="1588" y="5676"/>
                              <a:ext cx="8955" cy="1014"/>
                            </a:xfrm>
                            <a:prstGeom prst="rect">
                              <a:avLst/>
                            </a:prstGeom>
                            <a:solidFill>
                              <a:srgbClr val="FFFFFF"/>
                            </a:solidFill>
                            <a:ln w="9525">
                              <a:solidFill>
                                <a:srgbClr val="000000"/>
                              </a:solidFill>
                              <a:miter lim="800000"/>
                              <a:headEnd/>
                              <a:tailEnd/>
                            </a:ln>
                          </wps:spPr>
                          <wps:txbx>
                            <w:txbxContent>
                              <w:p w:rsidR="00E82D84" w:rsidRDefault="00E82D84" w:rsidP="00E82D84">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补助对象按制定的作业标准进行还田作业后，村（居）委进行实地核实。小组组长、村（居）会计、村（居）主任及村（居）支部书记及补助对象在《2021年秸秆机械化还田作业确认表》（附件3）上签字确认。</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588" y="10712"/>
                              <a:ext cx="8955" cy="783"/>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6088" y="10462"/>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4"/>
                          <wps:cNvSpPr>
                            <a:spLocks noChangeArrowheads="1"/>
                          </wps:cNvSpPr>
                          <wps:spPr bwMode="auto">
                            <a:xfrm>
                              <a:off x="6088" y="13232"/>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Text Box 15"/>
                          <wps:cNvSpPr txBox="1">
                            <a:spLocks noChangeArrowheads="1"/>
                          </wps:cNvSpPr>
                          <wps:spPr bwMode="auto">
                            <a:xfrm>
                              <a:off x="1618" y="13459"/>
                              <a:ext cx="8955" cy="1120"/>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E82D84" w:rsidRDefault="00E82D84" w:rsidP="00E82D84">
                                <w:pPr>
                                  <w:spacing w:line="320" w:lineRule="exact"/>
                                  <w:ind w:firstLine="640"/>
                                  <w:jc w:val="center"/>
                                  <w:rPr>
                                    <w:rFonts w:ascii="仿宋_GB2312" w:hAnsi="宋体"/>
                                    <w:color w:val="00000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588" y="6941"/>
                              <a:ext cx="8955" cy="1136"/>
                            </a:xfrm>
                            <a:prstGeom prst="rect">
                              <a:avLst/>
                            </a:prstGeom>
                            <a:solidFill>
                              <a:srgbClr val="FFFFFF"/>
                            </a:solidFill>
                            <a:ln w="9525">
                              <a:solidFill>
                                <a:srgbClr val="000000"/>
                              </a:solidFill>
                              <a:miter lim="800000"/>
                              <a:headEnd/>
                              <a:tailEnd/>
                            </a:ln>
                          </wps:spPr>
                          <wps:txbx>
                            <w:txbxContent>
                              <w:p w:rsidR="00E82D84" w:rsidRDefault="00E82D84" w:rsidP="00E82D84">
                                <w:pPr>
                                  <w:spacing w:line="320" w:lineRule="exact"/>
                                  <w:ind w:firstLineChars="0" w:firstLine="0"/>
                                  <w:rPr>
                                    <w:rFonts w:ascii="仿宋_GB2312" w:hAnsi="宋体"/>
                                    <w:sz w:val="24"/>
                                    <w:szCs w:val="24"/>
                                  </w:rPr>
                                </w:pPr>
                                <w:r>
                                  <w:rPr>
                                    <w:rFonts w:ascii="仿宋_GB2312" w:hAnsi="宋体" w:hint="eastAsia"/>
                                    <w:sz w:val="24"/>
                                    <w:szCs w:val="24"/>
                                  </w:rPr>
                                  <w:t>村（</w:t>
                                </w:r>
                                <w:r>
                                  <w:rPr>
                                    <w:rFonts w:ascii="仿宋_GB2312" w:hAnsi="宋体" w:hint="eastAsia"/>
                                    <w:sz w:val="24"/>
                                    <w:szCs w:val="24"/>
                                  </w:rPr>
                                  <w:t>居）委会将《2021年秸秆机械化还田作业确认表》提交镇（街道）农机部门审核汇总。重点审核作业补助面积50亩及以上的实际种植户，其承包合同需由相关镇核实确认，无法核实的，由所在村（社区）实地核实，并盖章确认。</w:t>
                                </w:r>
                              </w:p>
                              <w:p w:rsidR="00E82D84" w:rsidRDefault="00E82D84" w:rsidP="00E82D84">
                                <w:pPr>
                                  <w:ind w:firstLineChars="0" w:firstLine="0"/>
                                  <w:rPr>
                                    <w:rFonts w:ascii="宋体" w:hAnsi="宋体"/>
                                    <w:color w:val="000000"/>
                                    <w:sz w:val="28"/>
                                    <w:szCs w:val="28"/>
                                  </w:rPr>
                                </w:pPr>
                              </w:p>
                            </w:txbxContent>
                          </wps:txbx>
                          <wps:bodyPr rot="0" vert="horz" wrap="square" lIns="91440" tIns="45720" rIns="91440" bIns="45720" anchor="t" anchorCtr="0" upright="1">
                            <a:noAutofit/>
                          </wps:bodyPr>
                        </wps:wsp>
                        <wps:wsp>
                          <wps:cNvPr id="16" name="AutoShape 17"/>
                          <wps:cNvSpPr>
                            <a:spLocks noChangeArrowheads="1"/>
                          </wps:cNvSpPr>
                          <wps:spPr bwMode="auto">
                            <a:xfrm>
                              <a:off x="6088" y="6694"/>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s:wsp>
                        <wps:cNvPr id="17" name="AutoShape 18"/>
                        <wps:cNvSpPr>
                          <a:spLocks noChangeArrowheads="1"/>
                        </wps:cNvSpPr>
                        <wps:spPr bwMode="auto">
                          <a:xfrm>
                            <a:off x="6058" y="9088"/>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5pt;margin-top:27pt;width:449.25pt;height:500.3pt;z-index:251659264" coordorigin="1558,4878" coordsize="8985,1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">
                <v:group id="Group 3" o:spid="_x0000_s1027" style="position:absolute;left:1558;top:4878;width:8985;height:10006" coordorigin="1588,4573" coordsize="8985,10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588;top:4573;width:8955;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82D84" w:rsidRDefault="00E82D84" w:rsidP="00E82D84">
                          <w:pPr>
                            <w:spacing w:line="320" w:lineRule="exact"/>
                            <w:ind w:firstLineChars="0" w:firstLine="0"/>
                            <w:rPr>
                              <w:rFonts w:ascii="仿宋_GB2312" w:hAnsi="宋体"/>
                              <w:sz w:val="24"/>
                              <w:szCs w:val="24"/>
                            </w:rPr>
                          </w:pPr>
                          <w:r>
                            <w:rPr>
                              <w:rFonts w:ascii="仿宋_GB2312" w:hAnsi="仿宋" w:hint="eastAsia"/>
                              <w:color w:val="000000"/>
                              <w:sz w:val="24"/>
                              <w:szCs w:val="24"/>
                            </w:rPr>
                            <w:t>镇根据年度实施方案组织各村委会（居委会）将</w:t>
                          </w:r>
                          <w:r>
                            <w:rPr>
                              <w:rFonts w:ascii="仿宋_GB2312" w:hAnsi="宋体" w:hint="eastAsia"/>
                              <w:sz w:val="24"/>
                              <w:szCs w:val="24"/>
                            </w:rPr>
                            <w:t>《2021年新北区秸秆机械化还田作业补助政策告知书》（附件2）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6088;top:5421;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u2cAA&#10;AADaAAAADwAAAGRycy9kb3ducmV2LnhtbESP0WoCMRRE34X+Q7gF3zS7p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4u2cAAAADaAAAADwAAAAAAAAAAAAAAAACYAgAAZHJzL2Rvd25y&#10;ZXYueG1sUEsFBgAAAAAEAAQA9QAAAIUDAAAAAA==&#10;">
                    <v:textbox style="layout-flow:vertical-ideographic"/>
                  </v:shape>
                  <v:shape id="Text Box 6" o:spid="_x0000_s1030" type="#_x0000_t202" style="position:absolute;left:1588;top:8354;width:895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82D84" w:rsidRDefault="00E82D84" w:rsidP="00E82D84">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v:textbox>
                  </v:shape>
                  <v:shape id="AutoShape 7" o:spid="_x0000_s1031" type="#_x0000_t67" style="position:absolute;left:6088;top:8092;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NcAA&#10;AADaAAAADwAAAGRycy9kb3ducmV2LnhtbESPwWrDMBBE74X8g9hAb43sQExxo5hgCOTWNO0HLNbW&#10;NrFWiqQ46t9HhUKPw8y8YbZNMpOYyYfRsoJyVYAg7qweuVfw9Xl4eQURIrLGyTIp+KEAzW7xtMVa&#10;2zt/0HyOvcgQDjUqGGJ0tZShG8hgWFlHnL1v6w3GLH0vtcd7hptJrouikgZHzgsDOmoH6i7nm1Fw&#10;nU/lEcsqvad0c14fNps2OqWel2n/BiJSiv/hv/ZRK6jg90q+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AVNcAAAADaAAAADwAAAAAAAAAAAAAAAACYAgAAZHJzL2Rvd25y&#10;ZXYueG1sUEsFBgAAAAAEAAQA9QAAAIUDAAAAAA==&#10;">
                    <v:textbox style="layout-flow:vertical-ideographic"/>
                  </v:shape>
                  <v:shape id="Text Box 8" o:spid="_x0000_s1032" type="#_x0000_t202" style="position:absolute;left:1588;top:9028;width:8955;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82D84" w:rsidRDefault="00E82D84" w:rsidP="00E82D84">
                          <w:pPr>
                            <w:spacing w:line="320" w:lineRule="exact"/>
                            <w:ind w:firstLineChars="0" w:firstLine="0"/>
                            <w:rPr>
                              <w:sz w:val="24"/>
                              <w:szCs w:val="24"/>
                            </w:rPr>
                          </w:pPr>
                          <w:r>
                            <w:rPr>
                              <w:rFonts w:ascii="仿宋_GB2312" w:hAnsi="宋体" w:hint="eastAsia"/>
                              <w:sz w:val="24"/>
                              <w:szCs w:val="24"/>
                            </w:rPr>
                            <w:t>镇（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2021年秸秆机械化还田情况镇补贴清册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v:textbox>
                  </v:shape>
                  <v:shape id="Text Box 9" o:spid="_x0000_s1033" type="#_x0000_t202" style="position:absolute;left:1588;top:11745;width:895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82D84" w:rsidRDefault="00E82D84" w:rsidP="00E82D84">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秸秆机械化还田作业补贴。省、区两级补贴同步下达，由区财政局统一代各镇发放，直接发放至补助对象，补助对象为个人的全部通过一折</w:t>
                          </w:r>
                          <w:proofErr w:type="gramStart"/>
                          <w:r>
                            <w:rPr>
                              <w:rFonts w:ascii="仿宋_GB2312" w:hAnsi="仿宋" w:cs="仿宋_GB2312" w:hint="eastAsia"/>
                              <w:spacing w:val="-4"/>
                              <w:sz w:val="24"/>
                              <w:szCs w:val="24"/>
                            </w:rPr>
                            <w:t>通直接</w:t>
                          </w:r>
                          <w:proofErr w:type="gramEnd"/>
                          <w:r>
                            <w:rPr>
                              <w:rFonts w:ascii="仿宋_GB2312" w:hAnsi="仿宋" w:cs="仿宋_GB2312" w:hint="eastAsia"/>
                              <w:spacing w:val="-4"/>
                              <w:sz w:val="24"/>
                              <w:szCs w:val="24"/>
                            </w:rPr>
                            <w:t>兑付，补助对象为农机服务组织的直接支付其对公账户。发放清单应当由区镇（街道）两级农机、财政部门会签，并确保及时兑付</w:t>
                          </w:r>
                          <w:r>
                            <w:rPr>
                              <w:rFonts w:ascii="仿宋_GB2312" w:hAnsi="宋体" w:hint="eastAsia"/>
                              <w:sz w:val="24"/>
                              <w:szCs w:val="24"/>
                            </w:rPr>
                            <w:t>。</w:t>
                          </w:r>
                        </w:p>
                      </w:txbxContent>
                    </v:textbox>
                  </v:shape>
                  <v:shape id="AutoShape 10" o:spid="_x0000_s1034" type="#_x0000_t67" style="position:absolute;left:6088;top:11510;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R8AA&#10;AADaAAAADwAAAGRycy9kb3ducmV2LnhtbESP3WoCMRSE74W+QzgF7zS7BUVXoxRB8M768wCHzXF3&#10;cXOSJnFN374pFLwcZuYbZr1NphcD+dBZVlBOCxDEtdUdNwqul/1kASJEZI29ZVLwQwG2m7fRGitt&#10;n3yi4RwbkSEcKlTQxugqKUPdksEwtY44ezfrDcYsfSO1x2eGm15+FMVcGuw4L7ToaNdSfT8/jILv&#10;4as8YDlPx5Qezuv9bLaLTqnxe/pcgYiU4iv83z5oBUv4u5Jv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BR8AAAADaAAAADwAAAAAAAAAAAAAAAACYAgAAZHJzL2Rvd25y&#10;ZXYueG1sUEsFBgAAAAAEAAQA9QAAAIUDAAAAAA==&#10;">
                    <v:textbox style="layout-flow:vertical-ideographic"/>
                  </v:shape>
                  <v:shape id="Text Box 11" o:spid="_x0000_s1035" type="#_x0000_t202" style="position:absolute;left:1588;top:5676;width:8955;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82D84" w:rsidRDefault="00E82D84" w:rsidP="00E82D84">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补助对象按制定的作业标准进行还田作业后，村（居）委进行实地核实。小组组长、村（居）会计、村（居）主任及村（居）支部书记及补助对象在《2021年秸秆机械化还田作业确认表》（附件3）上签字确认。</w:t>
                          </w:r>
                        </w:p>
                      </w:txbxContent>
                    </v:textbox>
                  </v:shape>
                  <v:shape id="Text Box 12" o:spid="_x0000_s1036" type="#_x0000_t202" style="position:absolute;left:1588;top:10712;width:8955;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82D84" w:rsidRDefault="00E82D84" w:rsidP="00E82D84">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v:textbox>
                  </v:shape>
                  <v:shape id="AutoShape 13" o:spid="_x0000_s1037" type="#_x0000_t67" style="position:absolute;left:6088;top:10462;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k7r4A&#10;AADbAAAADwAAAGRycy9kb3ducmV2LnhtbERP24rCMBB9F/yHMMK+aVpBkWqURRB8c718wNDMtmWb&#10;STaJNf79ZkHwbQ7nOptdMr0YyIfOsoJyVoAgrq3uuFFwux6mKxAhImvsLZOCJwXYbcejDVbaPvhM&#10;wyU2IodwqFBBG6OrpAx1SwbDzDrizH1bbzBm6BupPT5yuOnlvCiW0mDHuaFFR/uW6p/L3Sj4Hb7K&#10;I5bLdErp7rw+LBb76JT6mKTPNYhIKb7FL/dR5/lz+P8lH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sJO6+AAAA2wAAAA8AAAAAAAAAAAAAAAAAmAIAAGRycy9kb3ducmV2&#10;LnhtbFBLBQYAAAAABAAEAPUAAACDAwAAAAA=&#10;">
                    <v:textbox style="layout-flow:vertical-ideographic"/>
                  </v:shape>
                  <v:shape id="AutoShape 14" o:spid="_x0000_s1038" type="#_x0000_t67" style="position:absolute;left:6088;top:13232;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Bdb4A&#10;AADbAAAADwAAAGRycy9kb3ducmV2LnhtbERPzWoCMRC+C32HMAVvmt0W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gXW+AAAA2wAAAA8AAAAAAAAAAAAAAAAAmAIAAGRycy9kb3ducmV2&#10;LnhtbFBLBQYAAAAABAAEAPUAAACDAwAAAAA=&#10;">
                    <v:textbox style="layout-flow:vertical-ideographic"/>
                  </v:shape>
                  <v:shape id="Text Box 15" o:spid="_x0000_s1039" type="#_x0000_t202" style="position:absolute;left:1618;top:13459;width:8955;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2D84" w:rsidRDefault="00E82D84" w:rsidP="00E82D84">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E82D84" w:rsidRDefault="00E82D84" w:rsidP="00E82D84">
                          <w:pPr>
                            <w:spacing w:line="320" w:lineRule="exact"/>
                            <w:ind w:firstLine="640"/>
                            <w:jc w:val="center"/>
                            <w:rPr>
                              <w:rFonts w:ascii="仿宋_GB2312" w:hAnsi="宋体"/>
                              <w:color w:val="000000"/>
                            </w:rPr>
                          </w:pPr>
                        </w:p>
                      </w:txbxContent>
                    </v:textbox>
                  </v:shape>
                  <v:shape id="Text Box 16" o:spid="_x0000_s1040" type="#_x0000_t202" style="position:absolute;left:1588;top:6941;width:8955;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82D84" w:rsidRDefault="00E82D84" w:rsidP="00E82D84">
                          <w:pPr>
                            <w:spacing w:line="320" w:lineRule="exact"/>
                            <w:ind w:firstLineChars="0" w:firstLine="0"/>
                            <w:rPr>
                              <w:rFonts w:ascii="仿宋_GB2312" w:hAnsi="宋体"/>
                              <w:sz w:val="24"/>
                              <w:szCs w:val="24"/>
                            </w:rPr>
                          </w:pPr>
                          <w:r>
                            <w:rPr>
                              <w:rFonts w:ascii="仿宋_GB2312" w:hAnsi="宋体" w:hint="eastAsia"/>
                              <w:sz w:val="24"/>
                              <w:szCs w:val="24"/>
                            </w:rPr>
                            <w:t>村（</w:t>
                          </w:r>
                          <w:r>
                            <w:rPr>
                              <w:rFonts w:ascii="仿宋_GB2312" w:hAnsi="宋体" w:hint="eastAsia"/>
                              <w:sz w:val="24"/>
                              <w:szCs w:val="24"/>
                            </w:rPr>
                            <w:t>居）委会将《2021年秸秆机械化还田作业确认表》提交镇（街道）农机部门审核汇总。重点审核作业补助面积50亩及以上的实际种植户，其承包合同需由相关镇核实确认，无法核实的，由所在村（社区）实地核实，并盖章确认。</w:t>
                          </w:r>
                        </w:p>
                        <w:p w:rsidR="00E82D84" w:rsidRDefault="00E82D84" w:rsidP="00E82D84">
                          <w:pPr>
                            <w:ind w:firstLineChars="0" w:firstLine="0"/>
                            <w:rPr>
                              <w:rFonts w:ascii="宋体" w:hAnsi="宋体"/>
                              <w:color w:val="000000"/>
                              <w:sz w:val="28"/>
                              <w:szCs w:val="28"/>
                            </w:rPr>
                          </w:pPr>
                        </w:p>
                      </w:txbxContent>
                    </v:textbox>
                  </v:shape>
                  <v:shape id="AutoShape 17" o:spid="_x0000_s1041" type="#_x0000_t67" style="position:absolute;left:6088;top:6694;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i7b4A&#10;AADbAAAADwAAAGRycy9kb3ducmV2LnhtbERPzYrCMBC+C75DGMGbphUsS9coiyB421X3AYZmti3b&#10;TGISa/btN4LgbT6+39nskhnESD70lhWUywIEcWN1z62C78th8QYiRGSNg2VS8EcBdtvpZIO1tnc+&#10;0XiOrcghHGpU0MXoailD05HBsLSOOHM/1huMGfpWao/3HG4GuSqKShrsOTd06GjfUfN7vhkF1/Gr&#10;PGJZpc+Ubs7rw3q9j06p+Sx9vIOIlOJL/HQfdZ5fweOXfI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XIu2+AAAA2wAAAA8AAAAAAAAAAAAAAAAAmAIAAGRycy9kb3ducmV2&#10;LnhtbFBLBQYAAAAABAAEAPUAAACDAwAAAAA=&#10;">
                    <v:textbox style="layout-flow:vertical-ideographic"/>
                  </v:shape>
                </v:group>
                <v:shape id="AutoShape 18" o:spid="_x0000_s1042" type="#_x0000_t67" style="position:absolute;left:6058;top:9088;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Hdr8A&#10;AADbAAAADwAAAGRycy9kb3ducmV2LnhtbERP22oCMRB9F/oPYQq+aXYLXliNUgTBN+vlA4bNuLu4&#10;maRJXNO/bwoF3+ZwrrPeJtOLgXzoLCsopwUI4trqjhsF18t+sgQRIrLG3jIp+KEA283baI2Vtk8+&#10;0XCOjcghHCpU0MboKilD3ZLBMLWOOHM36w3GDH0jtcdnDje9/CiKuTTYcW5o0dGupfp+fhgF38NX&#10;ecByno4pPZzX+9lsF51S4/f0uQIRKcWX+N990Hn+Av5+y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4d2vwAAANsAAAAPAAAAAAAAAAAAAAAAAJgCAABkcnMvZG93bnJl&#10;di54bWxQSwUGAAAAAAQABAD1AAAAhAMAAAAA&#10;">
                  <v:textbox style="layout-flow:vertical-ideographic"/>
                </v:shape>
              </v:group>
            </w:pict>
          </mc:Fallback>
        </mc:AlternateContent>
      </w:r>
    </w:p>
    <w:p w:rsidR="005C74A6" w:rsidRDefault="00E82D84" w:rsidP="00E82D84">
      <w:pPr>
        <w:ind w:firstLine="880"/>
      </w:pPr>
      <w:r>
        <w:rPr>
          <w:rFonts w:ascii="方正小标宋简体" w:eastAsia="方正小标宋简体" w:hAnsi="楷体"/>
          <w:bCs/>
          <w:color w:val="000000"/>
          <w:sz w:val="44"/>
          <w:szCs w:val="44"/>
        </w:rPr>
        <w:br w:type="page"/>
      </w:r>
    </w:p>
    <w:sectPr w:rsidR="005C7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84"/>
    <w:rsid w:val="005C74A6"/>
    <w:rsid w:val="00E8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84"/>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84"/>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Company>Microsoft</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2021-07-26T02:46:00Z</dcterms:created>
  <dcterms:modified xsi:type="dcterms:W3CDTF">2021-07-26T02:46:00Z</dcterms:modified>
</cp:coreProperties>
</file>