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2B" w:rsidRDefault="0097252B" w:rsidP="0097252B">
      <w:pPr>
        <w:spacing w:line="52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附件1 </w:t>
      </w:r>
    </w:p>
    <w:p w:rsidR="0097252B" w:rsidRDefault="0097252B" w:rsidP="0097252B">
      <w:pPr>
        <w:spacing w:line="520" w:lineRule="exact"/>
        <w:ind w:firstLineChars="0" w:firstLine="0"/>
        <w:rPr>
          <w:rFonts w:ascii="黑体" w:eastAsia="黑体" w:hAnsi="黑体" w:cs="黑体" w:hint="eastAsia"/>
          <w:szCs w:val="32"/>
        </w:rPr>
      </w:pPr>
    </w:p>
    <w:p w:rsidR="0097252B" w:rsidRDefault="0097252B" w:rsidP="0097252B">
      <w:pPr>
        <w:snapToGrid w:val="0"/>
        <w:spacing w:line="560" w:lineRule="exact"/>
        <w:ind w:firstLineChars="0" w:firstLine="0"/>
        <w:jc w:val="center"/>
        <w:rPr>
          <w:rFonts w:ascii="Calibri" w:eastAsia="方正小标宋简体" w:hAnsi="Calibri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新北区集体土地上房屋拆迁重置价格表</w:t>
      </w:r>
    </w:p>
    <w:p w:rsidR="0097252B" w:rsidRDefault="0097252B" w:rsidP="0097252B">
      <w:pPr>
        <w:spacing w:line="560" w:lineRule="exact"/>
        <w:ind w:firstLineChars="0" w:firstLine="0"/>
        <w:jc w:val="center"/>
        <w:rPr>
          <w:rFonts w:ascii="Calibri" w:eastAsia="方正小标宋简体" w:hAnsi="Calibri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794"/>
        <w:gridCol w:w="5824"/>
        <w:gridCol w:w="1009"/>
      </w:tblGrid>
      <w:tr w:rsidR="0097252B" w:rsidRPr="00E50AD8" w:rsidTr="00D92FF6">
        <w:trPr>
          <w:trHeight w:val="567"/>
          <w:tblHeader/>
          <w:jc w:val="center"/>
        </w:trPr>
        <w:tc>
          <w:tcPr>
            <w:tcW w:w="525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类别</w:t>
            </w: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等级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结构装修及设备状况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元/m</w:t>
            </w: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  <w:vertAlign w:val="superscript"/>
              </w:rPr>
              <w:t>2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 w:val="restar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Ansi="Calibri" w:cs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钢</w:t>
            </w:r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Ansi="Calibri" w:cs="仿宋_GB2312" w:hint="eastAsia"/>
                <w:snapToGrid w:val="0"/>
                <w:sz w:val="24"/>
                <w:szCs w:val="24"/>
              </w:rPr>
            </w:pP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筋</w:t>
            </w:r>
            <w:proofErr w:type="gramEnd"/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Ansi="Calibri" w:cs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混</w:t>
            </w:r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Ansi="Calibri" w:cs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凝</w:t>
            </w:r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Ansi="Calibri" w:cs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土</w:t>
            </w:r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Ansi="Calibri" w:cs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结</w:t>
            </w:r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构</w:t>
            </w: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框架承重，钢筋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基础，实砌墙围护或填充墙，钢筋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 xml:space="preserve">屋面或钢屋架，木基层，水磨石地面，铝合金门窗或塑钢窗，木门，水、电、卫、消防设施齐全。 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1050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widowControl/>
              <w:spacing w:line="420" w:lineRule="exact"/>
              <w:ind w:firstLineChars="0" w:firstLine="0"/>
              <w:jc w:val="left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框架承重，钢筋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基础，砖墙围护，铝合金窗或钢窗，水、电、卫、消防设施齐全。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900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widowControl/>
              <w:spacing w:line="420" w:lineRule="exact"/>
              <w:ind w:firstLineChars="0" w:firstLine="0"/>
              <w:jc w:val="left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部分钢筋框架承重，砖墙承重围护，钢窗，木门，水、电、卫设施齐全，结构较为简单。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800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 w:val="restar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混</w:t>
            </w:r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合</w:t>
            </w:r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结</w:t>
            </w:r>
          </w:p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构</w:t>
            </w: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砖或钢筋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条基，平坡屋面，现浇板或空心板楼层，铝合金或塑钢窗，水、电、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卫实施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齐全，户型新型，适用于四层以上近年新建的多层住宅楼。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850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widowControl/>
              <w:spacing w:line="420" w:lineRule="exact"/>
              <w:ind w:firstLineChars="0" w:firstLine="0"/>
              <w:jc w:val="left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砖或钢筋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条基，平坡屋面，多孔板楼层，砖墙或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大板墙，钢窗或木窗，水、电、卫设施齐全，适用于四层(含四层)以上成套住宅。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800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widowControl/>
              <w:spacing w:line="420" w:lineRule="exact"/>
              <w:ind w:firstLineChars="0" w:firstLine="0"/>
              <w:jc w:val="left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砖或钢筋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条基，平坡屋面，多孔板楼层，实砌墙，铝合金门窗，水、电齐全，适用一般民用建筑。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750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砖或钢筋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条基，平坡屋面，多孔板楼层，钢窗木门，实砌墙，水、电设施齐全，含公厕，适用于三层（含三层）以上单元非成套住宅。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720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砖或钢筋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条基，空斗墙，平本瓦望砖屋面，多孔板或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小梁楼板，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楼梯，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水泥楼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地南，普通钢、木门窗，水电俱全。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660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多孔板，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小梁板屋面，空斗墙，水泥地或砖地，普通木门窗，有水电。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550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 w:val="restart"/>
            <w:vAlign w:val="center"/>
          </w:tcPr>
          <w:p w:rsidR="0097252B" w:rsidRPr="00E50AD8" w:rsidRDefault="0097252B" w:rsidP="00D92FF6">
            <w:pPr>
              <w:spacing w:line="380" w:lineRule="exact"/>
              <w:ind w:firstLineChars="0" w:firstLine="0"/>
              <w:jc w:val="center"/>
              <w:rPr>
                <w:rFonts w:ascii="仿宋_GB2312" w:hAnsi="Calibri" w:cs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</w:t>
            </w:r>
          </w:p>
          <w:p w:rsidR="0097252B" w:rsidRPr="00E50AD8" w:rsidRDefault="0097252B" w:rsidP="00D92FF6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木</w:t>
            </w:r>
          </w:p>
          <w:p w:rsidR="0097252B" w:rsidRPr="00E50AD8" w:rsidRDefault="0097252B" w:rsidP="00D92FF6">
            <w:pPr>
              <w:spacing w:line="380" w:lineRule="exact"/>
              <w:ind w:firstLineChars="0" w:firstLine="0"/>
              <w:jc w:val="center"/>
              <w:rPr>
                <w:rFonts w:ascii="仿宋_GB2312" w:hAnsi="Calibri" w:cs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结</w:t>
            </w:r>
          </w:p>
          <w:p w:rsidR="0097252B" w:rsidRPr="00E50AD8" w:rsidRDefault="0097252B" w:rsidP="00D92FF6">
            <w:pPr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lastRenderedPageBreak/>
              <w:t>构</w:t>
            </w: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砖或钢筋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条基，实砌墙或排柱（齐全）承重，木桁条，洋松木屋架，瓦屋面，内外粉刷，西式木楼梯，用料讲究，制作精细（起线雕花）的硬木门窗，薄板</w:t>
            </w: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lastRenderedPageBreak/>
              <w:t>吊平顶，水电卫生设备俱全，庭院或花园洋房。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lastRenderedPageBreak/>
              <w:t>850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老式木楼清水墙，实砌墙或排柱（齐全）承重，木桁条，普通木楼地板、木楼梯，木屋架，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平瓦望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砖（木望板）屋面，内外粉刷，普通吊平顶，有水电。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750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砖或钢筋条基，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平瓦望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砖屋面、木桁条、半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元椽一般木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屋架，实砌墙或排柱（齐全）承重，内外粉刷，木楼板，木楼梯，水泥地，钢窗，普通木门窗，有水电。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660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砖或钢筋条基，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平瓦望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砖屋面、木桁条、半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元椽一般木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屋架，砖墙承重，内外粉刷，水泥地，钢窗，普通木门窗，有水电。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550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vAlign w:val="center"/>
          </w:tcPr>
          <w:p w:rsidR="0097252B" w:rsidRPr="00E50AD8" w:rsidRDefault="0097252B" w:rsidP="00D92FF6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砖基础，砖墙承重，木桁条用料一般或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砼桁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木椽，有木屋架，平瓦屋面，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芦便或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纤维板基层，普通木门窗，水泥地，有水电。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520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tcBorders>
              <w:bottom w:val="single" w:sz="4" w:space="0" w:color="auto"/>
            </w:tcBorders>
            <w:vAlign w:val="center"/>
          </w:tcPr>
          <w:p w:rsidR="0097252B" w:rsidRPr="00E50AD8" w:rsidRDefault="0097252B" w:rsidP="00D92FF6">
            <w:pPr>
              <w:widowControl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砖墙，平瓦屋面，杂木椽，杂木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桁砼桁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简易木门窗，水泥地，有水电。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440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其</w:t>
            </w:r>
          </w:p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它</w:t>
            </w:r>
          </w:p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结</w:t>
            </w:r>
          </w:p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构</w:t>
            </w: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土墙，部分砖墙、木柱、木桁条、本瓦、望砖屋面，木板或砖墙分间，门窗尚好，水泥地或砖地，有水电。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460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52B" w:rsidRPr="00E50AD8" w:rsidRDefault="0097252B" w:rsidP="00D92FF6">
            <w:pPr>
              <w:widowControl/>
              <w:spacing w:line="380" w:lineRule="exact"/>
              <w:ind w:firstLineChars="0" w:firstLine="0"/>
              <w:jc w:val="left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土墙，部分砖墙，杂木桁条或桁条，砖墙分间，门窗一般，砖地（部分水泥地），有水电。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380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2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252B" w:rsidRPr="00E50AD8" w:rsidRDefault="0097252B" w:rsidP="00D92FF6">
            <w:pPr>
              <w:widowControl/>
              <w:spacing w:line="380" w:lineRule="exact"/>
              <w:ind w:firstLineChars="0" w:firstLine="0"/>
              <w:jc w:val="left"/>
              <w:rPr>
                <w:rFonts w:ascii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466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3417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不规则木屋架，木或钢筋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桁条，瓦屋面或低标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屋墙，砖地承重，不规则木门窗，水泥地，有水电。</w:t>
            </w:r>
          </w:p>
        </w:tc>
        <w:tc>
          <w:tcPr>
            <w:tcW w:w="592" w:type="pct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320</w:t>
            </w:r>
          </w:p>
        </w:tc>
      </w:tr>
      <w:tr w:rsidR="0097252B" w:rsidRPr="00E50AD8" w:rsidTr="00D92FF6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97252B" w:rsidRPr="00E50AD8" w:rsidRDefault="0097252B" w:rsidP="00D92FF6">
            <w:pPr>
              <w:snapToGrid w:val="0"/>
              <w:spacing w:line="380" w:lineRule="exact"/>
              <w:ind w:firstLineChars="0" w:firstLine="0"/>
              <w:jc w:val="left"/>
              <w:rPr>
                <w:rFonts w:ascii="仿宋_GB2312" w:hint="eastAsia"/>
                <w:snapToGrid w:val="0"/>
                <w:sz w:val="24"/>
                <w:szCs w:val="24"/>
              </w:rPr>
            </w:pPr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注：</w:t>
            </w:r>
            <w:proofErr w:type="gramStart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本价格</w:t>
            </w:r>
            <w:proofErr w:type="gramEnd"/>
            <w:r w:rsidRPr="00E50AD8">
              <w:rPr>
                <w:rFonts w:ascii="仿宋_GB2312" w:hAnsi="宋体" w:cs="仿宋_GB2312" w:hint="eastAsia"/>
                <w:snapToGrid w:val="0"/>
                <w:sz w:val="24"/>
                <w:szCs w:val="24"/>
              </w:rPr>
              <w:t>标准表内“有水电”均指含供电及上、下水设施</w:t>
            </w:r>
          </w:p>
        </w:tc>
      </w:tr>
    </w:tbl>
    <w:p w:rsidR="0097252B" w:rsidRDefault="0097252B" w:rsidP="0097252B">
      <w:pPr>
        <w:tabs>
          <w:tab w:val="left" w:pos="567"/>
          <w:tab w:val="left" w:pos="7960"/>
          <w:tab w:val="right" w:pos="8306"/>
        </w:tabs>
        <w:spacing w:line="400" w:lineRule="exact"/>
        <w:ind w:left="811" w:hangingChars="338" w:hanging="811"/>
        <w:rPr>
          <w:rFonts w:ascii="仿宋_GB2312" w:hAnsi="宋体" w:cs="仿宋_GB2312" w:hint="eastAsia"/>
          <w:snapToGrid w:val="0"/>
          <w:sz w:val="24"/>
          <w:szCs w:val="24"/>
        </w:rPr>
      </w:pPr>
      <w:r>
        <w:rPr>
          <w:rFonts w:ascii="仿宋_GB2312" w:hAnsi="宋体" w:cs="仿宋_GB2312" w:hint="eastAsia"/>
          <w:snapToGrid w:val="0"/>
          <w:sz w:val="24"/>
          <w:szCs w:val="24"/>
        </w:rPr>
        <w:t>注：1．以上标准中所列房屋的层高（除其它结构的房屋）为：砖木结构2.7米</w:t>
      </w:r>
      <w:r>
        <w:rPr>
          <w:rFonts w:ascii="仿宋_GB2312" w:cs="仿宋_GB2312" w:hint="eastAsia"/>
          <w:snapToGrid w:val="0"/>
          <w:sz w:val="24"/>
          <w:szCs w:val="24"/>
        </w:rPr>
        <w:t>,</w:t>
      </w:r>
      <w:r>
        <w:rPr>
          <w:rFonts w:ascii="仿宋_GB2312" w:hAnsi="宋体" w:cs="仿宋_GB2312" w:hint="eastAsia"/>
          <w:snapToGrid w:val="0"/>
          <w:sz w:val="24"/>
          <w:szCs w:val="24"/>
        </w:rPr>
        <w:t>钢</w:t>
      </w:r>
      <w:proofErr w:type="gramStart"/>
      <w:r>
        <w:rPr>
          <w:rFonts w:ascii="仿宋_GB2312" w:hAnsi="宋体" w:cs="仿宋_GB2312" w:hint="eastAsia"/>
          <w:snapToGrid w:val="0"/>
          <w:sz w:val="24"/>
          <w:szCs w:val="24"/>
        </w:rPr>
        <w:t>砼</w:t>
      </w:r>
      <w:proofErr w:type="gramEnd"/>
      <w:r>
        <w:rPr>
          <w:rFonts w:ascii="仿宋_GB2312" w:hAnsi="宋体" w:cs="仿宋_GB2312" w:hint="eastAsia"/>
          <w:snapToGrid w:val="0"/>
          <w:sz w:val="24"/>
          <w:szCs w:val="24"/>
        </w:rPr>
        <w:t>结构3.6米</w:t>
      </w:r>
      <w:r>
        <w:rPr>
          <w:rFonts w:ascii="仿宋_GB2312" w:cs="仿宋_GB2312" w:hint="eastAsia"/>
          <w:snapToGrid w:val="0"/>
          <w:sz w:val="24"/>
          <w:szCs w:val="24"/>
        </w:rPr>
        <w:t>,</w:t>
      </w:r>
      <w:r>
        <w:rPr>
          <w:rFonts w:ascii="仿宋_GB2312" w:hAnsi="宋体" w:cs="仿宋_GB2312" w:hint="eastAsia"/>
          <w:snapToGrid w:val="0"/>
          <w:sz w:val="24"/>
          <w:szCs w:val="24"/>
        </w:rPr>
        <w:t>混合结构2.9米。房屋层高每增减0.2米</w:t>
      </w:r>
      <w:r>
        <w:rPr>
          <w:rFonts w:ascii="仿宋_GB2312" w:cs="仿宋_GB2312" w:hint="eastAsia"/>
          <w:snapToGrid w:val="0"/>
          <w:sz w:val="24"/>
          <w:szCs w:val="24"/>
        </w:rPr>
        <w:t>,</w:t>
      </w:r>
      <w:r>
        <w:rPr>
          <w:rFonts w:ascii="仿宋_GB2312" w:hAnsi="宋体" w:cs="仿宋_GB2312" w:hint="eastAsia"/>
          <w:snapToGrid w:val="0"/>
          <w:sz w:val="24"/>
          <w:szCs w:val="24"/>
        </w:rPr>
        <w:t>补偿价格相应增减2%,房屋层高为室内地坪</w:t>
      </w:r>
      <w:proofErr w:type="gramStart"/>
      <w:r>
        <w:rPr>
          <w:rFonts w:ascii="仿宋_GB2312" w:hAnsi="宋体" w:cs="仿宋_GB2312" w:hint="eastAsia"/>
          <w:snapToGrid w:val="0"/>
          <w:sz w:val="24"/>
          <w:szCs w:val="24"/>
        </w:rPr>
        <w:t>面至沿口</w:t>
      </w:r>
      <w:proofErr w:type="gramEnd"/>
      <w:r>
        <w:rPr>
          <w:rFonts w:ascii="仿宋_GB2312" w:hAnsi="宋体" w:cs="仿宋_GB2312" w:hint="eastAsia"/>
          <w:snapToGrid w:val="0"/>
          <w:sz w:val="24"/>
          <w:szCs w:val="24"/>
        </w:rPr>
        <w:t>高度</w:t>
      </w:r>
      <w:r>
        <w:rPr>
          <w:rFonts w:ascii="仿宋_GB2312" w:cs="仿宋_GB2312" w:hint="eastAsia"/>
          <w:snapToGrid w:val="0"/>
          <w:sz w:val="24"/>
          <w:szCs w:val="24"/>
        </w:rPr>
        <w:t>,</w:t>
      </w:r>
      <w:proofErr w:type="gramStart"/>
      <w:r>
        <w:rPr>
          <w:rFonts w:ascii="仿宋_GB2312" w:hAnsi="宋体" w:cs="仿宋_GB2312" w:hint="eastAsia"/>
          <w:snapToGrid w:val="0"/>
          <w:sz w:val="24"/>
          <w:szCs w:val="24"/>
        </w:rPr>
        <w:t>前后沿高不等</w:t>
      </w:r>
      <w:proofErr w:type="gramEnd"/>
      <w:r>
        <w:rPr>
          <w:rFonts w:ascii="仿宋_GB2312" w:hAnsi="宋体" w:cs="仿宋_GB2312" w:hint="eastAsia"/>
          <w:snapToGrid w:val="0"/>
          <w:sz w:val="24"/>
          <w:szCs w:val="24"/>
        </w:rPr>
        <w:t>的</w:t>
      </w:r>
      <w:r>
        <w:rPr>
          <w:rFonts w:ascii="仿宋_GB2312" w:cs="仿宋_GB2312" w:hint="eastAsia"/>
          <w:snapToGrid w:val="0"/>
          <w:sz w:val="24"/>
          <w:szCs w:val="24"/>
        </w:rPr>
        <w:t>,</w:t>
      </w:r>
      <w:r>
        <w:rPr>
          <w:rFonts w:ascii="仿宋_GB2312" w:hAnsi="宋体" w:cs="仿宋_GB2312" w:hint="eastAsia"/>
          <w:snapToGrid w:val="0"/>
          <w:sz w:val="24"/>
          <w:szCs w:val="24"/>
        </w:rPr>
        <w:t>以平均高度计算。</w:t>
      </w:r>
    </w:p>
    <w:p w:rsidR="0097252B" w:rsidRDefault="0097252B" w:rsidP="0097252B">
      <w:pPr>
        <w:tabs>
          <w:tab w:val="left" w:pos="567"/>
          <w:tab w:val="left" w:pos="7960"/>
          <w:tab w:val="right" w:pos="8306"/>
        </w:tabs>
        <w:spacing w:line="400" w:lineRule="exact"/>
        <w:ind w:leftChars="140" w:left="959" w:hangingChars="213" w:hanging="511"/>
        <w:rPr>
          <w:rFonts w:ascii="仿宋_GB2312" w:cs="仿宋_GB2312" w:hint="eastAsia"/>
          <w:snapToGrid w:val="0"/>
          <w:sz w:val="24"/>
          <w:szCs w:val="24"/>
        </w:rPr>
      </w:pPr>
      <w:r>
        <w:rPr>
          <w:rFonts w:ascii="仿宋_GB2312" w:cs="仿宋_GB2312" w:hint="eastAsia"/>
          <w:snapToGrid w:val="0"/>
          <w:sz w:val="24"/>
          <w:szCs w:val="24"/>
        </w:rPr>
        <w:t>2．房屋的结构、装修和设备状况相应等级有较大差异时，补偿价格可适当增减，</w:t>
      </w:r>
    </w:p>
    <w:p w:rsidR="00E126CD" w:rsidRDefault="0097252B" w:rsidP="0097252B">
      <w:pPr>
        <w:ind w:firstLine="480"/>
      </w:pPr>
      <w:r>
        <w:rPr>
          <w:rFonts w:ascii="仿宋_GB2312" w:cs="仿宋_GB2312" w:hint="eastAsia"/>
          <w:snapToGrid w:val="0"/>
          <w:sz w:val="24"/>
          <w:szCs w:val="24"/>
        </w:rPr>
        <w:t>但增减幅度不得超过补偿价格标准的5%。</w:t>
      </w:r>
    </w:p>
    <w:sectPr w:rsidR="00E126CD" w:rsidSect="00E1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52B"/>
    <w:rsid w:val="0097252B"/>
    <w:rsid w:val="00E1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2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2021-08-09T06:01:00Z</dcterms:created>
  <dcterms:modified xsi:type="dcterms:W3CDTF">2021-08-09T06:01:00Z</dcterms:modified>
</cp:coreProperties>
</file>