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2" w:rsidRDefault="005B2A72" w:rsidP="005B2A72">
      <w:pPr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2</w:t>
      </w:r>
    </w:p>
    <w:p w:rsidR="005B2A72" w:rsidRDefault="005B2A72" w:rsidP="005B2A72">
      <w:pPr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5B2A72" w:rsidRPr="004E7F72" w:rsidRDefault="005B2A72" w:rsidP="005B2A72">
      <w:pPr>
        <w:snapToGrid w:val="0"/>
        <w:spacing w:line="560" w:lineRule="exact"/>
        <w:ind w:firstLineChars="0" w:firstLine="0"/>
        <w:jc w:val="center"/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</w:pPr>
      <w:r w:rsidRPr="004E7F72">
        <w:rPr>
          <w:rFonts w:ascii="方正小标宋简体" w:eastAsia="方正小标宋简体" w:cs="方正小标宋简体" w:hint="eastAsia"/>
          <w:snapToGrid w:val="0"/>
          <w:kern w:val="0"/>
          <w:sz w:val="44"/>
          <w:szCs w:val="44"/>
        </w:rPr>
        <w:t>新北区集体土地上房屋拆迁成新对照表</w:t>
      </w:r>
    </w:p>
    <w:p w:rsidR="005B2A72" w:rsidRPr="004E7F72" w:rsidRDefault="005B2A72" w:rsidP="005B2A72">
      <w:pPr>
        <w:spacing w:line="560" w:lineRule="exact"/>
        <w:ind w:firstLineChars="0" w:firstLine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0"/>
        <w:gridCol w:w="3646"/>
        <w:gridCol w:w="2376"/>
      </w:tblGrid>
      <w:tr w:rsidR="005B2A72" w:rsidTr="00D92FF6">
        <w:trPr>
          <w:trHeight w:val="819"/>
        </w:trPr>
        <w:tc>
          <w:tcPr>
            <w:tcW w:w="1467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完好程度</w:t>
            </w:r>
          </w:p>
        </w:tc>
        <w:tc>
          <w:tcPr>
            <w:tcW w:w="2139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新旧程度</w:t>
            </w:r>
          </w:p>
        </w:tc>
        <w:tc>
          <w:tcPr>
            <w:tcW w:w="1394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成新率</w:t>
            </w:r>
          </w:p>
        </w:tc>
      </w:tr>
      <w:tr w:rsidR="005B2A72" w:rsidTr="00D92FF6">
        <w:trPr>
          <w:trHeight w:val="819"/>
        </w:trPr>
        <w:tc>
          <w:tcPr>
            <w:tcW w:w="1467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完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好</w:t>
            </w:r>
          </w:p>
        </w:tc>
        <w:tc>
          <w:tcPr>
            <w:tcW w:w="2139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十成新、九成新、八成新</w:t>
            </w:r>
          </w:p>
        </w:tc>
        <w:tc>
          <w:tcPr>
            <w:tcW w:w="1394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85%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rFonts w:ascii="仿宋_GB2312" w:cs="仿宋_GB2312"/>
                <w:sz w:val="24"/>
                <w:szCs w:val="24"/>
              </w:rPr>
              <w:t>100%</w:t>
            </w:r>
          </w:p>
        </w:tc>
      </w:tr>
      <w:tr w:rsidR="005B2A72" w:rsidTr="00D92FF6">
        <w:trPr>
          <w:trHeight w:val="819"/>
        </w:trPr>
        <w:tc>
          <w:tcPr>
            <w:tcW w:w="1467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基本完好</w:t>
            </w:r>
          </w:p>
        </w:tc>
        <w:tc>
          <w:tcPr>
            <w:tcW w:w="2139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七成新、六成新</w:t>
            </w:r>
          </w:p>
        </w:tc>
        <w:tc>
          <w:tcPr>
            <w:tcW w:w="1394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70%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rFonts w:ascii="仿宋_GB2312" w:cs="仿宋_GB2312"/>
                <w:sz w:val="24"/>
                <w:szCs w:val="24"/>
              </w:rPr>
              <w:t>84%</w:t>
            </w:r>
          </w:p>
        </w:tc>
      </w:tr>
      <w:tr w:rsidR="005B2A72" w:rsidTr="00D92FF6">
        <w:trPr>
          <w:trHeight w:val="819"/>
        </w:trPr>
        <w:tc>
          <w:tcPr>
            <w:tcW w:w="1467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一般损坏</w:t>
            </w:r>
          </w:p>
        </w:tc>
        <w:tc>
          <w:tcPr>
            <w:tcW w:w="2139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五成新、四成新</w:t>
            </w:r>
          </w:p>
        </w:tc>
        <w:tc>
          <w:tcPr>
            <w:tcW w:w="1394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45%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rFonts w:ascii="仿宋_GB2312" w:cs="仿宋_GB2312"/>
                <w:sz w:val="24"/>
                <w:szCs w:val="24"/>
              </w:rPr>
              <w:t>69%</w:t>
            </w:r>
          </w:p>
        </w:tc>
      </w:tr>
      <w:tr w:rsidR="005B2A72" w:rsidTr="00D92FF6">
        <w:trPr>
          <w:trHeight w:val="819"/>
        </w:trPr>
        <w:tc>
          <w:tcPr>
            <w:tcW w:w="1467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严重损坏</w:t>
            </w:r>
          </w:p>
        </w:tc>
        <w:tc>
          <w:tcPr>
            <w:tcW w:w="2139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三成新及以下</w:t>
            </w:r>
          </w:p>
        </w:tc>
        <w:tc>
          <w:tcPr>
            <w:tcW w:w="1394" w:type="pct"/>
            <w:vAlign w:val="center"/>
          </w:tcPr>
          <w:p w:rsidR="005B2A72" w:rsidRDefault="005B2A72" w:rsidP="00D92FF6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10%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rFonts w:ascii="仿宋_GB2312" w:cs="仿宋_GB2312"/>
                <w:sz w:val="24"/>
                <w:szCs w:val="24"/>
              </w:rPr>
              <w:t>44%</w:t>
            </w:r>
          </w:p>
        </w:tc>
      </w:tr>
    </w:tbl>
    <w:p w:rsidR="005B2A72" w:rsidRDefault="005B2A72" w:rsidP="005B2A72">
      <w:pPr>
        <w:spacing w:line="400" w:lineRule="exact"/>
        <w:ind w:firstLineChars="0" w:firstLine="0"/>
        <w:rPr>
          <w:rFonts w:ascii="仿宋_GB2312" w:cs="仿宋_GB2312" w:hint="eastAsia"/>
          <w:sz w:val="24"/>
          <w:szCs w:val="24"/>
        </w:rPr>
      </w:pPr>
      <w:r>
        <w:rPr>
          <w:rFonts w:ascii="仿宋_GB2312" w:cs="仿宋_GB2312" w:hint="eastAsia"/>
          <w:sz w:val="24"/>
          <w:szCs w:val="24"/>
        </w:rPr>
        <w:t>注：</w:t>
      </w:r>
      <w:r>
        <w:rPr>
          <w:rFonts w:ascii="仿宋_GB2312" w:cs="仿宋_GB2312"/>
          <w:sz w:val="24"/>
          <w:szCs w:val="24"/>
        </w:rPr>
        <w:t>1</w:t>
      </w:r>
      <w:r>
        <w:rPr>
          <w:rFonts w:ascii="仿宋_GB2312" w:cs="仿宋_GB2312" w:hint="eastAsia"/>
          <w:sz w:val="24"/>
          <w:szCs w:val="24"/>
        </w:rPr>
        <w:t>．上述房屋应包含基础、墙、柱、围护和屋盖等基本结构。</w:t>
      </w:r>
    </w:p>
    <w:p w:rsidR="005B2A72" w:rsidRDefault="005B2A72" w:rsidP="005B2A72">
      <w:pPr>
        <w:spacing w:line="400" w:lineRule="exact"/>
        <w:ind w:firstLineChars="210" w:firstLine="504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2</w:t>
      </w:r>
      <w:r>
        <w:rPr>
          <w:rFonts w:ascii="仿宋_GB2312" w:cs="仿宋_GB2312" w:hint="eastAsia"/>
          <w:sz w:val="24"/>
          <w:szCs w:val="24"/>
        </w:rPr>
        <w:t>．建造时间</w:t>
      </w:r>
      <w:r>
        <w:rPr>
          <w:rFonts w:ascii="仿宋_GB2312" w:cs="仿宋_GB2312"/>
          <w:sz w:val="24"/>
          <w:szCs w:val="24"/>
        </w:rPr>
        <w:t>5</w:t>
      </w:r>
      <w:r>
        <w:rPr>
          <w:rFonts w:ascii="仿宋_GB2312" w:cs="仿宋_GB2312" w:hint="eastAsia"/>
          <w:sz w:val="24"/>
          <w:szCs w:val="24"/>
        </w:rPr>
        <w:t>年以上的成新率不得超过</w:t>
      </w:r>
      <w:r>
        <w:rPr>
          <w:rFonts w:ascii="仿宋_GB2312" w:cs="仿宋_GB2312"/>
          <w:sz w:val="24"/>
          <w:szCs w:val="24"/>
        </w:rPr>
        <w:t>96%</w:t>
      </w:r>
      <w:r>
        <w:rPr>
          <w:rFonts w:ascii="仿宋_GB2312" w:cs="仿宋_GB2312" w:hint="eastAsia"/>
          <w:sz w:val="24"/>
          <w:szCs w:val="24"/>
        </w:rPr>
        <w:t>。</w:t>
      </w:r>
    </w:p>
    <w:p w:rsidR="00E126CD" w:rsidRPr="005B2A72" w:rsidRDefault="00E126CD" w:rsidP="005B2A72">
      <w:pPr>
        <w:ind w:firstLine="640"/>
      </w:pPr>
    </w:p>
    <w:sectPr w:rsidR="00E126CD" w:rsidRPr="005B2A72" w:rsidSect="00E1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A72"/>
    <w:rsid w:val="005B2A72"/>
    <w:rsid w:val="00E1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7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2021-08-09T06:02:00Z</dcterms:created>
  <dcterms:modified xsi:type="dcterms:W3CDTF">2021-08-09T06:02:00Z</dcterms:modified>
</cp:coreProperties>
</file>