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8F" w:rsidRDefault="007E698F" w:rsidP="007E698F">
      <w:pPr>
        <w:spacing w:line="560" w:lineRule="exact"/>
        <w:ind w:firstLineChars="0" w:firstLine="0"/>
        <w:jc w:val="lef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附件4</w:t>
      </w:r>
    </w:p>
    <w:p w:rsidR="007E698F" w:rsidRDefault="007E698F" w:rsidP="007E698F">
      <w:pPr>
        <w:spacing w:line="560" w:lineRule="exact"/>
        <w:ind w:firstLineChars="0" w:firstLine="198"/>
        <w:jc w:val="left"/>
        <w:rPr>
          <w:rFonts w:ascii="黑体" w:eastAsia="黑体" w:hAnsi="黑体" w:cs="黑体" w:hint="eastAsia"/>
          <w:szCs w:val="32"/>
        </w:rPr>
      </w:pPr>
    </w:p>
    <w:p w:rsidR="007E698F" w:rsidRDefault="007E698F" w:rsidP="007E698F">
      <w:pPr>
        <w:snapToGrid w:val="0"/>
        <w:spacing w:line="560" w:lineRule="exact"/>
        <w:ind w:firstLineChars="0" w:firstLine="0"/>
        <w:jc w:val="center"/>
        <w:rPr>
          <w:rFonts w:ascii="黑体" w:eastAsia="黑体" w:hAnsi="黑体" w:cs="仿宋_GB2312" w:hint="eastAsia"/>
          <w:bCs/>
          <w:kern w:val="0"/>
          <w:szCs w:val="32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新北区住宅房屋阁楼及地下室认定方式</w:t>
      </w:r>
    </w:p>
    <w:p w:rsidR="007E698F" w:rsidRDefault="007E698F" w:rsidP="007E698F">
      <w:pPr>
        <w:spacing w:line="560" w:lineRule="exact"/>
        <w:ind w:firstLineChars="0" w:firstLine="0"/>
        <w:jc w:val="center"/>
        <w:rPr>
          <w:rFonts w:ascii="仿宋_GB2312" w:hAnsi="宋体" w:cs="仿宋_GB2312"/>
          <w:spacing w:val="-4"/>
          <w:kern w:val="0"/>
          <w:szCs w:val="32"/>
        </w:rPr>
      </w:pPr>
    </w:p>
    <w:p w:rsidR="007E698F" w:rsidRPr="00DA3FEF" w:rsidRDefault="007E698F" w:rsidP="007E698F">
      <w:pPr>
        <w:spacing w:line="560" w:lineRule="exact"/>
        <w:ind w:firstLine="640"/>
        <w:rPr>
          <w:rFonts w:ascii="仿宋_GB2312" w:hAnsi="宋体" w:hint="eastAsia"/>
          <w:snapToGrid w:val="0"/>
          <w:kern w:val="0"/>
          <w:szCs w:val="32"/>
        </w:rPr>
      </w:pPr>
      <w:r w:rsidRPr="00DA3FEF">
        <w:rPr>
          <w:rFonts w:ascii="仿宋_GB2312" w:hAnsi="宋体" w:cs="仿宋_GB2312" w:hint="eastAsia"/>
          <w:snapToGrid w:val="0"/>
          <w:kern w:val="0"/>
          <w:szCs w:val="32"/>
        </w:rPr>
        <w:t>实际使用的房屋阁楼补偿：按阁楼檐口高度（前后檐口不等高的，取平均值）折算成建筑面积计算：</w:t>
      </w:r>
    </w:p>
    <w:p w:rsidR="007E698F" w:rsidRPr="00DA3FEF" w:rsidRDefault="007E698F" w:rsidP="007E698F">
      <w:pPr>
        <w:spacing w:line="560" w:lineRule="exact"/>
        <w:ind w:firstLine="640"/>
        <w:rPr>
          <w:rFonts w:ascii="仿宋_GB2312" w:hAnsi="宋体"/>
          <w:snapToGrid w:val="0"/>
          <w:kern w:val="0"/>
          <w:szCs w:val="32"/>
        </w:rPr>
      </w:pPr>
      <w:r w:rsidRPr="00DA3FEF">
        <w:rPr>
          <w:rFonts w:ascii="仿宋_GB2312" w:hAnsi="宋体" w:cs="仿宋_GB2312" w:hint="eastAsia"/>
          <w:snapToGrid w:val="0"/>
          <w:kern w:val="0"/>
          <w:szCs w:val="32"/>
        </w:rPr>
        <w:t>1</w:t>
      </w:r>
      <w:r>
        <w:rPr>
          <w:rFonts w:ascii="仿宋_GB2312" w:hAnsi="宋体" w:cs="仿宋_GB2312" w:hint="eastAsia"/>
          <w:snapToGrid w:val="0"/>
          <w:kern w:val="0"/>
          <w:szCs w:val="32"/>
        </w:rPr>
        <w:t>．</w:t>
      </w:r>
      <w:r w:rsidRPr="00DA3FEF">
        <w:rPr>
          <w:rFonts w:ascii="仿宋_GB2312" w:hAnsi="宋体" w:cs="仿宋_GB2312" w:hint="eastAsia"/>
          <w:snapToGrid w:val="0"/>
          <w:kern w:val="0"/>
          <w:szCs w:val="32"/>
        </w:rPr>
        <w:t>檐口高度在</w:t>
      </w:r>
      <w:r w:rsidRPr="00DA3FEF">
        <w:rPr>
          <w:rFonts w:ascii="仿宋_GB2312" w:hAnsi="宋体" w:cs="仿宋_GB2312"/>
          <w:snapToGrid w:val="0"/>
          <w:kern w:val="0"/>
          <w:szCs w:val="32"/>
        </w:rPr>
        <w:t>2.2</w:t>
      </w:r>
      <w:r w:rsidRPr="00DA3FEF">
        <w:rPr>
          <w:rFonts w:ascii="仿宋_GB2312" w:hAnsi="宋体" w:cs="仿宋_GB2312" w:hint="eastAsia"/>
          <w:snapToGrid w:val="0"/>
          <w:kern w:val="0"/>
          <w:szCs w:val="32"/>
        </w:rPr>
        <w:t>米以上的（含</w:t>
      </w:r>
      <w:r w:rsidRPr="00DA3FEF">
        <w:rPr>
          <w:rFonts w:ascii="仿宋_GB2312" w:hAnsi="宋体" w:cs="仿宋_GB2312"/>
          <w:snapToGrid w:val="0"/>
          <w:kern w:val="0"/>
          <w:szCs w:val="32"/>
        </w:rPr>
        <w:t>2.2</w:t>
      </w:r>
      <w:r w:rsidRPr="00DA3FEF">
        <w:rPr>
          <w:rFonts w:ascii="仿宋_GB2312" w:hAnsi="宋体" w:cs="仿宋_GB2312" w:hint="eastAsia"/>
          <w:snapToGrid w:val="0"/>
          <w:kern w:val="0"/>
          <w:szCs w:val="32"/>
        </w:rPr>
        <w:t>米），按阁楼平面面积的</w:t>
      </w:r>
      <w:r w:rsidRPr="00DA3FEF">
        <w:rPr>
          <w:rFonts w:ascii="仿宋_GB2312" w:hAnsi="宋体" w:cs="仿宋_GB2312"/>
          <w:snapToGrid w:val="0"/>
          <w:kern w:val="0"/>
          <w:szCs w:val="32"/>
        </w:rPr>
        <w:t>100%</w:t>
      </w:r>
      <w:r w:rsidRPr="00DA3FEF">
        <w:rPr>
          <w:rFonts w:ascii="仿宋_GB2312" w:hAnsi="宋体" w:cs="仿宋_GB2312" w:hint="eastAsia"/>
          <w:snapToGrid w:val="0"/>
          <w:kern w:val="0"/>
          <w:szCs w:val="32"/>
        </w:rPr>
        <w:t>计算；</w:t>
      </w:r>
    </w:p>
    <w:p w:rsidR="007E698F" w:rsidRPr="00DA3FEF" w:rsidRDefault="007E698F" w:rsidP="007E698F">
      <w:pPr>
        <w:spacing w:line="560" w:lineRule="exact"/>
        <w:ind w:firstLine="640"/>
        <w:rPr>
          <w:rFonts w:ascii="仿宋_GB2312" w:hAnsi="宋体"/>
          <w:snapToGrid w:val="0"/>
          <w:kern w:val="0"/>
          <w:szCs w:val="32"/>
        </w:rPr>
      </w:pPr>
      <w:r w:rsidRPr="00DA3FEF">
        <w:rPr>
          <w:rFonts w:ascii="仿宋_GB2312" w:hAnsi="宋体" w:cs="仿宋_GB2312" w:hint="eastAsia"/>
          <w:snapToGrid w:val="0"/>
          <w:kern w:val="0"/>
          <w:szCs w:val="32"/>
        </w:rPr>
        <w:t>2</w:t>
      </w:r>
      <w:r>
        <w:rPr>
          <w:rFonts w:ascii="仿宋_GB2312" w:hAnsi="宋体" w:cs="仿宋_GB2312" w:hint="eastAsia"/>
          <w:snapToGrid w:val="0"/>
          <w:kern w:val="0"/>
          <w:szCs w:val="32"/>
        </w:rPr>
        <w:t>．</w:t>
      </w:r>
      <w:r w:rsidRPr="00DA3FEF">
        <w:rPr>
          <w:rFonts w:ascii="仿宋_GB2312" w:hAnsi="宋体" w:cs="仿宋_GB2312" w:hint="eastAsia"/>
          <w:snapToGrid w:val="0"/>
          <w:kern w:val="0"/>
          <w:szCs w:val="32"/>
        </w:rPr>
        <w:t>檐口高度在</w:t>
      </w:r>
      <w:r w:rsidRPr="00DA3FEF">
        <w:rPr>
          <w:rFonts w:ascii="仿宋_GB2312" w:hAnsi="宋体" w:cs="仿宋_GB2312"/>
          <w:snapToGrid w:val="0"/>
          <w:kern w:val="0"/>
          <w:szCs w:val="32"/>
        </w:rPr>
        <w:t>2.2</w:t>
      </w:r>
      <w:r w:rsidRPr="00DA3FEF">
        <w:rPr>
          <w:rFonts w:ascii="仿宋_GB2312" w:hAnsi="宋体" w:cs="仿宋_GB2312" w:hint="eastAsia"/>
          <w:snapToGrid w:val="0"/>
          <w:kern w:val="0"/>
          <w:szCs w:val="32"/>
        </w:rPr>
        <w:t>米以下的，按阁楼檐口高度×</w:t>
      </w:r>
      <w:r w:rsidRPr="00DA3FEF">
        <w:rPr>
          <w:rFonts w:ascii="仿宋_GB2312" w:hAnsi="宋体" w:cs="仿宋_GB2312"/>
          <w:snapToGrid w:val="0"/>
          <w:kern w:val="0"/>
          <w:szCs w:val="32"/>
        </w:rPr>
        <w:t>1/2.2</w:t>
      </w:r>
      <w:r w:rsidRPr="00DA3FEF">
        <w:rPr>
          <w:rFonts w:ascii="仿宋_GB2312" w:hAnsi="宋体" w:cs="仿宋_GB2312" w:hint="eastAsia"/>
          <w:snapToGrid w:val="0"/>
          <w:kern w:val="0"/>
          <w:szCs w:val="32"/>
        </w:rPr>
        <w:t>×阁楼平面面积计算，其中檐口高度在</w:t>
      </w:r>
      <w:r w:rsidRPr="00DA3FEF">
        <w:rPr>
          <w:rFonts w:ascii="仿宋_GB2312" w:hAnsi="宋体" w:cs="仿宋_GB2312"/>
          <w:snapToGrid w:val="0"/>
          <w:kern w:val="0"/>
          <w:szCs w:val="32"/>
        </w:rPr>
        <w:t>0.55</w:t>
      </w:r>
      <w:r w:rsidRPr="00DA3FEF">
        <w:rPr>
          <w:rFonts w:ascii="仿宋_GB2312" w:hAnsi="宋体" w:cs="仿宋_GB2312" w:hint="eastAsia"/>
          <w:snapToGrid w:val="0"/>
          <w:kern w:val="0"/>
          <w:szCs w:val="32"/>
        </w:rPr>
        <w:t>米以下的按阁楼平面面积的</w:t>
      </w:r>
      <w:r w:rsidRPr="00DA3FEF">
        <w:rPr>
          <w:rFonts w:ascii="仿宋_GB2312" w:hAnsi="宋体" w:cs="仿宋_GB2312"/>
          <w:snapToGrid w:val="0"/>
          <w:kern w:val="0"/>
          <w:szCs w:val="32"/>
        </w:rPr>
        <w:t>25%</w:t>
      </w:r>
      <w:r w:rsidRPr="00DA3FEF">
        <w:rPr>
          <w:rFonts w:ascii="仿宋_GB2312" w:hAnsi="宋体" w:cs="仿宋_GB2312" w:hint="eastAsia"/>
          <w:snapToGrid w:val="0"/>
          <w:kern w:val="0"/>
          <w:szCs w:val="32"/>
        </w:rPr>
        <w:t>计算；</w:t>
      </w:r>
    </w:p>
    <w:p w:rsidR="007E698F" w:rsidRPr="00DA3FEF" w:rsidRDefault="007E698F" w:rsidP="007E698F">
      <w:pPr>
        <w:spacing w:line="560" w:lineRule="exact"/>
        <w:ind w:firstLine="640"/>
        <w:rPr>
          <w:rFonts w:ascii="仿宋_GB2312" w:hAnsi="宋体"/>
          <w:snapToGrid w:val="0"/>
          <w:kern w:val="0"/>
          <w:szCs w:val="32"/>
        </w:rPr>
      </w:pPr>
      <w:r w:rsidRPr="00DA3FEF">
        <w:rPr>
          <w:rFonts w:ascii="仿宋_GB2312" w:hAnsi="宋体" w:cs="仿宋_GB2312" w:hint="eastAsia"/>
          <w:snapToGrid w:val="0"/>
          <w:kern w:val="0"/>
          <w:szCs w:val="32"/>
        </w:rPr>
        <w:t>3</w:t>
      </w:r>
      <w:r>
        <w:rPr>
          <w:rFonts w:ascii="仿宋_GB2312" w:hAnsi="宋体" w:cs="仿宋_GB2312" w:hint="eastAsia"/>
          <w:snapToGrid w:val="0"/>
          <w:kern w:val="0"/>
          <w:szCs w:val="32"/>
        </w:rPr>
        <w:t>．</w:t>
      </w:r>
      <w:r w:rsidRPr="00DA3FEF">
        <w:rPr>
          <w:rFonts w:ascii="仿宋_GB2312" w:hAnsi="宋体" w:cs="仿宋_GB2312" w:hint="eastAsia"/>
          <w:snapToGrid w:val="0"/>
          <w:kern w:val="0"/>
          <w:szCs w:val="32"/>
        </w:rPr>
        <w:t>无固定楼梯的悬阁、浮阁及拆迁计划发布后搭建的阁楼不予计算面积，只按一般阁板进行补偿；</w:t>
      </w:r>
    </w:p>
    <w:p w:rsidR="00411084" w:rsidRDefault="007E698F" w:rsidP="007E698F">
      <w:pPr>
        <w:ind w:firstLine="640"/>
      </w:pPr>
      <w:r w:rsidRPr="00DA3FEF">
        <w:rPr>
          <w:rFonts w:ascii="仿宋_GB2312" w:hAnsi="宋体" w:cs="仿宋_GB2312" w:hint="eastAsia"/>
          <w:snapToGrid w:val="0"/>
          <w:kern w:val="0"/>
          <w:szCs w:val="32"/>
        </w:rPr>
        <w:t>满足生产生活条件且实际使用的地下室补偿参照阁楼执行。</w:t>
      </w:r>
    </w:p>
    <w:sectPr w:rsidR="00411084" w:rsidSect="00411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698F"/>
    <w:rsid w:val="00411084"/>
    <w:rsid w:val="007E6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98F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hejw</dc:creator>
  <cp:lastModifiedBy>hejw</cp:lastModifiedBy>
  <cp:revision>1</cp:revision>
  <dcterms:created xsi:type="dcterms:W3CDTF">2021-08-09T06:03:00Z</dcterms:created>
  <dcterms:modified xsi:type="dcterms:W3CDTF">2021-08-09T06:03:00Z</dcterms:modified>
</cp:coreProperties>
</file>