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黑体" w:eastAsia="黑体"/>
          <w:sz w:val="44"/>
          <w:szCs w:val="44"/>
        </w:rPr>
      </w:pPr>
      <w:bookmarkStart w:id="0" w:name="bookmark47"/>
      <w:bookmarkStart w:id="1" w:name="bookmark45"/>
      <w:bookmarkStart w:id="2" w:name="bookmark46"/>
    </w:p>
    <w:p>
      <w:pPr>
        <w:spacing w:line="640" w:lineRule="exact"/>
        <w:jc w:val="center"/>
        <w:rPr>
          <w:rFonts w:hint="eastAsia" w:ascii="黑体" w:eastAsia="黑体"/>
          <w:sz w:val="44"/>
          <w:szCs w:val="44"/>
        </w:rPr>
      </w:pPr>
    </w:p>
    <w:p>
      <w:pPr>
        <w:spacing w:line="640" w:lineRule="exact"/>
        <w:jc w:val="center"/>
        <w:rPr>
          <w:rFonts w:hint="eastAsia" w:ascii="黑体" w:eastAsia="黑体"/>
          <w:sz w:val="44"/>
          <w:szCs w:val="44"/>
        </w:rPr>
      </w:pPr>
    </w:p>
    <w:p>
      <w:pPr>
        <w:spacing w:line="640" w:lineRule="exact"/>
        <w:rPr>
          <w:rFonts w:hint="eastAsia" w:ascii="黑体" w:eastAsia="黑体"/>
          <w:sz w:val="44"/>
          <w:szCs w:val="44"/>
        </w:rPr>
      </w:pPr>
    </w:p>
    <w:p>
      <w:pPr>
        <w:spacing w:line="640" w:lineRule="exact"/>
        <w:rPr>
          <w:rFonts w:hint="eastAsia" w:ascii="黑体" w:eastAsia="黑体"/>
          <w:sz w:val="44"/>
          <w:szCs w:val="44"/>
        </w:rPr>
      </w:pPr>
    </w:p>
    <w:p>
      <w:pPr>
        <w:spacing w:line="560" w:lineRule="exact"/>
        <w:rPr>
          <w:rFonts w:hint="eastAsia" w:ascii="黑体" w:eastAsia="黑体"/>
          <w:sz w:val="44"/>
          <w:szCs w:val="44"/>
        </w:rPr>
      </w:pPr>
    </w:p>
    <w:p>
      <w:pPr>
        <w:spacing w:line="560" w:lineRule="exact"/>
        <w:jc w:val="center"/>
        <w:rPr>
          <w:rFonts w:hint="eastAsia" w:ascii="仿宋_GB2312" w:hAnsi="宋体"/>
          <w:szCs w:val="32"/>
        </w:rPr>
      </w:pPr>
      <w:r>
        <w:rPr>
          <w:rFonts w:hint="eastAsia" w:ascii="仿宋_GB2312" w:hAnsi="宋体" w:eastAsia="仿宋_GB2312"/>
          <w:sz w:val="32"/>
          <w:szCs w:val="32"/>
        </w:rPr>
        <w:t>常春街办〔202</w:t>
      </w:r>
      <w:r>
        <w:rPr>
          <w:rFonts w:hint="eastAsia" w:ascii="仿宋_GB2312" w:hAnsi="宋体" w:eastAsia="仿宋_GB2312"/>
          <w:sz w:val="32"/>
          <w:szCs w:val="32"/>
          <w:lang w:val="en-US" w:eastAsia="zh-CN"/>
        </w:rPr>
        <w:t>1</w:t>
      </w:r>
      <w:r>
        <w:rPr>
          <w:rFonts w:hint="eastAsia" w:ascii="仿宋_GB2312" w:hAnsi="宋体" w:eastAsia="仿宋_GB2312"/>
          <w:sz w:val="32"/>
          <w:szCs w:val="32"/>
        </w:rPr>
        <w:t>〕</w:t>
      </w:r>
      <w:r>
        <w:rPr>
          <w:rFonts w:hint="eastAsia" w:ascii="仿宋_GB2312" w:hAnsi="宋体" w:eastAsia="仿宋_GB2312"/>
          <w:sz w:val="32"/>
          <w:szCs w:val="32"/>
          <w:lang w:val="en-US" w:eastAsia="zh-CN"/>
        </w:rPr>
        <w:t>20</w:t>
      </w:r>
      <w:bookmarkStart w:id="22" w:name="_GoBack"/>
      <w:bookmarkEnd w:id="22"/>
      <w:r>
        <w:rPr>
          <w:rFonts w:hint="eastAsia" w:ascii="仿宋_GB2312" w:hAnsi="宋体" w:eastAsia="仿宋_GB2312"/>
          <w:color w:val="auto"/>
          <w:sz w:val="32"/>
          <w:szCs w:val="32"/>
          <w:highlight w:val="none"/>
          <w:lang w:val="en-US" w:eastAsia="zh-CN"/>
        </w:rPr>
        <w:t xml:space="preserve"> </w:t>
      </w:r>
      <w:r>
        <w:rPr>
          <w:rFonts w:hint="eastAsia" w:ascii="仿宋_GB2312" w:hAnsi="宋体" w:eastAsia="仿宋_GB2312"/>
          <w:sz w:val="32"/>
          <w:szCs w:val="32"/>
        </w:rPr>
        <w:t>号</w:t>
      </w:r>
    </w:p>
    <w:p>
      <w:pPr>
        <w:spacing w:line="900" w:lineRule="exact"/>
        <w:jc w:val="center"/>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hAnsi="华文中宋" w:eastAsia="方正小标宋简体" w:cs="宋体"/>
          <w:sz w:val="44"/>
          <w:szCs w:val="44"/>
        </w:rPr>
        <w:t>关于印发</w:t>
      </w:r>
      <w:bookmarkStart w:id="3" w:name="OLE_LINK1"/>
      <w:bookmarkStart w:id="4" w:name="OLE_LINK2"/>
      <w:r>
        <w:rPr>
          <w:rFonts w:hint="eastAsia" w:ascii="方正小标宋简体" w:hAnsi="华文中宋" w:eastAsia="方正小标宋简体" w:cs="宋体"/>
          <w:sz w:val="44"/>
          <w:szCs w:val="44"/>
          <w:lang w:eastAsia="zh-CN"/>
        </w:rPr>
        <w:t>《</w:t>
      </w:r>
      <w:bookmarkEnd w:id="3"/>
      <w:bookmarkEnd w:id="4"/>
      <w:r>
        <w:rPr>
          <w:rFonts w:hint="eastAsia" w:ascii="方正小标宋简体" w:eastAsia="方正小标宋简体"/>
          <w:sz w:val="44"/>
          <w:szCs w:val="44"/>
        </w:rPr>
        <w:t>常州市新北区春江街道机关事业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宋体"/>
          <w:sz w:val="44"/>
          <w:szCs w:val="44"/>
        </w:rPr>
      </w:pPr>
      <w:r>
        <w:rPr>
          <w:rFonts w:hint="eastAsia" w:ascii="方正小标宋简体" w:eastAsia="方正小标宋简体"/>
          <w:sz w:val="44"/>
          <w:szCs w:val="44"/>
        </w:rPr>
        <w:t>单位差旅费管理办法</w:t>
      </w:r>
      <w:r>
        <w:rPr>
          <w:rFonts w:hint="eastAsia" w:ascii="方正小标宋简体" w:hAnsi="华文中宋" w:eastAsia="方正小标宋简体" w:cs="宋体"/>
          <w:sz w:val="44"/>
          <w:szCs w:val="44"/>
          <w:lang w:eastAsia="zh-CN"/>
        </w:rPr>
        <w:t>》</w:t>
      </w:r>
      <w:r>
        <w:rPr>
          <w:rFonts w:hint="eastAsia" w:ascii="方正小标宋简体" w:hAnsi="华文中宋" w:eastAsia="方正小标宋简体" w:cs="宋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sz w:val="32"/>
          <w:szCs w:val="32"/>
        </w:rPr>
      </w:pPr>
      <w:r>
        <w:rPr>
          <w:rFonts w:hint="eastAsia" w:ascii="仿宋_GB2312" w:hAnsi="Times New Roman" w:eastAsia="仿宋_GB2312"/>
          <w:sz w:val="32"/>
          <w:szCs w:val="32"/>
        </w:rPr>
        <w:t>各办局、社区，各直属单位：</w:t>
      </w:r>
    </w:p>
    <w:p>
      <w:pPr>
        <w:pStyle w:val="2"/>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eastAsia="仿宋_GB2312"/>
          <w:sz w:val="32"/>
          <w:szCs w:val="32"/>
          <w:lang w:eastAsia="zh-CN"/>
        </w:rPr>
      </w:pPr>
      <w:r>
        <w:rPr>
          <w:rFonts w:hint="eastAsia" w:ascii="仿宋_GB2312" w:eastAsia="仿宋_GB2312"/>
          <w:sz w:val="32"/>
          <w:szCs w:val="32"/>
        </w:rPr>
        <w:t>现将《常州市新北区春江街道机关事业单位差旅费管理办法》印发给你们，请认真贯彻执行。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常州市新北区春江街道办事处</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sectPr>
          <w:footerReference r:id="rId3" w:type="default"/>
          <w:pgSz w:w="11906" w:h="16838"/>
          <w:pgMar w:top="1701" w:right="1587" w:bottom="1701" w:left="1587" w:header="851" w:footer="1134"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常州市新北区春江街道机关事业单位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差旅费管理办法</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32"/>
          <w:szCs w:val="32"/>
          <w:lang w:val="zh-TW" w:eastAsia="zh-TW" w:bidi="zh-TW"/>
        </w:rPr>
      </w:pPr>
      <w:r>
        <w:rPr>
          <w:rFonts w:hint="eastAsia" w:ascii="黑体" w:hAnsi="黑体" w:eastAsia="黑体" w:cs="黑体"/>
          <w:b w:val="0"/>
          <w:bCs w:val="0"/>
          <w:color w:val="000000"/>
          <w:kern w:val="0"/>
          <w:sz w:val="32"/>
          <w:szCs w:val="32"/>
          <w:lang w:val="zh-TW" w:eastAsia="zh-TW" w:bidi="zh-TW"/>
        </w:rPr>
        <w:t>第一章</w:t>
      </w:r>
      <w:r>
        <w:rPr>
          <w:rFonts w:hint="eastAsia" w:ascii="黑体" w:hAnsi="黑体" w:eastAsia="黑体" w:cs="黑体"/>
          <w:b w:val="0"/>
          <w:bCs w:val="0"/>
          <w:color w:val="000000"/>
          <w:kern w:val="0"/>
          <w:sz w:val="32"/>
          <w:szCs w:val="32"/>
          <w:lang w:val="en-US" w:eastAsia="zh-CN" w:bidi="zh-TW"/>
        </w:rPr>
        <w:t xml:space="preserve"> </w:t>
      </w:r>
      <w:r>
        <w:rPr>
          <w:rFonts w:hint="eastAsia" w:ascii="黑体" w:hAnsi="黑体" w:eastAsia="黑体" w:cs="黑体"/>
          <w:b w:val="0"/>
          <w:bCs w:val="0"/>
          <w:color w:val="000000"/>
          <w:kern w:val="0"/>
          <w:sz w:val="32"/>
          <w:szCs w:val="32"/>
          <w:lang w:val="zh-TW" w:eastAsia="zh-TW" w:bidi="zh-TW"/>
        </w:rPr>
        <w:t xml:space="preserve"> 总</w:t>
      </w:r>
      <w:r>
        <w:rPr>
          <w:rFonts w:hint="eastAsia" w:ascii="黑体" w:hAnsi="黑体" w:eastAsia="黑体" w:cs="黑体"/>
          <w:b w:val="0"/>
          <w:bCs w:val="0"/>
          <w:color w:val="000000"/>
          <w:kern w:val="0"/>
          <w:sz w:val="32"/>
          <w:szCs w:val="32"/>
          <w:lang w:val="en-US" w:eastAsia="zh-CN" w:bidi="zh-TW"/>
        </w:rPr>
        <w:t xml:space="preserve">  </w:t>
      </w:r>
      <w:r>
        <w:rPr>
          <w:rFonts w:hint="eastAsia" w:ascii="黑体" w:hAnsi="黑体" w:eastAsia="黑体" w:cs="黑体"/>
          <w:b w:val="0"/>
          <w:bCs w:val="0"/>
          <w:color w:val="000000"/>
          <w:kern w:val="0"/>
          <w:sz w:val="32"/>
          <w:szCs w:val="32"/>
          <w:lang w:val="zh-TW" w:eastAsia="zh-TW" w:bidi="zh-TW"/>
        </w:rPr>
        <w:t>则</w:t>
      </w:r>
    </w:p>
    <w:p>
      <w:pPr>
        <w:pStyle w:val="12"/>
        <w:keepNext w:val="0"/>
        <w:keepLines w:val="0"/>
        <w:pageBreakBefore w:val="0"/>
        <w:widowControl w:val="0"/>
        <w:kinsoku/>
        <w:wordWrap/>
        <w:overflowPunct/>
        <w:topLinePunct w:val="0"/>
        <w:autoSpaceDE/>
        <w:autoSpaceDN/>
        <w:bidi w:val="0"/>
        <w:adjustRightInd/>
        <w:snapToGrid/>
        <w:spacing w:line="560" w:lineRule="exact"/>
        <w:ind w:firstLine="72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第一条</w:t>
      </w:r>
      <w:r>
        <w:rPr>
          <w:rFonts w:hint="eastAsia"/>
          <w:b w:val="0"/>
          <w:bCs w:val="0"/>
          <w:lang w:eastAsia="zh-CN"/>
        </w:rPr>
        <w:t xml:space="preserve"> </w:t>
      </w:r>
      <w:r>
        <w:rPr>
          <w:rFonts w:hint="eastAsia"/>
          <w:b w:val="0"/>
          <w:bCs w:val="0"/>
          <w:lang w:val="en-US" w:eastAsia="zh-CN"/>
        </w:rPr>
        <w:t xml:space="preserve"> </w:t>
      </w:r>
      <w:r>
        <w:rPr>
          <w:rFonts w:hint="eastAsia" w:ascii="仿宋_GB2312" w:hAnsi="仿宋_GB2312" w:eastAsia="仿宋_GB2312" w:cs="仿宋_GB2312"/>
          <w:b w:val="0"/>
          <w:bCs w:val="0"/>
          <w:sz w:val="32"/>
          <w:szCs w:val="32"/>
        </w:rPr>
        <w:t>为加强和规范</w:t>
      </w:r>
      <w:r>
        <w:rPr>
          <w:rFonts w:hint="eastAsia" w:ascii="仿宋_GB2312" w:hAnsi="仿宋_GB2312" w:eastAsia="仿宋_GB2312" w:cs="仿宋_GB2312"/>
          <w:b w:val="0"/>
          <w:bCs w:val="0"/>
          <w:sz w:val="32"/>
          <w:szCs w:val="32"/>
          <w:lang w:eastAsia="zh-CN"/>
        </w:rPr>
        <w:t>常州市新北区春江街道</w:t>
      </w:r>
      <w:r>
        <w:rPr>
          <w:rFonts w:hint="eastAsia" w:ascii="仿宋_GB2312" w:hAnsi="仿宋_GB2312" w:eastAsia="仿宋_GB2312" w:cs="仿宋_GB2312"/>
          <w:b w:val="0"/>
          <w:bCs w:val="0"/>
          <w:sz w:val="32"/>
          <w:szCs w:val="32"/>
        </w:rPr>
        <w:t>（以下简称</w:t>
      </w:r>
      <w:r>
        <w:rPr>
          <w:rFonts w:hint="eastAsia" w:ascii="仿宋_GB2312" w:hAnsi="仿宋_GB2312" w:eastAsia="仿宋_GB2312" w:cs="仿宋_GB2312"/>
          <w:b w:val="0"/>
          <w:bCs w:val="0"/>
          <w:sz w:val="32"/>
          <w:szCs w:val="32"/>
          <w:lang w:val="zh-CN" w:eastAsia="zh-CN" w:bidi="zh-CN"/>
        </w:rPr>
        <w:t>“春江街道”</w:t>
      </w:r>
      <w:r>
        <w:rPr>
          <w:rFonts w:hint="eastAsia" w:ascii="仿宋_GB2312" w:hAnsi="仿宋_GB2312" w:eastAsia="仿宋_GB2312" w:cs="仿宋_GB2312"/>
          <w:b w:val="0"/>
          <w:bCs w:val="0"/>
          <w:sz w:val="32"/>
          <w:szCs w:val="32"/>
        </w:rPr>
        <w:t>）机关事业单位国内差旅费管理，推进厉行节约反对浪费，根据《党政机关厉行节约反对浪费条例》</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参照《常州市市级机关差旅费管理办法》（常财行〔2014〕6号）</w:t>
      </w:r>
      <w:r>
        <w:rPr>
          <w:rFonts w:hint="eastAsia" w:ascii="仿宋_GB2312" w:hAnsi="仿宋_GB2312" w:eastAsia="仿宋_GB2312" w:cs="仿宋_GB2312"/>
          <w:b w:val="0"/>
          <w:bCs w:val="0"/>
          <w:sz w:val="32"/>
          <w:szCs w:val="32"/>
          <w:lang w:eastAsia="zh-CN"/>
        </w:rPr>
        <w:t>、《常州市财政局关于印发常州市市级机关国内差旅住宿费标准明细表的通知》（常财行</w:t>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eastAsia="zh-CN"/>
        </w:rPr>
        <w:t>017</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8号）</w:t>
      </w:r>
      <w:r>
        <w:rPr>
          <w:rFonts w:hint="eastAsia" w:ascii="仿宋_GB2312" w:hAnsi="仿宋_GB2312" w:eastAsia="仿宋_GB2312" w:cs="仿宋_GB2312"/>
          <w:b w:val="0"/>
          <w:bCs w:val="0"/>
          <w:sz w:val="32"/>
          <w:szCs w:val="32"/>
        </w:rPr>
        <w:t>和区财政局有关要求，结合</w:t>
      </w:r>
      <w:r>
        <w:rPr>
          <w:rFonts w:hint="eastAsia" w:ascii="仿宋_GB2312" w:hAnsi="仿宋_GB2312" w:eastAsia="仿宋_GB2312" w:cs="仿宋_GB2312"/>
          <w:b w:val="0"/>
          <w:bCs w:val="0"/>
          <w:sz w:val="32"/>
          <w:szCs w:val="32"/>
          <w:lang w:eastAsia="zh-CN"/>
        </w:rPr>
        <w:t>春江街道</w:t>
      </w:r>
      <w:r>
        <w:rPr>
          <w:rFonts w:hint="eastAsia" w:ascii="仿宋_GB2312" w:hAnsi="仿宋_GB2312" w:eastAsia="仿宋_GB2312" w:cs="仿宋_GB2312"/>
          <w:b w:val="0"/>
          <w:bCs w:val="0"/>
          <w:sz w:val="32"/>
          <w:szCs w:val="32"/>
        </w:rPr>
        <w:t>实际，制定本办法。</w:t>
      </w:r>
    </w:p>
    <w:p>
      <w:pPr>
        <w:pStyle w:val="12"/>
        <w:keepNext w:val="0"/>
        <w:keepLines w:val="0"/>
        <w:pageBreakBefore w:val="0"/>
        <w:widowControl w:val="0"/>
        <w:kinsoku/>
        <w:wordWrap/>
        <w:overflowPunct/>
        <w:topLinePunct w:val="0"/>
        <w:autoSpaceDE/>
        <w:autoSpaceDN/>
        <w:bidi w:val="0"/>
        <w:adjustRightInd/>
        <w:snapToGrid/>
        <w:spacing w:line="560" w:lineRule="exact"/>
        <w:ind w:firstLine="720"/>
        <w:jc w:val="both"/>
        <w:textAlignment w:val="auto"/>
        <w:rPr>
          <w:rFonts w:hint="eastAsia" w:ascii="仿宋_GB2312" w:hAnsi="仿宋_GB2312" w:eastAsia="仿宋_GB2312" w:cs="仿宋_GB2312"/>
          <w:b w:val="0"/>
          <w:bCs w:val="0"/>
          <w:sz w:val="32"/>
          <w:szCs w:val="32"/>
          <w:highlight w:val="none"/>
          <w:lang w:eastAsia="zh-CN"/>
        </w:rPr>
      </w:pPr>
      <w:r>
        <w:rPr>
          <w:rFonts w:hint="eastAsia" w:ascii="楷体_GB2312" w:hAnsi="楷体_GB2312" w:eastAsia="楷体_GB2312" w:cs="楷体_GB2312"/>
          <w:b w:val="0"/>
          <w:bCs w:val="0"/>
          <w:sz w:val="32"/>
          <w:szCs w:val="32"/>
        </w:rPr>
        <w:t>第二条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highlight w:val="none"/>
        </w:rPr>
        <w:t>本办法适用于</w:t>
      </w:r>
      <w:r>
        <w:rPr>
          <w:rFonts w:hint="eastAsia" w:ascii="仿宋_GB2312" w:hAnsi="仿宋_GB2312" w:eastAsia="仿宋_GB2312" w:cs="仿宋_GB2312"/>
          <w:b w:val="0"/>
          <w:bCs w:val="0"/>
          <w:sz w:val="32"/>
          <w:szCs w:val="32"/>
          <w:highlight w:val="none"/>
          <w:lang w:eastAsia="zh-CN"/>
        </w:rPr>
        <w:t>春江街道</w:t>
      </w:r>
      <w:r>
        <w:rPr>
          <w:rFonts w:hint="eastAsia" w:ascii="仿宋_GB2312" w:hAnsi="仿宋_GB2312" w:eastAsia="仿宋_GB2312" w:cs="仿宋_GB2312"/>
          <w:b w:val="0"/>
          <w:bCs w:val="0"/>
          <w:sz w:val="32"/>
          <w:szCs w:val="32"/>
          <w:highlight w:val="none"/>
        </w:rPr>
        <w:t>党政机关、共青团、妇联等人民团体和经费财政全额保障的事业单位、社区（以下简称</w:t>
      </w:r>
      <w:r>
        <w:rPr>
          <w:rFonts w:hint="eastAsia" w:ascii="仿宋_GB2312" w:hAnsi="仿宋_GB2312" w:eastAsia="仿宋_GB2312" w:cs="仿宋_GB2312"/>
          <w:b w:val="0"/>
          <w:bCs w:val="0"/>
          <w:sz w:val="32"/>
          <w:szCs w:val="32"/>
          <w:highlight w:val="none"/>
          <w:lang w:val="zh-CN" w:eastAsia="zh-CN"/>
        </w:rPr>
        <w:t>“春江街道</w:t>
      </w:r>
      <w:r>
        <w:rPr>
          <w:rFonts w:hint="eastAsia" w:ascii="仿宋_GB2312" w:hAnsi="仿宋_GB2312" w:eastAsia="仿宋_GB2312" w:cs="仿宋_GB2312"/>
          <w:b w:val="0"/>
          <w:bCs w:val="0"/>
          <w:sz w:val="32"/>
          <w:szCs w:val="32"/>
          <w:highlight w:val="none"/>
        </w:rPr>
        <w:t>各单位”）</w:t>
      </w:r>
      <w:r>
        <w:rPr>
          <w:rFonts w:hint="eastAsia" w:ascii="仿宋_GB2312" w:hAnsi="仿宋_GB2312" w:eastAsia="仿宋_GB2312" w:cs="仿宋_GB2312"/>
          <w:b w:val="0"/>
          <w:bCs w:val="0"/>
          <w:sz w:val="32"/>
          <w:szCs w:val="32"/>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560" w:lineRule="exact"/>
        <w:ind w:firstLine="72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第三条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rPr>
        <w:t>差旅费是指</w:t>
      </w:r>
      <w:r>
        <w:rPr>
          <w:rFonts w:hint="eastAsia" w:ascii="仿宋_GB2312" w:hAnsi="仿宋_GB2312" w:eastAsia="仿宋_GB2312" w:cs="仿宋_GB2312"/>
          <w:b w:val="0"/>
          <w:bCs w:val="0"/>
          <w:sz w:val="32"/>
          <w:szCs w:val="32"/>
          <w:lang w:eastAsia="zh-CN"/>
        </w:rPr>
        <w:t>春江街道</w:t>
      </w:r>
      <w:r>
        <w:rPr>
          <w:rFonts w:hint="eastAsia" w:ascii="仿宋_GB2312" w:hAnsi="仿宋_GB2312" w:eastAsia="仿宋_GB2312" w:cs="仿宋_GB2312"/>
          <w:b w:val="0"/>
          <w:bCs w:val="0"/>
          <w:sz w:val="32"/>
          <w:szCs w:val="32"/>
        </w:rPr>
        <w:t>各单位工作人员临时到常州市区以外公务出差所发生的城市间交通费、住宿费、伙食补助费和市内交通费。</w:t>
      </w:r>
    </w:p>
    <w:p>
      <w:pPr>
        <w:pStyle w:val="12"/>
        <w:keepNext w:val="0"/>
        <w:keepLines w:val="0"/>
        <w:pageBreakBefore w:val="0"/>
        <w:widowControl w:val="0"/>
        <w:kinsoku/>
        <w:wordWrap/>
        <w:overflowPunct/>
        <w:topLinePunct w:val="0"/>
        <w:autoSpaceDE/>
        <w:autoSpaceDN/>
        <w:bidi w:val="0"/>
        <w:adjustRightInd/>
        <w:snapToGrid/>
        <w:spacing w:line="560" w:lineRule="exact"/>
        <w:ind w:firstLine="720"/>
        <w:jc w:val="both"/>
        <w:textAlignment w:val="auto"/>
        <w:rPr>
          <w:b w:val="0"/>
          <w:bCs w:val="0"/>
        </w:rPr>
      </w:pPr>
      <w:r>
        <w:rPr>
          <w:rFonts w:hint="eastAsia" w:ascii="楷体_GB2312" w:hAnsi="楷体_GB2312" w:eastAsia="楷体_GB2312" w:cs="楷体_GB2312"/>
          <w:b w:val="0"/>
          <w:bCs w:val="0"/>
          <w:sz w:val="32"/>
          <w:szCs w:val="32"/>
        </w:rPr>
        <w:t>第四条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春江街道党政办公室</w:t>
      </w:r>
      <w:r>
        <w:rPr>
          <w:rFonts w:hint="eastAsia" w:ascii="仿宋_GB2312" w:hAnsi="仿宋_GB2312" w:eastAsia="仿宋_GB2312" w:cs="仿宋_GB2312"/>
          <w:b w:val="0"/>
          <w:bCs w:val="0"/>
          <w:sz w:val="32"/>
          <w:szCs w:val="32"/>
        </w:rPr>
        <w:t>和</w:t>
      </w:r>
      <w:r>
        <w:rPr>
          <w:rFonts w:hint="eastAsia" w:ascii="仿宋_GB2312" w:hAnsi="仿宋_GB2312" w:eastAsia="仿宋_GB2312" w:cs="仿宋_GB2312"/>
          <w:b w:val="0"/>
          <w:bCs w:val="0"/>
          <w:sz w:val="32"/>
          <w:szCs w:val="32"/>
          <w:lang w:eastAsia="zh-CN"/>
        </w:rPr>
        <w:t>财政部门</w:t>
      </w:r>
      <w:r>
        <w:rPr>
          <w:rFonts w:hint="eastAsia" w:ascii="仿宋_GB2312" w:hAnsi="仿宋_GB2312" w:eastAsia="仿宋_GB2312" w:cs="仿宋_GB2312"/>
          <w:b w:val="0"/>
          <w:bCs w:val="0"/>
          <w:sz w:val="32"/>
          <w:szCs w:val="32"/>
        </w:rPr>
        <w:t>结合考勤制度统一建立公务出差审批制度，出差必须按规定报经批准（见附件1）,从严控制出差人数和天数；严格差旅费预算管理,控制差旅费支出规模；严禁无实质内容、无明确公务目的的差旅活动，严禁以任何名义和方式变相旅游，严禁异地部门间无实质内容的学习交流和考察调研。</w:t>
      </w:r>
    </w:p>
    <w:p>
      <w:pPr>
        <w:pStyle w:val="12"/>
        <w:keepNext w:val="0"/>
        <w:keepLines w:val="0"/>
        <w:pageBreakBefore w:val="0"/>
        <w:widowControl w:val="0"/>
        <w:kinsoku/>
        <w:wordWrap/>
        <w:overflowPunct/>
        <w:topLinePunct w:val="0"/>
        <w:autoSpaceDE/>
        <w:autoSpaceDN/>
        <w:bidi w:val="0"/>
        <w:adjustRightInd/>
        <w:snapToGrid/>
        <w:spacing w:afterAutospacing="0" w:line="560" w:lineRule="exact"/>
        <w:ind w:firstLine="72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第五条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春江街道财政部门参照中央、省、市级财政部门公布的分地区、分级别、分项目差旅费标准和区财政部门的有关要求，制定春江街道机关事业单位差旅费标准，并根据经济社会发展、物价及消费水平变动情况适时调整。</w:t>
      </w:r>
    </w:p>
    <w:p>
      <w:pPr>
        <w:pStyle w:val="12"/>
        <w:keepNext w:val="0"/>
        <w:keepLines w:val="0"/>
        <w:pageBreakBefore w:val="0"/>
        <w:widowControl w:val="0"/>
        <w:kinsoku/>
        <w:wordWrap/>
        <w:overflowPunct/>
        <w:topLinePunct w:val="0"/>
        <w:autoSpaceDE/>
        <w:autoSpaceDN/>
        <w:bidi w:val="0"/>
        <w:adjustRightInd/>
        <w:snapToGrid/>
        <w:spacing w:afterAutospacing="0" w:line="560" w:lineRule="exact"/>
        <w:ind w:firstLine="72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黑体" w:hAnsi="黑体" w:eastAsia="黑体" w:cs="黑体"/>
          <w:b w:val="0"/>
          <w:bCs w:val="0"/>
          <w:color w:val="000000"/>
          <w:kern w:val="0"/>
          <w:sz w:val="32"/>
          <w:szCs w:val="32"/>
          <w:lang w:val="zh-TW" w:eastAsia="zh-TW" w:bidi="zh-TW"/>
        </w:rPr>
      </w:pPr>
      <w:r>
        <w:rPr>
          <w:rFonts w:hint="eastAsia" w:ascii="黑体" w:hAnsi="黑体" w:eastAsia="黑体" w:cs="黑体"/>
          <w:b w:val="0"/>
          <w:bCs w:val="0"/>
          <w:color w:val="000000"/>
          <w:kern w:val="0"/>
          <w:sz w:val="32"/>
          <w:szCs w:val="32"/>
          <w:lang w:val="zh-TW" w:eastAsia="zh-TW" w:bidi="zh-TW"/>
        </w:rPr>
        <w:t>第二章</w:t>
      </w:r>
      <w:r>
        <w:rPr>
          <w:rFonts w:hint="eastAsia" w:ascii="黑体" w:hAnsi="黑体" w:eastAsia="黑体" w:cs="黑体"/>
          <w:b w:val="0"/>
          <w:bCs w:val="0"/>
          <w:color w:val="000000"/>
          <w:kern w:val="0"/>
          <w:sz w:val="32"/>
          <w:szCs w:val="32"/>
          <w:lang w:val="en-US" w:eastAsia="zh-CN" w:bidi="zh-TW"/>
        </w:rPr>
        <w:t xml:space="preserve">  </w:t>
      </w:r>
      <w:r>
        <w:rPr>
          <w:rFonts w:hint="eastAsia" w:ascii="黑体" w:hAnsi="黑体" w:eastAsia="黑体" w:cs="黑体"/>
          <w:b w:val="0"/>
          <w:bCs w:val="0"/>
          <w:color w:val="000000"/>
          <w:kern w:val="0"/>
          <w:sz w:val="32"/>
          <w:szCs w:val="32"/>
          <w:lang w:val="zh-TW" w:eastAsia="zh-TW" w:bidi="zh-TW"/>
        </w:rPr>
        <w:t>城市间交通费</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zh-TW" w:eastAsia="zh-CN" w:bidi="zh-TW"/>
        </w:rPr>
      </w:pPr>
      <w:r>
        <w:rPr>
          <w:rFonts w:hint="eastAsia" w:ascii="楷体_GB2312" w:hAnsi="楷体_GB2312" w:eastAsia="楷体_GB2312" w:cs="楷体_GB2312"/>
          <w:b w:val="0"/>
          <w:bCs w:val="0"/>
          <w:color w:val="000000"/>
          <w:kern w:val="0"/>
          <w:sz w:val="32"/>
          <w:szCs w:val="32"/>
          <w:lang w:val="zh-TW" w:eastAsia="zh-TW" w:bidi="zh-TW"/>
        </w:rPr>
        <w:t>第六条</w:t>
      </w:r>
      <w:r>
        <w:rPr>
          <w:rFonts w:hint="eastAsia" w:ascii="楷体_GB2312" w:hAnsi="楷体_GB2312" w:eastAsia="楷体_GB2312" w:cs="楷体_GB2312"/>
          <w:b w:val="0"/>
          <w:bCs w:val="0"/>
          <w:color w:val="000000"/>
          <w:kern w:val="0"/>
          <w:sz w:val="32"/>
          <w:szCs w:val="32"/>
          <w:lang w:val="en-US" w:eastAsia="zh-CN" w:bidi="zh-TW"/>
        </w:rPr>
        <w:t xml:space="preserve">  </w:t>
      </w:r>
      <w:r>
        <w:rPr>
          <w:rFonts w:hint="eastAsia" w:ascii="仿宋_GB2312" w:hAnsi="仿宋_GB2312" w:eastAsia="仿宋_GB2312" w:cs="仿宋_GB2312"/>
          <w:b w:val="0"/>
          <w:bCs w:val="0"/>
          <w:color w:val="000000"/>
          <w:kern w:val="0"/>
          <w:sz w:val="32"/>
          <w:szCs w:val="32"/>
          <w:lang w:val="zh-TW" w:eastAsia="zh-CN" w:bidi="zh-TW"/>
        </w:rPr>
        <w:t>城市间交通费是指工作人员因公到常州市区以外地区出差乘坐火车、轮船、飞机、客车等交通工具所发生的费用。</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zh-TW" w:eastAsia="zh-CN" w:bidi="zh-TW"/>
        </w:rPr>
      </w:pPr>
      <w:r>
        <w:rPr>
          <w:rFonts w:hint="eastAsia" w:ascii="楷体_GB2312" w:hAnsi="楷体_GB2312" w:eastAsia="楷体_GB2312" w:cs="楷体_GB2312"/>
          <w:b w:val="0"/>
          <w:bCs w:val="0"/>
          <w:color w:val="000000"/>
          <w:kern w:val="0"/>
          <w:sz w:val="32"/>
          <w:szCs w:val="32"/>
          <w:lang w:val="zh-TW" w:eastAsia="zh-TW" w:bidi="zh-TW"/>
        </w:rPr>
        <w:t>第七条</w:t>
      </w:r>
      <w:r>
        <w:rPr>
          <w:rFonts w:hint="eastAsia" w:ascii="楷体_GB2312" w:hAnsi="楷体_GB2312" w:eastAsia="楷体_GB2312" w:cs="楷体_GB2312"/>
          <w:b w:val="0"/>
          <w:bCs w:val="0"/>
          <w:color w:val="000000"/>
          <w:kern w:val="0"/>
          <w:sz w:val="32"/>
          <w:szCs w:val="32"/>
          <w:lang w:val="en-US" w:eastAsia="zh-CN" w:bidi="zh-TW"/>
        </w:rPr>
        <w:t xml:space="preserve">  </w:t>
      </w:r>
      <w:r>
        <w:rPr>
          <w:rFonts w:hint="eastAsia" w:ascii="仿宋_GB2312" w:hAnsi="仿宋_GB2312" w:eastAsia="仿宋_GB2312" w:cs="仿宋_GB2312"/>
          <w:b w:val="0"/>
          <w:bCs w:val="0"/>
          <w:color w:val="000000"/>
          <w:kern w:val="0"/>
          <w:sz w:val="32"/>
          <w:szCs w:val="32"/>
          <w:lang w:val="zh-TW" w:eastAsia="zh-CN" w:bidi="zh-TW"/>
        </w:rPr>
        <w:t>出差人员应当按规定等级乘坐交通工具。</w:t>
      </w:r>
    </w:p>
    <w:tbl>
      <w:tblPr>
        <w:tblStyle w:val="9"/>
        <w:tblW w:w="5000" w:type="pct"/>
        <w:jc w:val="center"/>
        <w:tblLayout w:type="autofit"/>
        <w:tblCellMar>
          <w:top w:w="0" w:type="dxa"/>
          <w:left w:w="10" w:type="dxa"/>
          <w:bottom w:w="0" w:type="dxa"/>
          <w:right w:w="10" w:type="dxa"/>
        </w:tblCellMar>
      </w:tblPr>
      <w:tblGrid>
        <w:gridCol w:w="1293"/>
        <w:gridCol w:w="3846"/>
        <w:gridCol w:w="1439"/>
        <w:gridCol w:w="748"/>
        <w:gridCol w:w="1765"/>
      </w:tblGrid>
      <w:tr>
        <w:tblPrEx>
          <w:tblCellMar>
            <w:top w:w="0" w:type="dxa"/>
            <w:left w:w="10" w:type="dxa"/>
            <w:bottom w:w="0" w:type="dxa"/>
            <w:right w:w="10" w:type="dxa"/>
          </w:tblCellMar>
        </w:tblPrEx>
        <w:trPr>
          <w:trHeight w:val="874" w:hRule="exact"/>
          <w:jc w:val="center"/>
        </w:trPr>
        <w:tc>
          <w:tcPr>
            <w:tcW w:w="711" w:type="pct"/>
            <w:tcBorders>
              <w:top w:val="single" w:color="auto" w:sz="4" w:space="0"/>
              <w:left w:val="single" w:color="auto" w:sz="4" w:space="0"/>
              <w:bottom w:val="single" w:color="auto" w:sz="4" w:space="0"/>
              <w:right w:val="single" w:color="auto" w:sz="4" w:space="0"/>
              <w:tl2br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Chars="200" w:firstLine="0"/>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交通</w:t>
            </w:r>
          </w:p>
          <w:p>
            <w:pPr>
              <w:pStyle w:val="14"/>
              <w:keepNext w:val="0"/>
              <w:keepLines w:val="0"/>
              <w:pageBreakBefore w:val="0"/>
              <w:widowControl w:val="0"/>
              <w:kinsoku/>
              <w:wordWrap/>
              <w:overflowPunct/>
              <w:topLinePunct w:val="0"/>
              <w:autoSpaceDE/>
              <w:autoSpaceDN/>
              <w:bidi w:val="0"/>
              <w:adjustRightInd/>
              <w:snapToGrid/>
              <w:spacing w:line="240" w:lineRule="auto"/>
              <w:ind w:leftChars="200" w:firstLine="420" w:firstLineChars="200"/>
              <w:jc w:val="both"/>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eastAsia="zh-CN"/>
              </w:rPr>
              <w:t>工具</w:t>
            </w:r>
          </w:p>
          <w:p>
            <w:pPr>
              <w:pStyle w:val="14"/>
              <w:keepNext w:val="0"/>
              <w:keepLines w:val="0"/>
              <w:pageBreakBefore w:val="0"/>
              <w:widowControl w:val="0"/>
              <w:kinsoku/>
              <w:wordWrap/>
              <w:overflowPunct/>
              <w:topLinePunct w:val="0"/>
              <w:autoSpaceDE/>
              <w:autoSpaceDN/>
              <w:bidi w:val="0"/>
              <w:adjustRightInd/>
              <w:snapToGrid/>
              <w:spacing w:line="240" w:lineRule="auto"/>
              <w:ind w:left="210" w:leftChars="100" w:firstLine="0" w:firstLineChars="0"/>
              <w:jc w:val="lef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级 别</w:t>
            </w:r>
          </w:p>
          <w:p>
            <w:pPr>
              <w:pStyle w:val="1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仿宋_GB2312" w:eastAsia="仿宋_GB2312" w:cs="仿宋_GB2312"/>
                <w:b w:val="0"/>
                <w:bCs w:val="0"/>
                <w:sz w:val="21"/>
                <w:szCs w:val="21"/>
              </w:rPr>
            </w:pPr>
          </w:p>
        </w:tc>
        <w:tc>
          <w:tcPr>
            <w:tcW w:w="2114" w:type="pct"/>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火车（含高铁、动车、全列软席列车）</w:t>
            </w:r>
          </w:p>
        </w:tc>
        <w:tc>
          <w:tcPr>
            <w:tcW w:w="791" w:type="pct"/>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轮船（不包括旅游船）</w:t>
            </w:r>
          </w:p>
        </w:tc>
        <w:tc>
          <w:tcPr>
            <w:tcW w:w="411" w:type="pct"/>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飞机</w:t>
            </w:r>
          </w:p>
        </w:tc>
        <w:tc>
          <w:tcPr>
            <w:tcW w:w="970" w:type="pct"/>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其他交通工具（不包括出租小汽车）</w:t>
            </w:r>
          </w:p>
        </w:tc>
      </w:tr>
      <w:tr>
        <w:tblPrEx>
          <w:tblCellMar>
            <w:top w:w="0" w:type="dxa"/>
            <w:left w:w="10" w:type="dxa"/>
            <w:bottom w:w="0" w:type="dxa"/>
            <w:right w:w="10" w:type="dxa"/>
          </w:tblCellMar>
        </w:tblPrEx>
        <w:trPr>
          <w:trHeight w:val="912" w:hRule="exact"/>
          <w:jc w:val="center"/>
        </w:trPr>
        <w:tc>
          <w:tcPr>
            <w:tcW w:w="711" w:type="pct"/>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省级及相当职级人员</w:t>
            </w:r>
          </w:p>
        </w:tc>
        <w:tc>
          <w:tcPr>
            <w:tcW w:w="2114" w:type="pct"/>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火车软席（软座、软卧），高铁/动车商务座，全列软席列车一等软座</w:t>
            </w:r>
          </w:p>
        </w:tc>
        <w:tc>
          <w:tcPr>
            <w:tcW w:w="791" w:type="pct"/>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一等舱</w:t>
            </w:r>
          </w:p>
        </w:tc>
        <w:tc>
          <w:tcPr>
            <w:tcW w:w="411" w:type="pct"/>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头等舱</w:t>
            </w:r>
          </w:p>
        </w:tc>
        <w:tc>
          <w:tcPr>
            <w:tcW w:w="970" w:type="pct"/>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凭据报销</w:t>
            </w:r>
          </w:p>
        </w:tc>
      </w:tr>
      <w:tr>
        <w:tblPrEx>
          <w:tblCellMar>
            <w:top w:w="0" w:type="dxa"/>
            <w:left w:w="10" w:type="dxa"/>
            <w:bottom w:w="0" w:type="dxa"/>
            <w:right w:w="10" w:type="dxa"/>
          </w:tblCellMar>
        </w:tblPrEx>
        <w:trPr>
          <w:trHeight w:val="907" w:hRule="exact"/>
          <w:jc w:val="center"/>
        </w:trPr>
        <w:tc>
          <w:tcPr>
            <w:tcW w:w="711" w:type="pct"/>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厅局级及相当职级人员</w:t>
            </w:r>
          </w:p>
        </w:tc>
        <w:tc>
          <w:tcPr>
            <w:tcW w:w="2114" w:type="pct"/>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before="209" w:beforeLines="67" w:beforeAutospacing="0" w:line="240" w:lineRule="auto"/>
              <w:ind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火车软席（软座、软卧），高铁/动车一等座，全列软席列车一等软座</w:t>
            </w:r>
          </w:p>
        </w:tc>
        <w:tc>
          <w:tcPr>
            <w:tcW w:w="791" w:type="pct"/>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二等舱</w:t>
            </w:r>
          </w:p>
        </w:tc>
        <w:tc>
          <w:tcPr>
            <w:tcW w:w="411" w:type="pct"/>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经济舱</w:t>
            </w:r>
          </w:p>
        </w:tc>
        <w:tc>
          <w:tcPr>
            <w:tcW w:w="970" w:type="pct"/>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凭据报销</w:t>
            </w:r>
          </w:p>
        </w:tc>
      </w:tr>
      <w:tr>
        <w:tblPrEx>
          <w:tblCellMar>
            <w:top w:w="0" w:type="dxa"/>
            <w:left w:w="10" w:type="dxa"/>
            <w:bottom w:w="0" w:type="dxa"/>
            <w:right w:w="10" w:type="dxa"/>
          </w:tblCellMar>
        </w:tblPrEx>
        <w:trPr>
          <w:trHeight w:val="922" w:hRule="exact"/>
          <w:jc w:val="center"/>
        </w:trPr>
        <w:tc>
          <w:tcPr>
            <w:tcW w:w="711" w:type="pct"/>
            <w:tcBorders>
              <w:top w:val="single" w:color="auto" w:sz="4" w:space="0"/>
              <w:left w:val="single" w:color="auto" w:sz="4" w:space="0"/>
              <w:bottom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其余人员</w:t>
            </w:r>
          </w:p>
        </w:tc>
        <w:tc>
          <w:tcPr>
            <w:tcW w:w="2114" w:type="pct"/>
            <w:tcBorders>
              <w:top w:val="single" w:color="auto" w:sz="4" w:space="0"/>
              <w:left w:val="single" w:color="auto" w:sz="4" w:space="0"/>
              <w:bottom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before="159" w:beforeLines="50" w:beforeAutospacing="0" w:line="240" w:lineRule="auto"/>
              <w:ind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火车硬席（硬座、硬卧），高铁/动车二等座、全列软席列车二等软座</w:t>
            </w:r>
          </w:p>
        </w:tc>
        <w:tc>
          <w:tcPr>
            <w:tcW w:w="791" w:type="pct"/>
            <w:tcBorders>
              <w:top w:val="single" w:color="auto" w:sz="4" w:space="0"/>
              <w:left w:val="single" w:color="auto" w:sz="4" w:space="0"/>
              <w:bottom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三等舱</w:t>
            </w:r>
          </w:p>
        </w:tc>
        <w:tc>
          <w:tcPr>
            <w:tcW w:w="411" w:type="pct"/>
            <w:tcBorders>
              <w:top w:val="single" w:color="auto" w:sz="4" w:space="0"/>
              <w:left w:val="single" w:color="auto" w:sz="4" w:space="0"/>
              <w:bottom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经济舱</w:t>
            </w:r>
          </w:p>
        </w:tc>
        <w:tc>
          <w:tcPr>
            <w:tcW w:w="97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凭据报销</w:t>
            </w:r>
          </w:p>
        </w:tc>
      </w:tr>
    </w:tbl>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出差人员乘坐火车，从晚8时至次日晨7时乘车5小时以上,或连续乘车超过10小时的，可购同席卧铺票，凭据报销。</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未按规定等级乘坐交通工具的，超支部分由个人自理。</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4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第八条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到出差目的地有多种交通工具可选择时，出差人员在不影响公务、确保安全的前提下，应当选乘相对经济便捷的交通工具。</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4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第九条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出差人员乘坐飞机要从严控制，出差路途较远或出差任务紧急的，经春江街道分管领导批准方可乘坐飞机,凭据报销。</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各单位应当做好出差计划安排，按照厉行节约的原则，尽可能选择低价机票，原则上不得购买全价机票。对于各航空公司提供的低于政府采购优惠票价的团队价格或促销价格机票，可选择购买。</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color w:val="000000"/>
          <w:kern w:val="0"/>
          <w:sz w:val="32"/>
          <w:szCs w:val="32"/>
          <w:lang w:val="zh-TW" w:eastAsia="zh-CN" w:bidi="zh-TW"/>
        </w:rPr>
      </w:pPr>
      <w:r>
        <w:rPr>
          <w:rFonts w:hint="eastAsia" w:ascii="楷体_GB2312" w:hAnsi="楷体_GB2312" w:eastAsia="楷体_GB2312" w:cs="楷体_GB2312"/>
          <w:b w:val="0"/>
          <w:bCs w:val="0"/>
          <w:sz w:val="32"/>
          <w:szCs w:val="32"/>
          <w:lang w:eastAsia="zh-CN"/>
        </w:rPr>
        <w:t>第十条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000000"/>
          <w:kern w:val="0"/>
          <w:sz w:val="32"/>
          <w:szCs w:val="32"/>
          <w:lang w:val="zh-TW" w:eastAsia="zh-CN" w:bidi="zh-TW"/>
        </w:rPr>
        <w:t>乘坐火车、轮船、飞机、客车等交通工具的，每人次可以购买交通意外保险一份。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left"/>
        <w:textAlignment w:val="auto"/>
        <w:rPr>
          <w:rFonts w:hint="eastAsia" w:ascii="仿宋_GB2312" w:hAnsi="仿宋_GB2312" w:eastAsia="仿宋_GB2312" w:cs="仿宋_GB2312"/>
          <w:b w:val="0"/>
          <w:bCs w:val="0"/>
          <w:color w:val="000000"/>
          <w:kern w:val="0"/>
          <w:sz w:val="32"/>
          <w:szCs w:val="32"/>
          <w:lang w:val="zh-TW" w:eastAsia="zh-CN" w:bidi="zh-TW"/>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楷体_GB2312" w:hAnsi="楷体_GB2312" w:eastAsia="楷体_GB2312" w:cs="楷体_GB2312"/>
          <w:b w:val="0"/>
          <w:bCs w:val="0"/>
          <w:color w:val="000000"/>
          <w:kern w:val="0"/>
          <w:sz w:val="32"/>
          <w:szCs w:val="32"/>
          <w:lang w:val="zh-TW" w:eastAsia="zh-TW" w:bidi="zh-TW"/>
        </w:rPr>
      </w:pPr>
      <w:r>
        <w:rPr>
          <w:rFonts w:hint="eastAsia" w:ascii="黑体" w:hAnsi="黑体" w:eastAsia="黑体" w:cs="黑体"/>
          <w:b w:val="0"/>
          <w:bCs w:val="0"/>
          <w:color w:val="000000"/>
          <w:kern w:val="0"/>
          <w:sz w:val="32"/>
          <w:szCs w:val="32"/>
          <w:lang w:val="zh-TW" w:eastAsia="zh-TW" w:bidi="zh-TW"/>
        </w:rPr>
        <w:t xml:space="preserve">第三章 </w:t>
      </w:r>
      <w:r>
        <w:rPr>
          <w:rFonts w:hint="eastAsia" w:ascii="黑体" w:hAnsi="黑体" w:eastAsia="黑体" w:cs="黑体"/>
          <w:b w:val="0"/>
          <w:bCs w:val="0"/>
          <w:color w:val="000000"/>
          <w:kern w:val="0"/>
          <w:sz w:val="32"/>
          <w:szCs w:val="32"/>
          <w:lang w:val="en-US" w:eastAsia="zh-CN" w:bidi="zh-TW"/>
        </w:rPr>
        <w:t xml:space="preserve"> </w:t>
      </w:r>
      <w:r>
        <w:rPr>
          <w:rFonts w:hint="eastAsia" w:ascii="黑体" w:hAnsi="黑体" w:eastAsia="黑体" w:cs="黑体"/>
          <w:b w:val="0"/>
          <w:bCs w:val="0"/>
          <w:color w:val="000000"/>
          <w:kern w:val="0"/>
          <w:sz w:val="32"/>
          <w:szCs w:val="32"/>
          <w:lang w:val="zh-TW" w:eastAsia="zh-TW" w:bidi="zh-TW"/>
        </w:rPr>
        <w:t>住宿费</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eastAsia="zh-CN"/>
        </w:rPr>
        <w:t>十一</w:t>
      </w:r>
      <w:r>
        <w:rPr>
          <w:rFonts w:hint="eastAsia" w:ascii="楷体_GB2312" w:hAnsi="楷体_GB2312" w:eastAsia="楷体_GB2312" w:cs="楷体_GB2312"/>
          <w:b w:val="0"/>
          <w:bCs w:val="0"/>
          <w:sz w:val="32"/>
          <w:szCs w:val="32"/>
        </w:rPr>
        <w:t>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住宿费是指工作人员因公出差期间入驻宾馆（包括饭店、招待所，下同）发生的房租费用。</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第十二条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工作人员出差期间的住宿费，执行常州市财政局公布的分地区住宿费限额标准（见附件2）。</w:t>
      </w:r>
    </w:p>
    <w:p>
      <w:pPr>
        <w:pStyle w:val="12"/>
        <w:keepNext w:val="0"/>
        <w:keepLines w:val="0"/>
        <w:pageBreakBefore w:val="0"/>
        <w:widowControl w:val="0"/>
        <w:kinsoku/>
        <w:wordWrap/>
        <w:overflowPunct/>
        <w:topLinePunct w:val="0"/>
        <w:autoSpaceDE/>
        <w:autoSpaceDN/>
        <w:bidi w:val="0"/>
        <w:adjustRightInd/>
        <w:snapToGrid/>
        <w:spacing w:afterAutospacing="0"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第十三条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出差人员应当在职务级别对应的住宿费限额标准内，选择安全、经济、便捷的宾馆住宿，并凭据报销，超过部分经费自理。</w:t>
      </w:r>
    </w:p>
    <w:p>
      <w:pPr>
        <w:pStyle w:val="12"/>
        <w:keepNext w:val="0"/>
        <w:keepLines w:val="0"/>
        <w:pageBreakBefore w:val="0"/>
        <w:widowControl w:val="0"/>
        <w:kinsoku/>
        <w:wordWrap/>
        <w:overflowPunct/>
        <w:topLinePunct w:val="0"/>
        <w:autoSpaceDE/>
        <w:autoSpaceDN/>
        <w:bidi w:val="0"/>
        <w:adjustRightInd/>
        <w:snapToGrid/>
        <w:spacing w:afterAutospacing="0" w:line="560" w:lineRule="exact"/>
        <w:ind w:left="0" w:firstLine="72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jc w:val="center"/>
        <w:textAlignment w:val="auto"/>
        <w:rPr>
          <w:rFonts w:hint="eastAsia" w:ascii="黑体" w:hAnsi="黑体" w:eastAsia="黑体"/>
          <w:b w:val="0"/>
          <w:bCs w:val="0"/>
          <w:sz w:val="32"/>
          <w:szCs w:val="32"/>
        </w:rPr>
      </w:pPr>
      <w:r>
        <w:rPr>
          <w:rFonts w:hint="eastAsia" w:ascii="黑体" w:hAnsi="黑体" w:eastAsia="黑体" w:cs="黑体"/>
          <w:b w:val="0"/>
          <w:bCs w:val="0"/>
          <w:color w:val="000000"/>
          <w:kern w:val="0"/>
          <w:sz w:val="32"/>
          <w:szCs w:val="32"/>
          <w:lang w:val="zh-TW" w:eastAsia="zh-TW" w:bidi="zh-TW"/>
        </w:rPr>
        <w:t xml:space="preserve">第四章 </w:t>
      </w:r>
      <w:r>
        <w:rPr>
          <w:rFonts w:hint="eastAsia" w:ascii="黑体" w:hAnsi="黑体" w:eastAsia="黑体" w:cs="黑体"/>
          <w:b w:val="0"/>
          <w:bCs w:val="0"/>
          <w:color w:val="000000"/>
          <w:kern w:val="0"/>
          <w:sz w:val="32"/>
          <w:szCs w:val="32"/>
          <w:lang w:val="en-US" w:eastAsia="zh-CN" w:bidi="zh-TW"/>
        </w:rPr>
        <w:t xml:space="preserve"> </w:t>
      </w:r>
      <w:r>
        <w:rPr>
          <w:rFonts w:hint="eastAsia" w:ascii="黑体" w:hAnsi="黑体" w:eastAsia="黑体" w:cs="黑体"/>
          <w:b w:val="0"/>
          <w:bCs w:val="0"/>
          <w:color w:val="000000"/>
          <w:kern w:val="0"/>
          <w:sz w:val="32"/>
          <w:szCs w:val="32"/>
          <w:lang w:val="zh-TW" w:eastAsia="zh-TW" w:bidi="zh-TW"/>
        </w:rPr>
        <w:t>伙食补助费</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第十四条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伙食补助费是指工作人员在因公出差期间给予的伙食补助费用。</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第十五条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工作人员出差伙食补助费按出差自然（日历）天数计算，除新疆、西藏以外地区，标准均为每人每天100元，新疆、西藏地区为每人每天120元，以实际发生为原则，包干使用。</w:t>
      </w:r>
    </w:p>
    <w:p>
      <w:pPr>
        <w:pStyle w:val="12"/>
        <w:keepNext w:val="0"/>
        <w:keepLines w:val="0"/>
        <w:pageBreakBefore w:val="0"/>
        <w:widowControl w:val="0"/>
        <w:kinsoku/>
        <w:wordWrap/>
        <w:overflowPunct/>
        <w:topLinePunct w:val="0"/>
        <w:autoSpaceDE/>
        <w:autoSpaceDN/>
        <w:bidi w:val="0"/>
        <w:adjustRightInd/>
        <w:snapToGrid/>
        <w:spacing w:afterAutospacing="0"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第十六条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出差人员应当自行用餐，凡由接待单位统一安排用餐的，除第二十八条规定情况外，应当向接待单位交纳伙食费并由其出具收取证明（不作报销凭证）。</w:t>
      </w:r>
    </w:p>
    <w:p>
      <w:pPr>
        <w:pStyle w:val="12"/>
        <w:keepNext w:val="0"/>
        <w:keepLines w:val="0"/>
        <w:pageBreakBefore w:val="0"/>
        <w:widowControl w:val="0"/>
        <w:kinsoku/>
        <w:wordWrap/>
        <w:overflowPunct/>
        <w:topLinePunct w:val="0"/>
        <w:autoSpaceDE/>
        <w:autoSpaceDN/>
        <w:bidi w:val="0"/>
        <w:adjustRightInd/>
        <w:snapToGrid/>
        <w:spacing w:afterAutospacing="0" w:line="560" w:lineRule="exact"/>
        <w:ind w:left="0" w:firstLine="72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jc w:val="center"/>
        <w:textAlignment w:val="auto"/>
        <w:rPr>
          <w:rFonts w:hint="eastAsia" w:ascii="黑体" w:hAnsi="黑体" w:eastAsia="黑体" w:cs="黑体"/>
          <w:b w:val="0"/>
          <w:bCs w:val="0"/>
          <w:color w:val="000000"/>
          <w:kern w:val="0"/>
          <w:sz w:val="32"/>
          <w:szCs w:val="32"/>
          <w:lang w:val="zh-TW" w:eastAsia="zh-TW" w:bidi="zh-TW"/>
        </w:rPr>
      </w:pPr>
      <w:r>
        <w:rPr>
          <w:rFonts w:hint="eastAsia" w:ascii="黑体" w:hAnsi="黑体" w:eastAsia="黑体" w:cs="黑体"/>
          <w:b w:val="0"/>
          <w:bCs w:val="0"/>
          <w:color w:val="000000"/>
          <w:kern w:val="0"/>
          <w:sz w:val="32"/>
          <w:szCs w:val="32"/>
          <w:lang w:val="zh-TW" w:eastAsia="zh-TW" w:bidi="zh-TW"/>
        </w:rPr>
        <w:t xml:space="preserve">第五章 </w:t>
      </w:r>
      <w:r>
        <w:rPr>
          <w:rFonts w:hint="eastAsia" w:ascii="黑体" w:hAnsi="黑体" w:eastAsia="黑体" w:cs="黑体"/>
          <w:b w:val="0"/>
          <w:bCs w:val="0"/>
          <w:color w:val="000000"/>
          <w:kern w:val="0"/>
          <w:sz w:val="32"/>
          <w:szCs w:val="32"/>
          <w:lang w:val="en-US" w:eastAsia="zh-CN" w:bidi="zh-TW"/>
        </w:rPr>
        <w:t xml:space="preserve"> </w:t>
      </w:r>
      <w:r>
        <w:rPr>
          <w:rFonts w:hint="eastAsia" w:ascii="黑体" w:hAnsi="黑体" w:eastAsia="黑体" w:cs="黑体"/>
          <w:b w:val="0"/>
          <w:bCs w:val="0"/>
          <w:color w:val="000000"/>
          <w:kern w:val="0"/>
          <w:sz w:val="32"/>
          <w:szCs w:val="32"/>
          <w:lang w:val="zh-TW" w:eastAsia="zh-TW" w:bidi="zh-TW"/>
        </w:rPr>
        <w:t>市内交通费</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4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第十七条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市内交通费是指工作人员因公出差期间发生的市内交通费用。</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4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第十八条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工作人员出差市内交通费按出差自然（日历）天数计算，以实际发生为原则，每人每天80元包干使用。</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4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第十九条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出差人员由单位（不仅限于本单位）派车的，不给予市内交通费补助；由接待单位或其他单位协助提供交通工具的，应当向接待单位或其他单位交纳交通费并由其出具收取证明（不作报销凭证）；除第二十八条规定情况外，自行支付交通费用的，给予市内交通费补助。</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出差人员到达目的地后，确因工作需要租车（不包括出租小汽车）的，需报经单位领导批准，并办理审批手续，回单位凭据报销，租车期间不再给予市内交通费补助。</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b w:val="0"/>
          <w:bCs w:val="0"/>
          <w:color w:val="000000"/>
          <w:kern w:val="0"/>
          <w:sz w:val="32"/>
          <w:szCs w:val="32"/>
          <w:lang w:val="zh-TW" w:eastAsia="zh-TW" w:bidi="zh-TW"/>
        </w:rPr>
      </w:pPr>
      <w:r>
        <w:rPr>
          <w:rFonts w:hint="eastAsia" w:ascii="黑体" w:hAnsi="黑体" w:eastAsia="黑体" w:cs="黑体"/>
          <w:b w:val="0"/>
          <w:bCs w:val="0"/>
          <w:color w:val="000000"/>
          <w:kern w:val="0"/>
          <w:sz w:val="32"/>
          <w:szCs w:val="32"/>
          <w:lang w:val="zh-TW" w:eastAsia="zh-TW" w:bidi="zh-TW"/>
        </w:rPr>
        <w:t xml:space="preserve">第六章 </w:t>
      </w:r>
      <w:r>
        <w:rPr>
          <w:rFonts w:hint="eastAsia" w:ascii="黑体" w:hAnsi="黑体" w:eastAsia="黑体" w:cs="黑体"/>
          <w:b w:val="0"/>
          <w:bCs w:val="0"/>
          <w:color w:val="000000"/>
          <w:kern w:val="0"/>
          <w:sz w:val="32"/>
          <w:szCs w:val="32"/>
          <w:lang w:val="en-US" w:eastAsia="zh-CN" w:bidi="zh-TW"/>
        </w:rPr>
        <w:t xml:space="preserve"> </w:t>
      </w:r>
      <w:r>
        <w:rPr>
          <w:rFonts w:hint="eastAsia" w:ascii="黑体" w:hAnsi="黑体" w:eastAsia="黑体" w:cs="黑体"/>
          <w:b w:val="0"/>
          <w:bCs w:val="0"/>
          <w:color w:val="000000"/>
          <w:kern w:val="0"/>
          <w:sz w:val="32"/>
          <w:szCs w:val="32"/>
          <w:lang w:val="zh-TW" w:eastAsia="zh-TW" w:bidi="zh-TW"/>
        </w:rPr>
        <w:t>报销管理</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4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第二十条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出差人员应当严格按规定开支差旅费，费用由所在单位承担，不得向下级单位、企业或其他单位转嫁。</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4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第二</w:t>
      </w:r>
      <w:r>
        <w:rPr>
          <w:rFonts w:hint="eastAsia" w:ascii="楷体_GB2312" w:hAnsi="楷体_GB2312" w:eastAsia="楷体_GB2312" w:cs="楷体_GB2312"/>
          <w:b w:val="0"/>
          <w:bCs w:val="0"/>
          <w:sz w:val="32"/>
          <w:szCs w:val="32"/>
          <w:lang w:eastAsia="zh-CN"/>
        </w:rPr>
        <w:t>十</w:t>
      </w:r>
      <w:r>
        <w:rPr>
          <w:rFonts w:hint="eastAsia" w:ascii="楷体_GB2312" w:hAnsi="楷体_GB2312" w:eastAsia="楷体_GB2312" w:cs="楷体_GB2312"/>
          <w:b w:val="0"/>
          <w:bCs w:val="0"/>
          <w:sz w:val="32"/>
          <w:szCs w:val="32"/>
        </w:rPr>
        <w:t>一条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出差人员应在差旅活动结束后一个月内办理报销手续。差旅费报销时应当填写专用报销单，提供出差审批单、机票、车船票、住宿发票等相关凭证，出差人员对其真实性负责。</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第二十二条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各单位财务人员应当严格按规定审核差旅费各项开支，未按照规定开支的差旅费，超支部分由个人自理。</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城市间交通费按照乘坐交通工具的等级凭据报销。订票费、经批准发生的签转或退票费、交通意外保险费凭据报销。乘坐飞机的，往返机场的专线客车费用和民航发展基金、燃油附加费凭据报销。住宿费在批准的出差天数和规定的限额标准之内凭发票据实报销。</w:t>
      </w:r>
    </w:p>
    <w:p>
      <w:pPr>
        <w:pStyle w:val="12"/>
        <w:keepNext w:val="0"/>
        <w:keepLines w:val="0"/>
        <w:pageBreakBefore w:val="0"/>
        <w:widowControl w:val="0"/>
        <w:kinsoku/>
        <w:wordWrap/>
        <w:overflowPunct/>
        <w:topLinePunct w:val="0"/>
        <w:autoSpaceDE/>
        <w:autoSpaceDN/>
        <w:bidi w:val="0"/>
        <w:adjustRightInd/>
        <w:snapToGrid/>
        <w:spacing w:afterAutospacing="0"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伙食补助费、市内交通费应以城市间交通费票据和住宿费发票为凭据按规定标准计算报销。无城市间交通费票据的，凭住宿费发票计算报销。当天来回的按一天计算报销。</w:t>
      </w:r>
    </w:p>
    <w:p>
      <w:pPr>
        <w:pStyle w:val="12"/>
        <w:keepNext w:val="0"/>
        <w:keepLines w:val="0"/>
        <w:pageBreakBefore w:val="0"/>
        <w:widowControl w:val="0"/>
        <w:kinsoku/>
        <w:wordWrap/>
        <w:overflowPunct/>
        <w:topLinePunct w:val="0"/>
        <w:autoSpaceDE/>
        <w:autoSpaceDN/>
        <w:bidi w:val="0"/>
        <w:adjustRightInd/>
        <w:snapToGrid/>
        <w:spacing w:afterAutospacing="0"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第二十三条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因公出差人员实际发生住宿而无住宿费发票的，不得报销住宿费，凭城市间交通票据报销伙食补助费和市内交通费；工作人员确实因公出差但既无住宿费发票，又无城市间交通票据的，由所在单位出具说明，由街道财政部门根据出差审批单及实际情况报销伙食补助费和（或）市内交通费。</w:t>
      </w:r>
    </w:p>
    <w:p>
      <w:pPr>
        <w:pStyle w:val="12"/>
        <w:keepNext w:val="0"/>
        <w:keepLines w:val="0"/>
        <w:pageBreakBefore w:val="0"/>
        <w:widowControl w:val="0"/>
        <w:kinsoku/>
        <w:wordWrap/>
        <w:overflowPunct/>
        <w:topLinePunct w:val="0"/>
        <w:autoSpaceDE/>
        <w:autoSpaceDN/>
        <w:bidi w:val="0"/>
        <w:adjustRightInd/>
        <w:snapToGrid/>
        <w:spacing w:afterAutospacing="0" w:line="560" w:lineRule="exact"/>
        <w:ind w:left="0" w:firstLine="72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jc w:val="center"/>
        <w:textAlignment w:val="auto"/>
        <w:rPr>
          <w:rFonts w:hint="eastAsia" w:ascii="黑体" w:hAnsi="黑体" w:eastAsia="黑体" w:cs="黑体"/>
          <w:b w:val="0"/>
          <w:bCs w:val="0"/>
          <w:color w:val="000000"/>
          <w:kern w:val="0"/>
          <w:sz w:val="32"/>
          <w:szCs w:val="32"/>
          <w:lang w:val="zh-TW" w:eastAsia="zh-TW" w:bidi="zh-TW"/>
        </w:rPr>
      </w:pPr>
      <w:r>
        <w:rPr>
          <w:rFonts w:hint="eastAsia" w:ascii="黑体" w:hAnsi="黑体" w:eastAsia="黑体" w:cs="黑体"/>
          <w:b w:val="0"/>
          <w:bCs w:val="0"/>
          <w:color w:val="000000"/>
          <w:kern w:val="0"/>
          <w:sz w:val="32"/>
          <w:szCs w:val="32"/>
          <w:lang w:val="zh-TW" w:eastAsia="zh-TW" w:bidi="zh-TW"/>
        </w:rPr>
        <w:t>第七章</w:t>
      </w:r>
      <w:r>
        <w:rPr>
          <w:rFonts w:hint="eastAsia" w:ascii="黑体" w:hAnsi="黑体" w:eastAsia="黑体" w:cs="黑体"/>
          <w:b w:val="0"/>
          <w:bCs w:val="0"/>
          <w:color w:val="000000"/>
          <w:kern w:val="0"/>
          <w:sz w:val="32"/>
          <w:szCs w:val="32"/>
          <w:lang w:val="en-US" w:eastAsia="zh-CN" w:bidi="zh-TW"/>
        </w:rPr>
        <w:t xml:space="preserve"> </w:t>
      </w:r>
      <w:r>
        <w:rPr>
          <w:rFonts w:hint="eastAsia" w:ascii="黑体" w:hAnsi="黑体" w:eastAsia="黑体" w:cs="黑体"/>
          <w:b w:val="0"/>
          <w:bCs w:val="0"/>
          <w:color w:val="000000"/>
          <w:kern w:val="0"/>
          <w:sz w:val="32"/>
          <w:szCs w:val="32"/>
          <w:lang w:val="zh-TW" w:eastAsia="zh-TW" w:bidi="zh-TW"/>
        </w:rPr>
        <w:t xml:space="preserve"> 监督问责</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第二十四条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各单位应当加强对本单位工作人员出差活动和经费报销的内控管理，出差审批按考勤制度的有关规定执行，强化经费预算约束，严格控制差旅费规模。相关领导、财务人员应对差旅费报销进行审核把关，确保票据来源合规，内容真实完整。对未经批准擅自出差、不按规定开支和报销差旅费的人员进行严肃处理。</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各单位应当自觉接受审计部门对出差活动及相关经费支出的审计监督。</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第二十五条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春江街道财政部门会同有关部门对机关事业单位差旅费管理和使用情况进行监督检查。主要内容包括：</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bookmarkStart w:id="5" w:name="bookmark66"/>
      <w:r>
        <w:rPr>
          <w:rFonts w:hint="eastAsia" w:ascii="仿宋_GB2312" w:hAnsi="仿宋_GB2312" w:eastAsia="仿宋_GB2312" w:cs="仿宋_GB2312"/>
          <w:b w:val="0"/>
          <w:bCs w:val="0"/>
          <w:sz w:val="32"/>
          <w:szCs w:val="32"/>
          <w:lang w:eastAsia="zh-CN"/>
        </w:rPr>
        <w:t>（</w:t>
      </w:r>
      <w:bookmarkEnd w:id="5"/>
      <w:r>
        <w:rPr>
          <w:rFonts w:hint="eastAsia" w:ascii="仿宋_GB2312" w:hAnsi="仿宋_GB2312" w:eastAsia="仿宋_GB2312" w:cs="仿宋_GB2312"/>
          <w:b w:val="0"/>
          <w:bCs w:val="0"/>
          <w:sz w:val="32"/>
          <w:szCs w:val="32"/>
          <w:lang w:eastAsia="zh-CN"/>
        </w:rPr>
        <w:t>一）单位执行差旅审批制度情况，出差活动是否按规定履行审批手续；</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bookmarkStart w:id="6" w:name="bookmark67"/>
      <w:r>
        <w:rPr>
          <w:rFonts w:hint="eastAsia" w:ascii="仿宋_GB2312" w:hAnsi="仿宋_GB2312" w:eastAsia="仿宋_GB2312" w:cs="仿宋_GB2312"/>
          <w:b w:val="0"/>
          <w:bCs w:val="0"/>
          <w:sz w:val="32"/>
          <w:szCs w:val="32"/>
          <w:lang w:eastAsia="zh-CN"/>
        </w:rPr>
        <w:t>（</w:t>
      </w:r>
      <w:bookmarkEnd w:id="6"/>
      <w:r>
        <w:rPr>
          <w:rFonts w:hint="eastAsia" w:ascii="仿宋_GB2312" w:hAnsi="仿宋_GB2312" w:eastAsia="仿宋_GB2312" w:cs="仿宋_GB2312"/>
          <w:b w:val="0"/>
          <w:bCs w:val="0"/>
          <w:sz w:val="32"/>
          <w:szCs w:val="32"/>
          <w:lang w:eastAsia="zh-CN"/>
        </w:rPr>
        <w:t>二）差旅费开支范围和开支标准是否符合规定；</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bookmarkStart w:id="7" w:name="bookmark68"/>
      <w:r>
        <w:rPr>
          <w:rFonts w:hint="eastAsia" w:ascii="仿宋_GB2312" w:hAnsi="仿宋_GB2312" w:eastAsia="仿宋_GB2312" w:cs="仿宋_GB2312"/>
          <w:b w:val="0"/>
          <w:bCs w:val="0"/>
          <w:sz w:val="32"/>
          <w:szCs w:val="32"/>
          <w:lang w:eastAsia="zh-CN"/>
        </w:rPr>
        <w:t>（</w:t>
      </w:r>
      <w:bookmarkEnd w:id="7"/>
      <w:r>
        <w:rPr>
          <w:rFonts w:hint="eastAsia" w:ascii="仿宋_GB2312" w:hAnsi="仿宋_GB2312" w:eastAsia="仿宋_GB2312" w:cs="仿宋_GB2312"/>
          <w:b w:val="0"/>
          <w:bCs w:val="0"/>
          <w:sz w:val="32"/>
          <w:szCs w:val="32"/>
          <w:lang w:eastAsia="zh-CN"/>
        </w:rPr>
        <w:t>三）差旅费报销是否符合规定；</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bookmarkStart w:id="8" w:name="bookmark69"/>
      <w:r>
        <w:rPr>
          <w:rFonts w:hint="eastAsia" w:ascii="仿宋_GB2312" w:hAnsi="仿宋_GB2312" w:eastAsia="仿宋_GB2312" w:cs="仿宋_GB2312"/>
          <w:b w:val="0"/>
          <w:bCs w:val="0"/>
          <w:sz w:val="32"/>
          <w:szCs w:val="32"/>
          <w:lang w:eastAsia="zh-CN"/>
        </w:rPr>
        <w:t>（</w:t>
      </w:r>
      <w:bookmarkEnd w:id="8"/>
      <w:r>
        <w:rPr>
          <w:rFonts w:hint="eastAsia" w:ascii="仿宋_GB2312" w:hAnsi="仿宋_GB2312" w:eastAsia="仿宋_GB2312" w:cs="仿宋_GB2312"/>
          <w:b w:val="0"/>
          <w:bCs w:val="0"/>
          <w:sz w:val="32"/>
          <w:szCs w:val="32"/>
          <w:lang w:eastAsia="zh-CN"/>
        </w:rPr>
        <w:t>四）是否存在向下级单位、企业或其他单位转嫁差旅费现象;</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bookmarkStart w:id="9" w:name="bookmark70"/>
      <w:r>
        <w:rPr>
          <w:rFonts w:hint="eastAsia" w:ascii="仿宋_GB2312" w:hAnsi="仿宋_GB2312" w:eastAsia="仿宋_GB2312" w:cs="仿宋_GB2312"/>
          <w:b w:val="0"/>
          <w:bCs w:val="0"/>
          <w:sz w:val="32"/>
          <w:szCs w:val="32"/>
          <w:lang w:eastAsia="zh-CN"/>
        </w:rPr>
        <w:t>（</w:t>
      </w:r>
      <w:bookmarkEnd w:id="9"/>
      <w:r>
        <w:rPr>
          <w:rFonts w:hint="eastAsia" w:ascii="仿宋_GB2312" w:hAnsi="仿宋_GB2312" w:eastAsia="仿宋_GB2312" w:cs="仿宋_GB2312"/>
          <w:b w:val="0"/>
          <w:bCs w:val="0"/>
          <w:sz w:val="32"/>
          <w:szCs w:val="32"/>
          <w:lang w:eastAsia="zh-CN"/>
        </w:rPr>
        <w:t>五）差旅费管理和使用的其他情况。</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第二十六条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出差人员不得向接待单位提出正常公务活动以外的要求，不得在出差期间接受违反规定用公款支付的宴请、游览和非工作需要的参观，不得接受礼品、礼金和土特产品等。</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第二十七条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违反本规定，有下列行为之一的，依法依规追究相关单位和人员责任：</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bookmarkStart w:id="10" w:name="bookmark71"/>
      <w:r>
        <w:rPr>
          <w:rFonts w:hint="eastAsia" w:ascii="仿宋_GB2312" w:hAnsi="仿宋_GB2312" w:eastAsia="仿宋_GB2312" w:cs="仿宋_GB2312"/>
          <w:b w:val="0"/>
          <w:bCs w:val="0"/>
          <w:sz w:val="32"/>
          <w:szCs w:val="32"/>
          <w:lang w:eastAsia="zh-CN"/>
        </w:rPr>
        <w:t>（</w:t>
      </w:r>
      <w:bookmarkEnd w:id="10"/>
      <w:r>
        <w:rPr>
          <w:rFonts w:hint="eastAsia" w:ascii="仿宋_GB2312" w:hAnsi="仿宋_GB2312" w:eastAsia="仿宋_GB2312" w:cs="仿宋_GB2312"/>
          <w:b w:val="0"/>
          <w:bCs w:val="0"/>
          <w:sz w:val="32"/>
          <w:szCs w:val="32"/>
          <w:lang w:eastAsia="zh-CN"/>
        </w:rPr>
        <w:t>一）单位未执行出差审批制度或出差审批控制不严的；</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bookmarkStart w:id="11" w:name="bookmark72"/>
      <w:r>
        <w:rPr>
          <w:rFonts w:hint="eastAsia" w:ascii="仿宋_GB2312" w:hAnsi="仿宋_GB2312" w:eastAsia="仿宋_GB2312" w:cs="仿宋_GB2312"/>
          <w:b w:val="0"/>
          <w:bCs w:val="0"/>
          <w:sz w:val="32"/>
          <w:szCs w:val="32"/>
          <w:lang w:eastAsia="zh-CN"/>
        </w:rPr>
        <w:t>（</w:t>
      </w:r>
      <w:bookmarkEnd w:id="11"/>
      <w:r>
        <w:rPr>
          <w:rFonts w:hint="eastAsia" w:ascii="仿宋_GB2312" w:hAnsi="仿宋_GB2312" w:eastAsia="仿宋_GB2312" w:cs="仿宋_GB2312"/>
          <w:b w:val="0"/>
          <w:bCs w:val="0"/>
          <w:sz w:val="32"/>
          <w:szCs w:val="32"/>
          <w:lang w:eastAsia="zh-CN"/>
        </w:rPr>
        <w:t>二）弄虚作假，虚报冒领差旅费的；</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bookmarkStart w:id="12" w:name="bookmark73"/>
      <w:r>
        <w:rPr>
          <w:rFonts w:hint="eastAsia" w:ascii="仿宋_GB2312" w:hAnsi="仿宋_GB2312" w:eastAsia="仿宋_GB2312" w:cs="仿宋_GB2312"/>
          <w:b w:val="0"/>
          <w:bCs w:val="0"/>
          <w:sz w:val="32"/>
          <w:szCs w:val="32"/>
          <w:lang w:eastAsia="zh-CN"/>
        </w:rPr>
        <w:t>（</w:t>
      </w:r>
      <w:bookmarkEnd w:id="12"/>
      <w:r>
        <w:rPr>
          <w:rFonts w:hint="eastAsia" w:ascii="仿宋_GB2312" w:hAnsi="仿宋_GB2312" w:eastAsia="仿宋_GB2312" w:cs="仿宋_GB2312"/>
          <w:b w:val="0"/>
          <w:bCs w:val="0"/>
          <w:sz w:val="32"/>
          <w:szCs w:val="32"/>
          <w:lang w:eastAsia="zh-CN"/>
        </w:rPr>
        <w:t>三）违规扩大差旅费开支范围，擅自提高开支标准的；</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bookmarkStart w:id="13" w:name="bookmark74"/>
      <w:r>
        <w:rPr>
          <w:rFonts w:hint="eastAsia" w:ascii="仿宋_GB2312" w:hAnsi="仿宋_GB2312" w:eastAsia="仿宋_GB2312" w:cs="仿宋_GB2312"/>
          <w:b w:val="0"/>
          <w:bCs w:val="0"/>
          <w:sz w:val="32"/>
          <w:szCs w:val="32"/>
          <w:lang w:eastAsia="zh-CN"/>
        </w:rPr>
        <w:t>（</w:t>
      </w:r>
      <w:bookmarkEnd w:id="13"/>
      <w:r>
        <w:rPr>
          <w:rFonts w:hint="eastAsia" w:ascii="仿宋_GB2312" w:hAnsi="仿宋_GB2312" w:eastAsia="仿宋_GB2312" w:cs="仿宋_GB2312"/>
          <w:b w:val="0"/>
          <w:bCs w:val="0"/>
          <w:sz w:val="32"/>
          <w:szCs w:val="32"/>
          <w:lang w:eastAsia="zh-CN"/>
        </w:rPr>
        <w:t>四）不按规定报销差旅费的；</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bookmarkStart w:id="14" w:name="bookmark75"/>
      <w:r>
        <w:rPr>
          <w:rFonts w:hint="eastAsia" w:ascii="仿宋_GB2312" w:hAnsi="仿宋_GB2312" w:eastAsia="仿宋_GB2312" w:cs="仿宋_GB2312"/>
          <w:b w:val="0"/>
          <w:bCs w:val="0"/>
          <w:sz w:val="32"/>
          <w:szCs w:val="32"/>
          <w:lang w:eastAsia="zh-CN"/>
        </w:rPr>
        <w:t>（</w:t>
      </w:r>
      <w:bookmarkEnd w:id="14"/>
      <w:r>
        <w:rPr>
          <w:rFonts w:hint="eastAsia" w:ascii="仿宋_GB2312" w:hAnsi="仿宋_GB2312" w:eastAsia="仿宋_GB2312" w:cs="仿宋_GB2312"/>
          <w:b w:val="0"/>
          <w:bCs w:val="0"/>
          <w:sz w:val="32"/>
          <w:szCs w:val="32"/>
          <w:lang w:eastAsia="zh-CN"/>
        </w:rPr>
        <w:t>五）转嫁差旅费的；</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bookmarkStart w:id="15" w:name="bookmark76"/>
      <w:r>
        <w:rPr>
          <w:rFonts w:hint="eastAsia" w:ascii="仿宋_GB2312" w:hAnsi="仿宋_GB2312" w:eastAsia="仿宋_GB2312" w:cs="仿宋_GB2312"/>
          <w:b w:val="0"/>
          <w:bCs w:val="0"/>
          <w:sz w:val="32"/>
          <w:szCs w:val="32"/>
          <w:lang w:eastAsia="zh-CN"/>
        </w:rPr>
        <w:t>（</w:t>
      </w:r>
      <w:bookmarkEnd w:id="15"/>
      <w:r>
        <w:rPr>
          <w:rFonts w:hint="eastAsia" w:ascii="仿宋_GB2312" w:hAnsi="仿宋_GB2312" w:eastAsia="仿宋_GB2312" w:cs="仿宋_GB2312"/>
          <w:b w:val="0"/>
          <w:bCs w:val="0"/>
          <w:sz w:val="32"/>
          <w:szCs w:val="32"/>
          <w:lang w:eastAsia="zh-CN"/>
        </w:rPr>
        <w:t>六）其他违反本规定的行为。</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有前款所列行为之一的，由街道财政部门会同有关部门责令改正，违规资金予以追回，并视情况予以通报。对直接责任人和相关负责人，报纪检监察部门按规定给予行政处分。涉嫌违法的，移交司法机关处理。</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黑体" w:hAnsi="黑体" w:eastAsia="黑体"/>
          <w:b w:val="0"/>
          <w:bCs w:val="0"/>
          <w:sz w:val="32"/>
          <w:szCs w:val="32"/>
        </w:rPr>
      </w:pPr>
      <w:r>
        <w:rPr>
          <w:rFonts w:hint="eastAsia" w:ascii="黑体" w:hAnsi="黑体" w:eastAsia="黑体" w:cs="黑体"/>
          <w:b w:val="0"/>
          <w:bCs w:val="0"/>
          <w:color w:val="000000"/>
          <w:kern w:val="0"/>
          <w:sz w:val="32"/>
          <w:szCs w:val="32"/>
          <w:lang w:val="zh-TW" w:eastAsia="zh-TW" w:bidi="zh-TW"/>
        </w:rPr>
        <w:t>第八章</w:t>
      </w:r>
      <w:r>
        <w:rPr>
          <w:rFonts w:hint="eastAsia" w:ascii="黑体" w:hAnsi="黑体" w:eastAsia="黑体" w:cs="黑体"/>
          <w:b w:val="0"/>
          <w:bCs w:val="0"/>
          <w:color w:val="000000"/>
          <w:kern w:val="0"/>
          <w:sz w:val="32"/>
          <w:szCs w:val="32"/>
          <w:lang w:val="en-US" w:eastAsia="zh-CN" w:bidi="zh-TW"/>
        </w:rPr>
        <w:t xml:space="preserve"> </w:t>
      </w:r>
      <w:r>
        <w:rPr>
          <w:rFonts w:hint="eastAsia" w:ascii="黑体" w:hAnsi="黑体" w:eastAsia="黑体" w:cs="黑体"/>
          <w:b w:val="0"/>
          <w:bCs w:val="0"/>
          <w:color w:val="000000"/>
          <w:kern w:val="0"/>
          <w:sz w:val="32"/>
          <w:szCs w:val="32"/>
          <w:lang w:val="zh-TW" w:eastAsia="zh-TW" w:bidi="zh-TW"/>
        </w:rPr>
        <w:t xml:space="preserve"> 附</w:t>
      </w:r>
      <w:r>
        <w:rPr>
          <w:rFonts w:hint="eastAsia" w:ascii="黑体" w:hAnsi="黑体" w:eastAsia="黑体" w:cs="黑体"/>
          <w:b w:val="0"/>
          <w:bCs w:val="0"/>
          <w:color w:val="000000"/>
          <w:kern w:val="0"/>
          <w:sz w:val="32"/>
          <w:szCs w:val="32"/>
          <w:lang w:val="en-US" w:eastAsia="zh-CN" w:bidi="zh-TW"/>
        </w:rPr>
        <w:t xml:space="preserve">  </w:t>
      </w:r>
      <w:r>
        <w:rPr>
          <w:rFonts w:hint="eastAsia" w:ascii="黑体" w:hAnsi="黑体" w:eastAsia="黑体" w:cs="黑体"/>
          <w:b w:val="0"/>
          <w:bCs w:val="0"/>
          <w:color w:val="000000"/>
          <w:kern w:val="0"/>
          <w:sz w:val="32"/>
          <w:szCs w:val="32"/>
          <w:lang w:val="zh-TW" w:eastAsia="zh-TW" w:bidi="zh-TW"/>
        </w:rPr>
        <w:t>则</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b w:val="0"/>
          <w:bCs w:val="0"/>
        </w:rPr>
      </w:pPr>
      <w:r>
        <w:rPr>
          <w:rFonts w:hint="eastAsia" w:ascii="楷体_GB2312" w:hAnsi="楷体_GB2312" w:eastAsia="楷体_GB2312" w:cs="楷体_GB2312"/>
          <w:b w:val="0"/>
          <w:bCs w:val="0"/>
          <w:sz w:val="32"/>
          <w:szCs w:val="32"/>
        </w:rPr>
        <w:t>第二十八条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工作人员离开常州市区范围参加会议、培训，举办单位统一安排食宿的，会议、培训期间的食宿费和市内交通费由会议、培训举办单位按规定统一开支，所在单位不予报销；举办单位未统一安排食宿的，按规定报销住宿费和伙食补助费，会议期间不再给予市内交通费补助；往返会议、培训地点的差旅费由所在单位按规定报销。</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第二十九条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按照组织安排，到常州市区以外单位实（见）习、挂职锻炼、专项外派等工作的人员，在途期间（仅指首次前往和期满返回）的差旅费回原单位按本办法规定报销。工作期间按照每人每天40元标准回原单位报销伙食补助费，不得报销住宿费和市内交通费；工作期间的出差差旅费执行驻地规定，费用由驻地单位承担。</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援藏、援疆、援青、援外、苏南和苏北共建等政府统一外派情况，另按相关规定执行。</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春江街道驻外机构工作人员工作期间离开驻地的出差，按照属地的原则，执行驻点地区差旅费标准。</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第三十条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单位所收出差人员交纳的伙食费和交通费由接待单位开具财政资金往来结算票据，按规定科目（暂存款一代办差旅费）缴入财政专户。</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第三十一条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所有涉及工作人员上下班交通的，不适用于本办法。</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4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第三十二条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工作人员不得要求将休假、探亲、旅游等活动纳入出差范围。出差任务审批前已按规定批准的各类休假活动与出差活动时间、地点前后衔接的，须在审批单上详细注明，应由个人承担的费用不准纳入差旅费报销。</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4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第三十三条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各社区等非财政全额保障单位和组织，参照本办法执行。</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40"/>
        <w:jc w:val="both"/>
        <w:textAlignment w:val="auto"/>
        <w:rPr>
          <w:b w:val="0"/>
          <w:bCs w:val="0"/>
        </w:rPr>
      </w:pPr>
      <w:r>
        <w:rPr>
          <w:rFonts w:hint="eastAsia" w:ascii="楷体_GB2312" w:hAnsi="楷体_GB2312" w:eastAsia="楷体_GB2312" w:cs="楷体_GB2312"/>
          <w:b w:val="0"/>
          <w:bCs w:val="0"/>
          <w:sz w:val="32"/>
          <w:szCs w:val="32"/>
        </w:rPr>
        <w:t>第三十四条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本办法由春江街道财政部门负责解释。</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4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第三十五条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本办法自</w:t>
      </w:r>
      <w:r>
        <w:rPr>
          <w:rFonts w:hint="eastAsia" w:ascii="仿宋_GB2312" w:hAnsi="仿宋_GB2312" w:eastAsia="仿宋_GB2312" w:cs="仿宋_GB2312"/>
          <w:b w:val="0"/>
          <w:bCs w:val="0"/>
          <w:sz w:val="32"/>
          <w:szCs w:val="32"/>
          <w:lang w:val="en-US" w:eastAsia="zh-CN"/>
        </w:rPr>
        <w:t>发文之日</w:t>
      </w:r>
      <w:r>
        <w:rPr>
          <w:rFonts w:hint="eastAsia" w:ascii="仿宋_GB2312" w:hAnsi="仿宋_GB2312" w:eastAsia="仿宋_GB2312" w:cs="仿宋_GB2312"/>
          <w:b w:val="0"/>
          <w:bCs w:val="0"/>
          <w:sz w:val="32"/>
          <w:szCs w:val="32"/>
          <w:lang w:eastAsia="zh-CN"/>
        </w:rPr>
        <w:t>起施行。此前有关规定与本办法不符的，一律以本办法为准。</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b w:val="0"/>
          <w:bCs w:val="0"/>
          <w:sz w:val="32"/>
          <w:szCs w:val="32"/>
          <w:lang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春江街道机关事业单位出差审批单</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常州市市级机关国内差旅住宿费标准明细表</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 w:val="0"/>
          <w:bCs w:val="0"/>
          <w:sz w:val="32"/>
          <w:szCs w:val="32"/>
          <w:lang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 w:val="0"/>
          <w:bCs w:val="0"/>
          <w:sz w:val="32"/>
          <w:szCs w:val="32"/>
          <w:lang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eastAsia="zh-CN"/>
        </w:rPr>
      </w:pPr>
    </w:p>
    <w:p>
      <w:pPr>
        <w:rPr>
          <w:rFonts w:hint="eastAsia" w:cs="宋体" w:asciiTheme="minorEastAsia" w:hAnsiTheme="minorEastAsia"/>
          <w:sz w:val="28"/>
          <w:szCs w:val="28"/>
        </w:rPr>
      </w:pPr>
      <w:r>
        <w:rPr>
          <w:rFonts w:hint="eastAsia" w:cs="宋体" w:asciiTheme="minorEastAsia" w:hAnsiTheme="minorEastAsia"/>
          <w:sz w:val="28"/>
          <w:szCs w:val="28"/>
        </w:rPr>
        <w:br w:type="page"/>
      </w:r>
    </w:p>
    <w:p>
      <w:pPr>
        <w:pStyle w:val="12"/>
        <w:spacing w:afterAutospacing="0" w:line="240" w:lineRule="auto"/>
        <w:ind w:firstLine="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bookmarkStart w:id="16" w:name="bookmark80"/>
      <w:bookmarkStart w:id="17" w:name="bookmark81"/>
      <w:bookmarkStart w:id="18" w:name="bookmark82"/>
    </w:p>
    <w:p>
      <w:pPr>
        <w:pStyle w:val="12"/>
        <w:spacing w:beforeAutospacing="0" w:after="159" w:afterLines="50" w:afterAutospacing="0" w:line="240" w:lineRule="auto"/>
        <w:ind w:firstLine="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春江街道</w:t>
      </w:r>
      <w:r>
        <w:rPr>
          <w:rFonts w:hint="eastAsia" w:ascii="方正小标宋简体" w:hAnsi="方正小标宋简体" w:eastAsia="方正小标宋简体" w:cs="方正小标宋简体"/>
          <w:sz w:val="44"/>
          <w:szCs w:val="44"/>
        </w:rPr>
        <w:t>机关事业单位出差审批单</w:t>
      </w:r>
      <w:bookmarkEnd w:id="16"/>
      <w:bookmarkEnd w:id="17"/>
      <w:bookmarkEnd w:id="18"/>
    </w:p>
    <w:tbl>
      <w:tblPr>
        <w:tblStyle w:val="9"/>
        <w:tblW w:w="0" w:type="auto"/>
        <w:jc w:val="center"/>
        <w:tblLayout w:type="fixed"/>
        <w:tblCellMar>
          <w:top w:w="0" w:type="dxa"/>
          <w:left w:w="10" w:type="dxa"/>
          <w:bottom w:w="0" w:type="dxa"/>
          <w:right w:w="10" w:type="dxa"/>
        </w:tblCellMar>
      </w:tblPr>
      <w:tblGrid>
        <w:gridCol w:w="1618"/>
        <w:gridCol w:w="2405"/>
        <w:gridCol w:w="1550"/>
        <w:gridCol w:w="3163"/>
      </w:tblGrid>
      <w:tr>
        <w:tblPrEx>
          <w:tblCellMar>
            <w:top w:w="0" w:type="dxa"/>
            <w:left w:w="10" w:type="dxa"/>
            <w:bottom w:w="0" w:type="dxa"/>
            <w:right w:w="10" w:type="dxa"/>
          </w:tblCellMar>
        </w:tblPrEx>
        <w:trPr>
          <w:trHeight w:val="456" w:hRule="exact"/>
          <w:jc w:val="center"/>
        </w:trPr>
        <w:tc>
          <w:tcPr>
            <w:tcW w:w="1618" w:type="dxa"/>
            <w:vMerge w:val="restart"/>
            <w:tcBorders>
              <w:top w:val="single" w:color="auto" w:sz="4" w:space="0"/>
              <w:left w:val="single" w:color="auto" w:sz="4" w:space="0"/>
            </w:tcBorders>
            <w:shd w:val="clear" w:color="auto" w:fill="FFFFFF"/>
            <w:vAlign w:val="center"/>
          </w:tcPr>
          <w:p>
            <w:pPr>
              <w:pStyle w:val="14"/>
              <w:spacing w:beforeAutospacing="0" w:after="320" w:line="240" w:lineRule="auto"/>
              <w:ind w:firstLine="500"/>
              <w:rPr>
                <w:sz w:val="26"/>
                <w:szCs w:val="26"/>
              </w:rPr>
            </w:pPr>
            <w:r>
              <w:rPr>
                <w:sz w:val="26"/>
                <w:szCs w:val="26"/>
              </w:rPr>
              <w:t>出差</w:t>
            </w:r>
          </w:p>
          <w:p>
            <w:pPr>
              <w:pStyle w:val="14"/>
              <w:spacing w:after="320" w:line="240" w:lineRule="auto"/>
              <w:ind w:firstLine="500"/>
              <w:rPr>
                <w:sz w:val="26"/>
                <w:szCs w:val="26"/>
              </w:rPr>
            </w:pPr>
            <w:r>
              <w:rPr>
                <w:sz w:val="26"/>
                <w:szCs w:val="26"/>
              </w:rPr>
              <w:t>人员</w:t>
            </w:r>
          </w:p>
          <w:p>
            <w:pPr>
              <w:pStyle w:val="14"/>
              <w:spacing w:after="320" w:line="240" w:lineRule="auto"/>
              <w:ind w:firstLine="0"/>
              <w:jc w:val="center"/>
              <w:rPr>
                <w:sz w:val="26"/>
                <w:szCs w:val="26"/>
              </w:rPr>
            </w:pPr>
            <w:r>
              <w:rPr>
                <w:sz w:val="26"/>
                <w:szCs w:val="26"/>
              </w:rPr>
              <w:t>姓名</w:t>
            </w:r>
          </w:p>
        </w:tc>
        <w:tc>
          <w:tcPr>
            <w:tcW w:w="2405" w:type="dxa"/>
            <w:tcBorders>
              <w:top w:val="single" w:color="auto" w:sz="4" w:space="0"/>
              <w:left w:val="single" w:color="auto" w:sz="4" w:space="0"/>
            </w:tcBorders>
            <w:shd w:val="clear" w:color="auto" w:fill="FFFFFF"/>
          </w:tcPr>
          <w:p>
            <w:pPr>
              <w:rPr>
                <w:sz w:val="10"/>
                <w:szCs w:val="10"/>
              </w:rPr>
            </w:pPr>
          </w:p>
        </w:tc>
        <w:tc>
          <w:tcPr>
            <w:tcW w:w="1550" w:type="dxa"/>
            <w:vMerge w:val="restart"/>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职务</w:t>
            </w:r>
          </w:p>
        </w:tc>
        <w:tc>
          <w:tcPr>
            <w:tcW w:w="3163"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56" w:hRule="exact"/>
          <w:jc w:val="center"/>
        </w:trPr>
        <w:tc>
          <w:tcPr>
            <w:tcW w:w="1618" w:type="dxa"/>
            <w:vMerge w:val="continue"/>
            <w:tcBorders>
              <w:left w:val="single" w:color="auto" w:sz="4" w:space="0"/>
            </w:tcBorders>
            <w:shd w:val="clear" w:color="auto" w:fill="FFFFFF"/>
            <w:vAlign w:val="center"/>
          </w:tcPr>
          <w:p/>
        </w:tc>
        <w:tc>
          <w:tcPr>
            <w:tcW w:w="2405" w:type="dxa"/>
            <w:tcBorders>
              <w:top w:val="single" w:color="auto" w:sz="4" w:space="0"/>
              <w:left w:val="single" w:color="auto" w:sz="4" w:space="0"/>
            </w:tcBorders>
            <w:shd w:val="clear" w:color="auto" w:fill="FFFFFF"/>
          </w:tcPr>
          <w:p>
            <w:pPr>
              <w:rPr>
                <w:sz w:val="10"/>
                <w:szCs w:val="10"/>
              </w:rPr>
            </w:pPr>
          </w:p>
        </w:tc>
        <w:tc>
          <w:tcPr>
            <w:tcW w:w="1550" w:type="dxa"/>
            <w:vMerge w:val="continue"/>
            <w:tcBorders>
              <w:left w:val="single" w:color="auto" w:sz="4" w:space="0"/>
            </w:tcBorders>
            <w:shd w:val="clear" w:color="auto" w:fill="FFFFFF"/>
            <w:vAlign w:val="center"/>
          </w:tcPr>
          <w:p/>
        </w:tc>
        <w:tc>
          <w:tcPr>
            <w:tcW w:w="3163"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56" w:hRule="exact"/>
          <w:jc w:val="center"/>
        </w:trPr>
        <w:tc>
          <w:tcPr>
            <w:tcW w:w="1618" w:type="dxa"/>
            <w:vMerge w:val="continue"/>
            <w:tcBorders>
              <w:left w:val="single" w:color="auto" w:sz="4" w:space="0"/>
            </w:tcBorders>
            <w:shd w:val="clear" w:color="auto" w:fill="FFFFFF"/>
            <w:vAlign w:val="center"/>
          </w:tcPr>
          <w:p/>
        </w:tc>
        <w:tc>
          <w:tcPr>
            <w:tcW w:w="2405" w:type="dxa"/>
            <w:tcBorders>
              <w:top w:val="single" w:color="auto" w:sz="4" w:space="0"/>
              <w:left w:val="single" w:color="auto" w:sz="4" w:space="0"/>
            </w:tcBorders>
            <w:shd w:val="clear" w:color="auto" w:fill="FFFFFF"/>
          </w:tcPr>
          <w:p>
            <w:pPr>
              <w:rPr>
                <w:sz w:val="10"/>
                <w:szCs w:val="10"/>
              </w:rPr>
            </w:pPr>
          </w:p>
        </w:tc>
        <w:tc>
          <w:tcPr>
            <w:tcW w:w="1550" w:type="dxa"/>
            <w:vMerge w:val="continue"/>
            <w:tcBorders>
              <w:left w:val="single" w:color="auto" w:sz="4" w:space="0"/>
            </w:tcBorders>
            <w:shd w:val="clear" w:color="auto" w:fill="FFFFFF"/>
            <w:vAlign w:val="center"/>
          </w:tcPr>
          <w:p/>
        </w:tc>
        <w:tc>
          <w:tcPr>
            <w:tcW w:w="3163"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51" w:hRule="exact"/>
          <w:jc w:val="center"/>
        </w:trPr>
        <w:tc>
          <w:tcPr>
            <w:tcW w:w="1618" w:type="dxa"/>
            <w:vMerge w:val="continue"/>
            <w:tcBorders>
              <w:left w:val="single" w:color="auto" w:sz="4" w:space="0"/>
            </w:tcBorders>
            <w:shd w:val="clear" w:color="auto" w:fill="FFFFFF"/>
            <w:vAlign w:val="center"/>
          </w:tcPr>
          <w:p/>
        </w:tc>
        <w:tc>
          <w:tcPr>
            <w:tcW w:w="2405" w:type="dxa"/>
            <w:tcBorders>
              <w:top w:val="single" w:color="auto" w:sz="4" w:space="0"/>
              <w:left w:val="single" w:color="auto" w:sz="4" w:space="0"/>
            </w:tcBorders>
            <w:shd w:val="clear" w:color="auto" w:fill="FFFFFF"/>
          </w:tcPr>
          <w:p>
            <w:pPr>
              <w:rPr>
                <w:sz w:val="10"/>
                <w:szCs w:val="10"/>
              </w:rPr>
            </w:pPr>
          </w:p>
        </w:tc>
        <w:tc>
          <w:tcPr>
            <w:tcW w:w="1550" w:type="dxa"/>
            <w:vMerge w:val="continue"/>
            <w:tcBorders>
              <w:left w:val="single" w:color="auto" w:sz="4" w:space="0"/>
            </w:tcBorders>
            <w:shd w:val="clear" w:color="auto" w:fill="FFFFFF"/>
            <w:vAlign w:val="center"/>
          </w:tcPr>
          <w:p/>
        </w:tc>
        <w:tc>
          <w:tcPr>
            <w:tcW w:w="3163"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56" w:hRule="exact"/>
          <w:jc w:val="center"/>
        </w:trPr>
        <w:tc>
          <w:tcPr>
            <w:tcW w:w="1618" w:type="dxa"/>
            <w:vMerge w:val="continue"/>
            <w:tcBorders>
              <w:left w:val="single" w:color="auto" w:sz="4" w:space="0"/>
            </w:tcBorders>
            <w:shd w:val="clear" w:color="auto" w:fill="FFFFFF"/>
            <w:vAlign w:val="center"/>
          </w:tcPr>
          <w:p/>
        </w:tc>
        <w:tc>
          <w:tcPr>
            <w:tcW w:w="2405" w:type="dxa"/>
            <w:tcBorders>
              <w:top w:val="single" w:color="auto" w:sz="4" w:space="0"/>
              <w:left w:val="single" w:color="auto" w:sz="4" w:space="0"/>
            </w:tcBorders>
            <w:shd w:val="clear" w:color="auto" w:fill="FFFFFF"/>
          </w:tcPr>
          <w:p>
            <w:pPr>
              <w:rPr>
                <w:sz w:val="10"/>
                <w:szCs w:val="10"/>
              </w:rPr>
            </w:pPr>
          </w:p>
        </w:tc>
        <w:tc>
          <w:tcPr>
            <w:tcW w:w="1550" w:type="dxa"/>
            <w:vMerge w:val="continue"/>
            <w:tcBorders>
              <w:left w:val="single" w:color="auto" w:sz="4" w:space="0"/>
            </w:tcBorders>
            <w:shd w:val="clear" w:color="auto" w:fill="FFFFFF"/>
            <w:vAlign w:val="center"/>
          </w:tcPr>
          <w:p/>
        </w:tc>
        <w:tc>
          <w:tcPr>
            <w:tcW w:w="3163"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51" w:hRule="exact"/>
          <w:jc w:val="center"/>
        </w:trPr>
        <w:tc>
          <w:tcPr>
            <w:tcW w:w="1618" w:type="dxa"/>
            <w:vMerge w:val="continue"/>
            <w:tcBorders>
              <w:left w:val="single" w:color="auto" w:sz="4" w:space="0"/>
            </w:tcBorders>
            <w:shd w:val="clear" w:color="auto" w:fill="FFFFFF"/>
            <w:vAlign w:val="center"/>
          </w:tcPr>
          <w:p/>
        </w:tc>
        <w:tc>
          <w:tcPr>
            <w:tcW w:w="2405" w:type="dxa"/>
            <w:tcBorders>
              <w:top w:val="single" w:color="auto" w:sz="4" w:space="0"/>
              <w:left w:val="single" w:color="auto" w:sz="4" w:space="0"/>
            </w:tcBorders>
            <w:shd w:val="clear" w:color="auto" w:fill="FFFFFF"/>
          </w:tcPr>
          <w:p>
            <w:pPr>
              <w:rPr>
                <w:sz w:val="10"/>
                <w:szCs w:val="10"/>
              </w:rPr>
            </w:pPr>
          </w:p>
        </w:tc>
        <w:tc>
          <w:tcPr>
            <w:tcW w:w="1550" w:type="dxa"/>
            <w:vMerge w:val="continue"/>
            <w:tcBorders>
              <w:left w:val="single" w:color="auto" w:sz="4" w:space="0"/>
            </w:tcBorders>
            <w:shd w:val="clear" w:color="auto" w:fill="FFFFFF"/>
            <w:vAlign w:val="center"/>
          </w:tcPr>
          <w:p/>
        </w:tc>
        <w:tc>
          <w:tcPr>
            <w:tcW w:w="3163"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56" w:hRule="exact"/>
          <w:jc w:val="center"/>
        </w:trPr>
        <w:tc>
          <w:tcPr>
            <w:tcW w:w="1618" w:type="dxa"/>
            <w:vMerge w:val="restart"/>
            <w:tcBorders>
              <w:top w:val="single" w:color="auto" w:sz="4" w:space="0"/>
              <w:left w:val="single" w:color="auto" w:sz="4" w:space="0"/>
            </w:tcBorders>
            <w:shd w:val="clear" w:color="auto" w:fill="FFFFFF"/>
            <w:vAlign w:val="center"/>
          </w:tcPr>
          <w:p>
            <w:pPr>
              <w:pStyle w:val="14"/>
              <w:spacing w:line="240" w:lineRule="auto"/>
              <w:ind w:firstLine="420"/>
              <w:rPr>
                <w:sz w:val="26"/>
                <w:szCs w:val="26"/>
              </w:rPr>
            </w:pPr>
            <w:r>
              <w:rPr>
                <w:sz w:val="26"/>
                <w:szCs w:val="26"/>
              </w:rPr>
              <w:t>目的地</w:t>
            </w:r>
          </w:p>
        </w:tc>
        <w:tc>
          <w:tcPr>
            <w:tcW w:w="2405" w:type="dxa"/>
            <w:tcBorders>
              <w:top w:val="single" w:color="auto" w:sz="4" w:space="0"/>
              <w:left w:val="single" w:color="auto" w:sz="4" w:space="0"/>
            </w:tcBorders>
            <w:shd w:val="clear" w:color="auto" w:fill="FFFFFF"/>
          </w:tcPr>
          <w:p>
            <w:pPr>
              <w:rPr>
                <w:sz w:val="10"/>
                <w:szCs w:val="10"/>
              </w:rPr>
            </w:pPr>
          </w:p>
        </w:tc>
        <w:tc>
          <w:tcPr>
            <w:tcW w:w="1550" w:type="dxa"/>
            <w:vMerge w:val="restart"/>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出差时间</w:t>
            </w:r>
          </w:p>
        </w:tc>
        <w:tc>
          <w:tcPr>
            <w:tcW w:w="3163" w:type="dxa"/>
            <w:tcBorders>
              <w:top w:val="single" w:color="auto" w:sz="4" w:space="0"/>
              <w:left w:val="single" w:color="auto" w:sz="4" w:space="0"/>
              <w:right w:val="single" w:color="auto" w:sz="4" w:space="0"/>
            </w:tcBorders>
            <w:shd w:val="clear" w:color="auto" w:fill="FFFFFF"/>
            <w:vAlign w:val="bottom"/>
          </w:tcPr>
          <w:p>
            <w:pPr>
              <w:pStyle w:val="14"/>
              <w:spacing w:line="240" w:lineRule="auto"/>
              <w:ind w:firstLine="0"/>
              <w:jc w:val="center"/>
              <w:rPr>
                <w:sz w:val="26"/>
                <w:szCs w:val="26"/>
              </w:rPr>
            </w:pPr>
            <w:r>
              <w:rPr>
                <w:sz w:val="26"/>
                <w:szCs w:val="26"/>
              </w:rPr>
              <w:t>至</w:t>
            </w:r>
          </w:p>
        </w:tc>
      </w:tr>
      <w:tr>
        <w:tblPrEx>
          <w:tblCellMar>
            <w:top w:w="0" w:type="dxa"/>
            <w:left w:w="10" w:type="dxa"/>
            <w:bottom w:w="0" w:type="dxa"/>
            <w:right w:w="10" w:type="dxa"/>
          </w:tblCellMar>
        </w:tblPrEx>
        <w:trPr>
          <w:trHeight w:val="456" w:hRule="exact"/>
          <w:jc w:val="center"/>
        </w:trPr>
        <w:tc>
          <w:tcPr>
            <w:tcW w:w="1618" w:type="dxa"/>
            <w:vMerge w:val="continue"/>
            <w:tcBorders>
              <w:left w:val="single" w:color="auto" w:sz="4" w:space="0"/>
            </w:tcBorders>
            <w:shd w:val="clear" w:color="auto" w:fill="FFFFFF"/>
            <w:vAlign w:val="center"/>
          </w:tcPr>
          <w:p/>
        </w:tc>
        <w:tc>
          <w:tcPr>
            <w:tcW w:w="2405" w:type="dxa"/>
            <w:tcBorders>
              <w:top w:val="single" w:color="auto" w:sz="4" w:space="0"/>
              <w:left w:val="single" w:color="auto" w:sz="4" w:space="0"/>
            </w:tcBorders>
            <w:shd w:val="clear" w:color="auto" w:fill="FFFFFF"/>
          </w:tcPr>
          <w:p>
            <w:pPr>
              <w:rPr>
                <w:sz w:val="10"/>
                <w:szCs w:val="10"/>
              </w:rPr>
            </w:pPr>
          </w:p>
        </w:tc>
        <w:tc>
          <w:tcPr>
            <w:tcW w:w="1550" w:type="dxa"/>
            <w:vMerge w:val="continue"/>
            <w:tcBorders>
              <w:left w:val="single" w:color="auto" w:sz="4" w:space="0"/>
            </w:tcBorders>
            <w:shd w:val="clear" w:color="auto" w:fill="FFFFFF"/>
            <w:vAlign w:val="center"/>
          </w:tcPr>
          <w:p/>
        </w:tc>
        <w:tc>
          <w:tcPr>
            <w:tcW w:w="3163" w:type="dxa"/>
            <w:tcBorders>
              <w:top w:val="single" w:color="auto" w:sz="4" w:space="0"/>
              <w:left w:val="single" w:color="auto" w:sz="4" w:space="0"/>
              <w:right w:val="single" w:color="auto" w:sz="4" w:space="0"/>
            </w:tcBorders>
            <w:shd w:val="clear" w:color="auto" w:fill="FFFFFF"/>
            <w:vAlign w:val="bottom"/>
          </w:tcPr>
          <w:p>
            <w:pPr>
              <w:pStyle w:val="14"/>
              <w:spacing w:line="240" w:lineRule="auto"/>
              <w:ind w:firstLine="0"/>
              <w:jc w:val="center"/>
              <w:rPr>
                <w:sz w:val="26"/>
                <w:szCs w:val="26"/>
              </w:rPr>
            </w:pPr>
            <w:r>
              <w:rPr>
                <w:sz w:val="26"/>
                <w:szCs w:val="26"/>
              </w:rPr>
              <w:t>至</w:t>
            </w:r>
          </w:p>
        </w:tc>
      </w:tr>
      <w:tr>
        <w:tblPrEx>
          <w:tblCellMar>
            <w:top w:w="0" w:type="dxa"/>
            <w:left w:w="10" w:type="dxa"/>
            <w:bottom w:w="0" w:type="dxa"/>
            <w:right w:w="10" w:type="dxa"/>
          </w:tblCellMar>
        </w:tblPrEx>
        <w:trPr>
          <w:trHeight w:val="451" w:hRule="exact"/>
          <w:jc w:val="center"/>
        </w:trPr>
        <w:tc>
          <w:tcPr>
            <w:tcW w:w="1618" w:type="dxa"/>
            <w:vMerge w:val="continue"/>
            <w:tcBorders>
              <w:left w:val="single" w:color="auto" w:sz="4" w:space="0"/>
            </w:tcBorders>
            <w:shd w:val="clear" w:color="auto" w:fill="FFFFFF"/>
            <w:vAlign w:val="center"/>
          </w:tcPr>
          <w:p/>
        </w:tc>
        <w:tc>
          <w:tcPr>
            <w:tcW w:w="2405" w:type="dxa"/>
            <w:tcBorders>
              <w:top w:val="single" w:color="auto" w:sz="4" w:space="0"/>
              <w:left w:val="single" w:color="auto" w:sz="4" w:space="0"/>
            </w:tcBorders>
            <w:shd w:val="clear" w:color="auto" w:fill="FFFFFF"/>
          </w:tcPr>
          <w:p>
            <w:pPr>
              <w:rPr>
                <w:sz w:val="10"/>
                <w:szCs w:val="10"/>
              </w:rPr>
            </w:pPr>
          </w:p>
        </w:tc>
        <w:tc>
          <w:tcPr>
            <w:tcW w:w="1550" w:type="dxa"/>
            <w:vMerge w:val="continue"/>
            <w:tcBorders>
              <w:left w:val="single" w:color="auto" w:sz="4" w:space="0"/>
            </w:tcBorders>
            <w:shd w:val="clear" w:color="auto" w:fill="FFFFFF"/>
            <w:vAlign w:val="center"/>
          </w:tcPr>
          <w:p/>
        </w:tc>
        <w:tc>
          <w:tcPr>
            <w:tcW w:w="3163" w:type="dxa"/>
            <w:tcBorders>
              <w:top w:val="single" w:color="auto" w:sz="4" w:space="0"/>
              <w:left w:val="single" w:color="auto" w:sz="4" w:space="0"/>
              <w:right w:val="single" w:color="auto" w:sz="4" w:space="0"/>
            </w:tcBorders>
            <w:shd w:val="clear" w:color="auto" w:fill="FFFFFF"/>
            <w:vAlign w:val="bottom"/>
          </w:tcPr>
          <w:p>
            <w:pPr>
              <w:pStyle w:val="14"/>
              <w:spacing w:line="240" w:lineRule="auto"/>
              <w:ind w:firstLine="0"/>
              <w:jc w:val="center"/>
              <w:rPr>
                <w:sz w:val="26"/>
                <w:szCs w:val="26"/>
              </w:rPr>
            </w:pPr>
            <w:r>
              <w:rPr>
                <w:sz w:val="26"/>
                <w:szCs w:val="26"/>
              </w:rPr>
              <w:t>至</w:t>
            </w:r>
          </w:p>
        </w:tc>
      </w:tr>
      <w:tr>
        <w:tblPrEx>
          <w:tblCellMar>
            <w:top w:w="0" w:type="dxa"/>
            <w:left w:w="10" w:type="dxa"/>
            <w:bottom w:w="0" w:type="dxa"/>
            <w:right w:w="10" w:type="dxa"/>
          </w:tblCellMar>
        </w:tblPrEx>
        <w:trPr>
          <w:trHeight w:val="566" w:hRule="exact"/>
          <w:jc w:val="center"/>
        </w:trPr>
        <w:tc>
          <w:tcPr>
            <w:tcW w:w="1618" w:type="dxa"/>
            <w:tcBorders>
              <w:top w:val="single" w:color="auto" w:sz="4" w:space="0"/>
              <w:left w:val="single" w:color="auto" w:sz="4" w:space="0"/>
            </w:tcBorders>
            <w:shd w:val="clear" w:color="auto" w:fill="FFFFFF"/>
            <w:vAlign w:val="bottom"/>
          </w:tcPr>
          <w:p>
            <w:pPr>
              <w:pStyle w:val="14"/>
              <w:spacing w:line="240" w:lineRule="auto"/>
              <w:ind w:firstLine="220"/>
              <w:rPr>
                <w:sz w:val="26"/>
                <w:szCs w:val="26"/>
              </w:rPr>
            </w:pPr>
            <w:r>
              <w:rPr>
                <w:sz w:val="26"/>
                <w:szCs w:val="26"/>
              </w:rPr>
              <w:t>出差事由</w:t>
            </w:r>
          </w:p>
        </w:tc>
        <w:tc>
          <w:tcPr>
            <w:tcW w:w="7118" w:type="dxa"/>
            <w:gridSpan w:val="3"/>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566" w:hRule="exact"/>
          <w:jc w:val="center"/>
        </w:trPr>
        <w:tc>
          <w:tcPr>
            <w:tcW w:w="1618" w:type="dxa"/>
            <w:tcBorders>
              <w:top w:val="single" w:color="auto" w:sz="4" w:space="0"/>
              <w:left w:val="single" w:color="auto" w:sz="4" w:space="0"/>
            </w:tcBorders>
            <w:shd w:val="clear" w:color="auto" w:fill="FFFFFF"/>
            <w:vAlign w:val="bottom"/>
          </w:tcPr>
          <w:p>
            <w:pPr>
              <w:pStyle w:val="14"/>
              <w:spacing w:line="240" w:lineRule="auto"/>
              <w:ind w:firstLine="220"/>
              <w:rPr>
                <w:sz w:val="26"/>
                <w:szCs w:val="26"/>
              </w:rPr>
            </w:pPr>
            <w:r>
              <w:rPr>
                <w:sz w:val="26"/>
                <w:szCs w:val="26"/>
              </w:rPr>
              <w:t>交通工具</w:t>
            </w:r>
          </w:p>
        </w:tc>
        <w:tc>
          <w:tcPr>
            <w:tcW w:w="7118" w:type="dxa"/>
            <w:gridSpan w:val="3"/>
            <w:tcBorders>
              <w:top w:val="single" w:color="auto" w:sz="4" w:space="0"/>
              <w:left w:val="single" w:color="auto" w:sz="4" w:space="0"/>
              <w:right w:val="single" w:color="auto" w:sz="4" w:space="0"/>
            </w:tcBorders>
            <w:shd w:val="clear" w:color="auto" w:fill="FFFFFF"/>
            <w:vAlign w:val="bottom"/>
          </w:tcPr>
          <w:p>
            <w:pPr>
              <w:pStyle w:val="14"/>
              <w:tabs>
                <w:tab w:val="left" w:leader="underscore" w:pos="6854"/>
              </w:tabs>
              <w:spacing w:line="240" w:lineRule="auto"/>
              <w:ind w:firstLine="0"/>
              <w:rPr>
                <w:sz w:val="26"/>
                <w:szCs w:val="26"/>
              </w:rPr>
            </w:pPr>
            <w:r>
              <w:rPr>
                <w:sz w:val="26"/>
                <w:szCs w:val="26"/>
              </w:rPr>
              <w:t>口飞机口火车口汽车口轮船口其他：</w:t>
            </w:r>
            <w:r>
              <w:rPr>
                <w:sz w:val="26"/>
                <w:szCs w:val="26"/>
              </w:rPr>
              <w:tab/>
            </w:r>
          </w:p>
        </w:tc>
      </w:tr>
      <w:tr>
        <w:tblPrEx>
          <w:tblCellMar>
            <w:top w:w="0" w:type="dxa"/>
            <w:left w:w="10" w:type="dxa"/>
            <w:bottom w:w="0" w:type="dxa"/>
            <w:right w:w="10" w:type="dxa"/>
          </w:tblCellMar>
        </w:tblPrEx>
        <w:trPr>
          <w:trHeight w:val="571" w:hRule="exact"/>
          <w:jc w:val="center"/>
        </w:trPr>
        <w:tc>
          <w:tcPr>
            <w:tcW w:w="1618" w:type="dxa"/>
            <w:tcBorders>
              <w:top w:val="single" w:color="auto" w:sz="4" w:space="0"/>
              <w:left w:val="single" w:color="auto" w:sz="4" w:space="0"/>
            </w:tcBorders>
            <w:shd w:val="clear" w:color="auto" w:fill="FFFFFF"/>
            <w:vAlign w:val="bottom"/>
          </w:tcPr>
          <w:p>
            <w:pPr>
              <w:pStyle w:val="14"/>
              <w:spacing w:line="240" w:lineRule="auto"/>
              <w:ind w:firstLine="220"/>
              <w:rPr>
                <w:sz w:val="26"/>
                <w:szCs w:val="26"/>
              </w:rPr>
            </w:pPr>
            <w:r>
              <w:rPr>
                <w:sz w:val="26"/>
                <w:szCs w:val="26"/>
              </w:rPr>
              <w:t>对方单位</w:t>
            </w:r>
          </w:p>
        </w:tc>
        <w:tc>
          <w:tcPr>
            <w:tcW w:w="7118" w:type="dxa"/>
            <w:gridSpan w:val="3"/>
            <w:tcBorders>
              <w:top w:val="single" w:color="auto" w:sz="4" w:space="0"/>
              <w:left w:val="single" w:color="auto" w:sz="4" w:space="0"/>
              <w:right w:val="single" w:color="auto" w:sz="4" w:space="0"/>
            </w:tcBorders>
            <w:shd w:val="clear" w:color="auto" w:fill="FFFFFF"/>
            <w:vAlign w:val="bottom"/>
          </w:tcPr>
          <w:p>
            <w:pPr>
              <w:pStyle w:val="14"/>
              <w:tabs>
                <w:tab w:val="left" w:leader="underscore" w:pos="6854"/>
              </w:tabs>
              <w:spacing w:line="240" w:lineRule="auto"/>
              <w:ind w:firstLine="0"/>
              <w:rPr>
                <w:sz w:val="26"/>
                <w:szCs w:val="26"/>
              </w:rPr>
            </w:pPr>
            <w:r>
              <w:rPr>
                <w:sz w:val="26"/>
                <w:szCs w:val="26"/>
              </w:rPr>
              <w:t>口安排就餐口提供车辆□提供住宿□其他：</w:t>
            </w:r>
            <w:r>
              <w:rPr>
                <w:sz w:val="26"/>
                <w:szCs w:val="26"/>
              </w:rPr>
              <w:tab/>
            </w:r>
          </w:p>
        </w:tc>
      </w:tr>
      <w:tr>
        <w:tblPrEx>
          <w:tblCellMar>
            <w:top w:w="0" w:type="dxa"/>
            <w:left w:w="10" w:type="dxa"/>
            <w:bottom w:w="0" w:type="dxa"/>
            <w:right w:w="10" w:type="dxa"/>
          </w:tblCellMar>
        </w:tblPrEx>
        <w:trPr>
          <w:trHeight w:val="1325" w:hRule="exact"/>
          <w:jc w:val="center"/>
        </w:trPr>
        <w:tc>
          <w:tcPr>
            <w:tcW w:w="1618" w:type="dxa"/>
            <w:tcBorders>
              <w:top w:val="single" w:color="auto" w:sz="4" w:space="0"/>
              <w:left w:val="single" w:color="auto" w:sz="4" w:space="0"/>
            </w:tcBorders>
            <w:shd w:val="clear" w:color="auto" w:fill="FFFFFF"/>
            <w:vAlign w:val="center"/>
          </w:tcPr>
          <w:p>
            <w:pPr>
              <w:pStyle w:val="14"/>
              <w:spacing w:line="240" w:lineRule="auto"/>
              <w:ind w:firstLine="220"/>
              <w:rPr>
                <w:sz w:val="26"/>
                <w:szCs w:val="26"/>
              </w:rPr>
            </w:pPr>
            <w:r>
              <w:rPr>
                <w:sz w:val="26"/>
                <w:szCs w:val="26"/>
              </w:rPr>
              <w:t>审核意见</w:t>
            </w:r>
          </w:p>
        </w:tc>
        <w:tc>
          <w:tcPr>
            <w:tcW w:w="7118" w:type="dxa"/>
            <w:gridSpan w:val="3"/>
            <w:tcBorders>
              <w:top w:val="single" w:color="auto" w:sz="4" w:space="0"/>
              <w:left w:val="single" w:color="auto" w:sz="4" w:space="0"/>
              <w:right w:val="single" w:color="auto" w:sz="4" w:space="0"/>
            </w:tcBorders>
            <w:shd w:val="clear" w:color="auto" w:fill="FFFFFF"/>
            <w:vAlign w:val="bottom"/>
          </w:tcPr>
          <w:p>
            <w:pPr>
              <w:pStyle w:val="14"/>
              <w:spacing w:line="461" w:lineRule="exact"/>
              <w:ind w:right="1560" w:firstLine="0"/>
              <w:jc w:val="right"/>
              <w:rPr>
                <w:sz w:val="26"/>
                <w:szCs w:val="26"/>
              </w:rPr>
            </w:pPr>
            <w:r>
              <w:rPr>
                <w:sz w:val="26"/>
                <w:szCs w:val="26"/>
              </w:rPr>
              <w:t>同意出差，并严格执行规定标准和限额。签名：</w:t>
            </w:r>
          </w:p>
          <w:p>
            <w:pPr>
              <w:pStyle w:val="14"/>
              <w:spacing w:line="461" w:lineRule="exact"/>
              <w:ind w:firstLine="0"/>
              <w:jc w:val="center"/>
              <w:rPr>
                <w:sz w:val="26"/>
                <w:szCs w:val="26"/>
              </w:rPr>
            </w:pPr>
            <w:r>
              <w:rPr>
                <w:rFonts w:hint="eastAsia"/>
                <w:sz w:val="26"/>
                <w:szCs w:val="26"/>
                <w:lang w:val="en-US" w:eastAsia="zh-CN"/>
              </w:rPr>
              <w:t xml:space="preserve">                                   </w:t>
            </w:r>
            <w:r>
              <w:rPr>
                <w:sz w:val="26"/>
                <w:szCs w:val="26"/>
              </w:rPr>
              <w:t>年</w:t>
            </w:r>
            <w:r>
              <w:rPr>
                <w:rFonts w:hint="eastAsia"/>
                <w:sz w:val="26"/>
                <w:szCs w:val="26"/>
                <w:lang w:val="en-US" w:eastAsia="zh-CN"/>
              </w:rPr>
              <w:t xml:space="preserve">     </w:t>
            </w:r>
            <w:r>
              <w:rPr>
                <w:sz w:val="26"/>
                <w:szCs w:val="26"/>
              </w:rPr>
              <w:t>月</w:t>
            </w:r>
            <w:r>
              <w:rPr>
                <w:rFonts w:hint="eastAsia"/>
                <w:sz w:val="26"/>
                <w:szCs w:val="26"/>
                <w:lang w:val="en-US" w:eastAsia="zh-CN"/>
              </w:rPr>
              <w:t xml:space="preserve">     </w:t>
            </w:r>
            <w:r>
              <w:rPr>
                <w:sz w:val="26"/>
                <w:szCs w:val="26"/>
              </w:rPr>
              <w:t>日</w:t>
            </w:r>
          </w:p>
        </w:tc>
      </w:tr>
      <w:tr>
        <w:tblPrEx>
          <w:tblCellMar>
            <w:top w:w="0" w:type="dxa"/>
            <w:left w:w="10" w:type="dxa"/>
            <w:bottom w:w="0" w:type="dxa"/>
            <w:right w:w="10" w:type="dxa"/>
          </w:tblCellMar>
        </w:tblPrEx>
        <w:trPr>
          <w:trHeight w:val="698" w:hRule="exact"/>
          <w:jc w:val="center"/>
        </w:trPr>
        <w:tc>
          <w:tcPr>
            <w:tcW w:w="1618" w:type="dxa"/>
            <w:tcBorders>
              <w:top w:val="single" w:color="auto" w:sz="4" w:space="0"/>
              <w:left w:val="single" w:color="auto" w:sz="4" w:space="0"/>
              <w:bottom w:val="single" w:color="auto" w:sz="4" w:space="0"/>
            </w:tcBorders>
            <w:shd w:val="clear" w:color="auto" w:fill="FFFFFF"/>
            <w:vAlign w:val="center"/>
          </w:tcPr>
          <w:p>
            <w:pPr>
              <w:pStyle w:val="14"/>
              <w:spacing w:line="240" w:lineRule="auto"/>
              <w:ind w:firstLine="500"/>
              <w:rPr>
                <w:sz w:val="26"/>
                <w:szCs w:val="26"/>
              </w:rPr>
            </w:pPr>
            <w:r>
              <w:rPr>
                <w:sz w:val="26"/>
                <w:szCs w:val="26"/>
              </w:rPr>
              <w:t>备注</w:t>
            </w:r>
          </w:p>
        </w:tc>
        <w:tc>
          <w:tcPr>
            <w:tcW w:w="7118" w:type="dxa"/>
            <w:gridSpan w:val="3"/>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pStyle w:val="12"/>
        <w:keepNext w:val="0"/>
        <w:keepLines w:val="0"/>
        <w:pageBreakBefore w:val="0"/>
        <w:widowControl w:val="0"/>
        <w:kinsoku/>
        <w:wordWrap/>
        <w:overflowPunct/>
        <w:topLinePunct w:val="0"/>
        <w:autoSpaceDE/>
        <w:autoSpaceDN/>
        <w:bidi w:val="0"/>
        <w:adjustRightInd/>
        <w:snapToGrid/>
        <w:spacing w:line="520" w:lineRule="exact"/>
        <w:ind w:firstLine="0"/>
        <w:textAlignment w:val="auto"/>
        <w:rPr>
          <w:sz w:val="26"/>
          <w:szCs w:val="26"/>
        </w:rPr>
      </w:pPr>
      <w:r>
        <w:rPr>
          <w:sz w:val="26"/>
          <w:szCs w:val="26"/>
        </w:rPr>
        <w:t>说明：</w:t>
      </w:r>
    </w:p>
    <w:p>
      <w:pPr>
        <w:pStyle w:val="12"/>
        <w:keepNext w:val="0"/>
        <w:keepLines w:val="0"/>
        <w:pageBreakBefore w:val="0"/>
        <w:widowControl w:val="0"/>
        <w:numPr>
          <w:ilvl w:val="0"/>
          <w:numId w:val="1"/>
        </w:numPr>
        <w:tabs>
          <w:tab w:val="left" w:pos="1026"/>
        </w:tabs>
        <w:kinsoku/>
        <w:wordWrap/>
        <w:overflowPunct/>
        <w:topLinePunct w:val="0"/>
        <w:autoSpaceDE/>
        <w:autoSpaceDN/>
        <w:bidi w:val="0"/>
        <w:adjustRightInd/>
        <w:snapToGrid/>
        <w:spacing w:line="520" w:lineRule="exact"/>
        <w:ind w:firstLine="660"/>
        <w:jc w:val="left"/>
        <w:textAlignment w:val="auto"/>
        <w:rPr>
          <w:sz w:val="26"/>
          <w:szCs w:val="26"/>
        </w:rPr>
      </w:pPr>
      <w:bookmarkStart w:id="19" w:name="bookmark83"/>
      <w:bookmarkEnd w:id="19"/>
      <w:r>
        <w:rPr>
          <w:sz w:val="26"/>
          <w:szCs w:val="26"/>
        </w:rPr>
        <w:t>出差人员填写本审批单时，还应同时填写请假单。经批准的请假单按考勤制度上交；本审批单留作报销凭证。</w:t>
      </w:r>
    </w:p>
    <w:p>
      <w:pPr>
        <w:pStyle w:val="12"/>
        <w:keepNext w:val="0"/>
        <w:keepLines w:val="0"/>
        <w:pageBreakBefore w:val="0"/>
        <w:widowControl w:val="0"/>
        <w:numPr>
          <w:ilvl w:val="0"/>
          <w:numId w:val="1"/>
        </w:numPr>
        <w:tabs>
          <w:tab w:val="left" w:pos="1033"/>
        </w:tabs>
        <w:kinsoku/>
        <w:wordWrap/>
        <w:overflowPunct/>
        <w:topLinePunct w:val="0"/>
        <w:autoSpaceDE/>
        <w:autoSpaceDN/>
        <w:bidi w:val="0"/>
        <w:adjustRightInd/>
        <w:snapToGrid/>
        <w:spacing w:line="520" w:lineRule="exact"/>
        <w:ind w:firstLine="660"/>
        <w:jc w:val="left"/>
        <w:textAlignment w:val="auto"/>
        <w:rPr>
          <w:sz w:val="26"/>
          <w:szCs w:val="26"/>
        </w:rPr>
      </w:pPr>
      <w:bookmarkStart w:id="20" w:name="bookmark84"/>
      <w:bookmarkEnd w:id="20"/>
      <w:r>
        <w:rPr>
          <w:sz w:val="26"/>
          <w:szCs w:val="26"/>
        </w:rPr>
        <w:t>使用交通工具和对方接待情况不确定的，可待出差结束后据实填写。</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sz w:val="26"/>
          <w:szCs w:val="26"/>
        </w:rPr>
      </w:pPr>
      <w:bookmarkStart w:id="21" w:name="bookmark85"/>
      <w:bookmarkEnd w:id="21"/>
      <w:r>
        <w:rPr>
          <w:sz w:val="26"/>
          <w:szCs w:val="26"/>
        </w:rPr>
        <w:t>审核意见由最终批准人（按考勤制度）填写，其余共同审批人员的审批意见签署在请假单上。</w:t>
      </w:r>
    </w:p>
    <w:p>
      <w:pPr>
        <w:rPr>
          <w:sz w:val="26"/>
          <w:szCs w:val="26"/>
        </w:rPr>
      </w:pPr>
      <w:r>
        <w:rPr>
          <w:sz w:val="26"/>
          <w:szCs w:val="26"/>
        </w:rPr>
        <w:br w:type="page"/>
      </w:r>
    </w:p>
    <w:p>
      <w:pPr>
        <w:widowControl/>
        <w:tabs>
          <w:tab w:val="left" w:pos="1292"/>
          <w:tab w:val="left" w:pos="4392"/>
          <w:tab w:val="left" w:pos="5152"/>
          <w:tab w:val="left" w:pos="5912"/>
          <w:tab w:val="left" w:pos="6472"/>
          <w:tab w:val="left" w:pos="8012"/>
          <w:tab w:val="left" w:pos="8872"/>
          <w:tab w:val="left" w:pos="9612"/>
          <w:tab w:val="left" w:pos="10372"/>
        </w:tabs>
        <w:ind w:left="96"/>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before="157" w:beforeLines="50"/>
        <w:ind w:left="0"/>
        <w:jc w:val="center"/>
        <w:textAlignment w:val="auto"/>
        <w:rPr>
          <w:rFonts w:ascii="方正小标宋简体" w:hAnsi="宋体" w:eastAsia="方正小标宋简体" w:cs="宋体"/>
          <w:sz w:val="40"/>
          <w:szCs w:val="40"/>
        </w:rPr>
      </w:pPr>
      <w:r>
        <w:rPr>
          <w:rFonts w:hint="eastAsia" w:ascii="方正小标宋简体" w:hAnsi="宋体" w:eastAsia="方正小标宋简体" w:cs="宋体"/>
          <w:sz w:val="40"/>
          <w:szCs w:val="40"/>
        </w:rPr>
        <w:t>常州市市级机关国内差旅住宿费标准明细表</w:t>
      </w:r>
    </w:p>
    <w:p>
      <w:pPr>
        <w:widowControl/>
        <w:tabs>
          <w:tab w:val="left" w:pos="532"/>
          <w:tab w:val="left" w:pos="1292"/>
          <w:tab w:val="left" w:pos="4392"/>
          <w:tab w:val="left" w:pos="5152"/>
          <w:tab w:val="left" w:pos="5912"/>
          <w:tab w:val="left" w:pos="6472"/>
          <w:tab w:val="left" w:pos="8012"/>
          <w:tab w:val="left" w:pos="8872"/>
        </w:tabs>
        <w:ind w:left="96"/>
        <w:jc w:val="right"/>
        <w:rPr>
          <w:rFonts w:ascii="宋体" w:hAnsi="宋体" w:cs="宋体"/>
          <w:sz w:val="22"/>
        </w:rPr>
      </w:pPr>
      <w:r>
        <w:rPr>
          <w:rFonts w:ascii="宋体" w:hAnsi="宋体" w:cs="宋体"/>
          <w:sz w:val="22"/>
        </w:rPr>
        <w:tab/>
      </w:r>
      <w:r>
        <w:rPr>
          <w:rFonts w:ascii="宋体" w:hAnsi="宋体" w:cs="宋体"/>
          <w:sz w:val="22"/>
        </w:rPr>
        <w:tab/>
      </w:r>
      <w:r>
        <w:rPr>
          <w:rFonts w:ascii="宋体" w:hAnsi="宋体" w:cs="宋体"/>
          <w:sz w:val="22"/>
        </w:rPr>
        <w:tab/>
      </w:r>
      <w:r>
        <w:rPr>
          <w:rFonts w:ascii="宋体" w:hAnsi="宋体" w:cs="宋体"/>
          <w:sz w:val="22"/>
        </w:rPr>
        <w:tab/>
      </w:r>
      <w:r>
        <w:rPr>
          <w:rFonts w:ascii="宋体" w:hAnsi="宋体" w:cs="宋体"/>
          <w:sz w:val="22"/>
        </w:rPr>
        <w:tab/>
      </w:r>
      <w:r>
        <w:rPr>
          <w:rFonts w:hint="eastAsia" w:ascii="宋体" w:hAnsi="宋体" w:cs="宋体"/>
          <w:sz w:val="22"/>
          <w:lang w:val="en-US" w:eastAsia="zh-CN"/>
        </w:rPr>
        <w:t xml:space="preserve"> </w:t>
      </w:r>
      <w:r>
        <w:rPr>
          <w:rFonts w:hint="eastAsia" w:ascii="宋体" w:hAnsi="宋体" w:cs="宋体"/>
          <w:sz w:val="22"/>
        </w:rPr>
        <w:t xml:space="preserve">  单位:元/人·天</w:t>
      </w:r>
    </w:p>
    <w:tbl>
      <w:tblPr>
        <w:tblStyle w:val="9"/>
        <w:tblW w:w="4998" w:type="pct"/>
        <w:jc w:val="center"/>
        <w:tblLayout w:type="autofit"/>
        <w:tblCellMar>
          <w:top w:w="0" w:type="dxa"/>
          <w:left w:w="108" w:type="dxa"/>
          <w:bottom w:w="0" w:type="dxa"/>
          <w:right w:w="108" w:type="dxa"/>
        </w:tblCellMar>
      </w:tblPr>
      <w:tblGrid>
        <w:gridCol w:w="436"/>
        <w:gridCol w:w="655"/>
        <w:gridCol w:w="2680"/>
        <w:gridCol w:w="659"/>
        <w:gridCol w:w="657"/>
        <w:gridCol w:w="516"/>
        <w:gridCol w:w="1116"/>
        <w:gridCol w:w="746"/>
        <w:gridCol w:w="643"/>
        <w:gridCol w:w="658"/>
        <w:gridCol w:w="517"/>
      </w:tblGrid>
      <w:tr>
        <w:tblPrEx>
          <w:tblCellMar>
            <w:top w:w="0" w:type="dxa"/>
            <w:left w:w="108" w:type="dxa"/>
            <w:bottom w:w="0" w:type="dxa"/>
            <w:right w:w="108" w:type="dxa"/>
          </w:tblCellMar>
        </w:tblPrEx>
        <w:trPr>
          <w:trHeight w:val="288" w:hRule="atLeast"/>
          <w:tblHeader/>
          <w:jc w:val="center"/>
        </w:trPr>
        <w:tc>
          <w:tcPr>
            <w:tcW w:w="207"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sz w:val="20"/>
                <w:szCs w:val="20"/>
              </w:rPr>
            </w:pPr>
            <w:r>
              <w:rPr>
                <w:rFonts w:hint="eastAsia" w:ascii="宋体" w:hAnsi="宋体" w:cs="宋体"/>
                <w:b/>
                <w:bCs/>
                <w:sz w:val="20"/>
                <w:szCs w:val="20"/>
              </w:rPr>
              <w:t>序号</w:t>
            </w:r>
          </w:p>
        </w:tc>
        <w:tc>
          <w:tcPr>
            <w:tcW w:w="1806"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sz w:val="20"/>
                <w:szCs w:val="20"/>
              </w:rPr>
            </w:pPr>
            <w:r>
              <w:rPr>
                <w:rFonts w:hint="eastAsia" w:ascii="宋体" w:hAnsi="宋体" w:cs="宋体"/>
                <w:b/>
                <w:bCs/>
                <w:sz w:val="20"/>
                <w:szCs w:val="20"/>
              </w:rPr>
              <w:t>地区</w:t>
            </w:r>
            <w:r>
              <w:rPr>
                <w:rFonts w:hint="eastAsia" w:ascii="宋体" w:hAnsi="宋体" w:cs="宋体"/>
                <w:b/>
                <w:bCs/>
                <w:sz w:val="20"/>
                <w:szCs w:val="20"/>
              </w:rPr>
              <w:br w:type="textWrapping"/>
            </w:r>
            <w:r>
              <w:rPr>
                <w:rFonts w:hint="eastAsia" w:ascii="宋体" w:hAnsi="宋体" w:cs="宋体"/>
                <w:b/>
                <w:bCs/>
                <w:sz w:val="20"/>
                <w:szCs w:val="20"/>
              </w:rPr>
              <w:t>（城市）</w:t>
            </w:r>
          </w:p>
        </w:tc>
        <w:tc>
          <w:tcPr>
            <w:tcW w:w="985"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sz w:val="20"/>
                <w:szCs w:val="20"/>
              </w:rPr>
            </w:pPr>
            <w:r>
              <w:rPr>
                <w:rFonts w:hint="eastAsia" w:ascii="宋体" w:hAnsi="宋体" w:cs="宋体"/>
                <w:b/>
                <w:bCs/>
                <w:sz w:val="20"/>
                <w:szCs w:val="20"/>
              </w:rPr>
              <w:t>住宿费标准</w:t>
            </w:r>
          </w:p>
        </w:tc>
        <w:tc>
          <w:tcPr>
            <w:tcW w:w="606"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sz w:val="20"/>
                <w:szCs w:val="20"/>
              </w:rPr>
            </w:pPr>
            <w:r>
              <w:rPr>
                <w:rFonts w:hint="eastAsia" w:ascii="宋体" w:hAnsi="宋体" w:cs="宋体"/>
                <w:b/>
                <w:bCs/>
                <w:sz w:val="20"/>
                <w:szCs w:val="20"/>
              </w:rPr>
              <w:t>旺季地区</w:t>
            </w:r>
          </w:p>
        </w:tc>
        <w:tc>
          <w:tcPr>
            <w:tcW w:w="1393" w:type="pct"/>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b/>
                <w:bCs/>
                <w:sz w:val="20"/>
                <w:szCs w:val="20"/>
              </w:rPr>
            </w:pPr>
            <w:r>
              <w:rPr>
                <w:rFonts w:hint="eastAsia" w:ascii="宋体" w:hAnsi="宋体" w:cs="宋体"/>
                <w:b/>
                <w:bCs/>
                <w:sz w:val="20"/>
                <w:szCs w:val="20"/>
              </w:rPr>
              <w:t>旺季浮动标准</w:t>
            </w:r>
          </w:p>
        </w:tc>
      </w:tr>
      <w:tr>
        <w:tblPrEx>
          <w:tblCellMar>
            <w:top w:w="0" w:type="dxa"/>
            <w:left w:w="108" w:type="dxa"/>
            <w:bottom w:w="0" w:type="dxa"/>
            <w:right w:w="108" w:type="dxa"/>
          </w:tblCellMar>
        </w:tblPrEx>
        <w:trPr>
          <w:trHeight w:val="288" w:hRule="atLeast"/>
          <w:tblHeader/>
          <w:jc w:val="center"/>
        </w:trPr>
        <w:tc>
          <w:tcPr>
            <w:tcW w:w="20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b/>
                <w:bCs/>
                <w:sz w:val="20"/>
                <w:szCs w:val="20"/>
              </w:rPr>
            </w:pPr>
          </w:p>
        </w:tc>
        <w:tc>
          <w:tcPr>
            <w:tcW w:w="180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b/>
                <w:bCs/>
                <w:sz w:val="20"/>
                <w:szCs w:val="20"/>
              </w:rPr>
            </w:pPr>
          </w:p>
        </w:tc>
        <w:tc>
          <w:tcPr>
            <w:tcW w:w="985"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b/>
                <w:bCs/>
                <w:sz w:val="20"/>
                <w:szCs w:val="20"/>
              </w:rPr>
            </w:pPr>
          </w:p>
        </w:tc>
        <w:tc>
          <w:tcPr>
            <w:tcW w:w="6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b/>
                <w:bCs/>
                <w:sz w:val="20"/>
                <w:szCs w:val="20"/>
              </w:rPr>
            </w:pPr>
          </w:p>
        </w:tc>
        <w:tc>
          <w:tcPr>
            <w:tcW w:w="407" w:type="pct"/>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sz w:val="20"/>
                <w:szCs w:val="20"/>
              </w:rPr>
            </w:pPr>
            <w:r>
              <w:rPr>
                <w:rFonts w:hint="eastAsia" w:ascii="宋体" w:hAnsi="宋体" w:cs="宋体"/>
                <w:b/>
                <w:bCs/>
                <w:sz w:val="20"/>
                <w:szCs w:val="20"/>
              </w:rPr>
              <w:t>旺季</w:t>
            </w:r>
            <w:r>
              <w:rPr>
                <w:rFonts w:hint="eastAsia" w:ascii="宋体" w:hAnsi="宋体" w:cs="宋体"/>
                <w:b/>
                <w:bCs/>
                <w:sz w:val="20"/>
                <w:szCs w:val="20"/>
              </w:rPr>
              <w:br w:type="textWrapping"/>
            </w:r>
            <w:r>
              <w:rPr>
                <w:rFonts w:hint="eastAsia" w:ascii="宋体" w:hAnsi="宋体" w:cs="宋体"/>
                <w:b/>
                <w:bCs/>
                <w:sz w:val="20"/>
                <w:szCs w:val="20"/>
              </w:rPr>
              <w:t>期间</w:t>
            </w:r>
          </w:p>
        </w:tc>
        <w:tc>
          <w:tcPr>
            <w:tcW w:w="985" w:type="pct"/>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b/>
                <w:bCs/>
                <w:sz w:val="20"/>
                <w:szCs w:val="20"/>
              </w:rPr>
            </w:pPr>
            <w:r>
              <w:rPr>
                <w:rFonts w:hint="eastAsia" w:ascii="宋体" w:hAnsi="宋体" w:cs="宋体"/>
                <w:b/>
                <w:bCs/>
                <w:sz w:val="20"/>
                <w:szCs w:val="20"/>
              </w:rPr>
              <w:t>旺季上浮价</w:t>
            </w:r>
          </w:p>
        </w:tc>
      </w:tr>
      <w:tr>
        <w:tblPrEx>
          <w:tblCellMar>
            <w:top w:w="0" w:type="dxa"/>
            <w:left w:w="108" w:type="dxa"/>
            <w:bottom w:w="0" w:type="dxa"/>
            <w:right w:w="108" w:type="dxa"/>
          </w:tblCellMar>
        </w:tblPrEx>
        <w:trPr>
          <w:trHeight w:val="435" w:hRule="atLeast"/>
          <w:tblHeader/>
          <w:jc w:val="center"/>
        </w:trPr>
        <w:tc>
          <w:tcPr>
            <w:tcW w:w="20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b/>
                <w:bCs/>
                <w:sz w:val="20"/>
                <w:szCs w:val="20"/>
              </w:rPr>
            </w:pPr>
          </w:p>
        </w:tc>
        <w:tc>
          <w:tcPr>
            <w:tcW w:w="180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b/>
                <w:bCs/>
                <w:sz w:val="20"/>
                <w:szCs w:val="20"/>
              </w:rPr>
            </w:pPr>
          </w:p>
        </w:tc>
        <w:tc>
          <w:tcPr>
            <w:tcW w:w="360" w:type="pct"/>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sz w:val="20"/>
                <w:szCs w:val="20"/>
              </w:rPr>
            </w:pPr>
            <w:r>
              <w:rPr>
                <w:rFonts w:hint="eastAsia" w:ascii="宋体" w:hAnsi="宋体" w:cs="宋体"/>
                <w:b/>
                <w:bCs/>
                <w:sz w:val="20"/>
                <w:szCs w:val="20"/>
              </w:rPr>
              <w:t>省级及相当职级人员</w:t>
            </w:r>
          </w:p>
        </w:tc>
        <w:tc>
          <w:tcPr>
            <w:tcW w:w="359" w:type="pct"/>
            <w:vMerge w:val="restart"/>
            <w:tcBorders>
              <w:top w:val="nil"/>
              <w:left w:val="single" w:color="auto" w:sz="4" w:space="0"/>
              <w:bottom w:val="single" w:color="auto" w:sz="4" w:space="0"/>
              <w:right w:val="single" w:color="auto" w:sz="4" w:space="0"/>
            </w:tcBorders>
            <w:vAlign w:val="center"/>
          </w:tcPr>
          <w:p>
            <w:pPr>
              <w:widowControl/>
              <w:spacing w:line="280" w:lineRule="exact"/>
              <w:rPr>
                <w:rFonts w:ascii="宋体" w:hAnsi="宋体" w:cs="宋体"/>
                <w:b/>
                <w:bCs/>
                <w:sz w:val="20"/>
                <w:szCs w:val="20"/>
              </w:rPr>
            </w:pPr>
            <w:r>
              <w:rPr>
                <w:rFonts w:hint="eastAsia" w:ascii="宋体" w:hAnsi="宋体" w:cs="宋体"/>
                <w:b/>
                <w:bCs/>
                <w:sz w:val="20"/>
                <w:szCs w:val="20"/>
              </w:rPr>
              <w:t>正副厅级及相当职级人员</w:t>
            </w:r>
          </w:p>
        </w:tc>
        <w:tc>
          <w:tcPr>
            <w:tcW w:w="266" w:type="pct"/>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sz w:val="20"/>
                <w:szCs w:val="20"/>
              </w:rPr>
            </w:pPr>
            <w:r>
              <w:rPr>
                <w:rFonts w:hint="eastAsia" w:ascii="宋体" w:hAnsi="宋体" w:cs="宋体"/>
                <w:b/>
                <w:bCs/>
                <w:sz w:val="20"/>
                <w:szCs w:val="20"/>
              </w:rPr>
              <w:t>其他人员</w:t>
            </w:r>
          </w:p>
        </w:tc>
        <w:tc>
          <w:tcPr>
            <w:tcW w:w="6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b/>
                <w:bCs/>
                <w:sz w:val="20"/>
                <w:szCs w:val="20"/>
              </w:rPr>
            </w:pPr>
          </w:p>
        </w:tc>
        <w:tc>
          <w:tcPr>
            <w:tcW w:w="407" w:type="pct"/>
            <w:vMerge w:val="continue"/>
            <w:tcBorders>
              <w:top w:val="nil"/>
              <w:left w:val="single" w:color="auto" w:sz="4" w:space="0"/>
              <w:bottom w:val="single" w:color="auto" w:sz="4" w:space="0"/>
              <w:right w:val="single" w:color="auto" w:sz="4" w:space="0"/>
            </w:tcBorders>
            <w:vAlign w:val="center"/>
          </w:tcPr>
          <w:p>
            <w:pPr>
              <w:widowControl/>
              <w:spacing w:line="280" w:lineRule="exact"/>
              <w:rPr>
                <w:rFonts w:ascii="宋体" w:hAnsi="宋体" w:cs="宋体"/>
                <w:b/>
                <w:bCs/>
                <w:sz w:val="20"/>
                <w:szCs w:val="20"/>
              </w:rPr>
            </w:pPr>
          </w:p>
        </w:tc>
        <w:tc>
          <w:tcPr>
            <w:tcW w:w="351" w:type="pct"/>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sz w:val="20"/>
                <w:szCs w:val="20"/>
              </w:rPr>
            </w:pPr>
            <w:r>
              <w:rPr>
                <w:rFonts w:hint="eastAsia" w:ascii="宋体" w:hAnsi="宋体" w:cs="宋体"/>
                <w:b/>
                <w:bCs/>
                <w:sz w:val="20"/>
                <w:szCs w:val="20"/>
              </w:rPr>
              <w:t>省级及相当职级人员</w:t>
            </w:r>
          </w:p>
        </w:tc>
        <w:tc>
          <w:tcPr>
            <w:tcW w:w="359" w:type="pct"/>
            <w:vMerge w:val="restart"/>
            <w:tcBorders>
              <w:top w:val="nil"/>
              <w:left w:val="single" w:color="auto" w:sz="4" w:space="0"/>
              <w:bottom w:val="single" w:color="auto" w:sz="4" w:space="0"/>
              <w:right w:val="single" w:color="auto" w:sz="4" w:space="0"/>
            </w:tcBorders>
            <w:vAlign w:val="center"/>
          </w:tcPr>
          <w:p>
            <w:pPr>
              <w:widowControl/>
              <w:spacing w:line="280" w:lineRule="exact"/>
              <w:rPr>
                <w:rFonts w:ascii="宋体" w:hAnsi="宋体" w:cs="宋体"/>
                <w:b/>
                <w:bCs/>
                <w:sz w:val="20"/>
                <w:szCs w:val="20"/>
              </w:rPr>
            </w:pPr>
            <w:r>
              <w:rPr>
                <w:rFonts w:hint="eastAsia" w:ascii="宋体" w:hAnsi="宋体" w:cs="宋体"/>
                <w:b/>
                <w:bCs/>
                <w:sz w:val="20"/>
                <w:szCs w:val="20"/>
              </w:rPr>
              <w:t>正副厅级及相当职级人员</w:t>
            </w:r>
          </w:p>
        </w:tc>
        <w:tc>
          <w:tcPr>
            <w:tcW w:w="275" w:type="pct"/>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sz w:val="20"/>
                <w:szCs w:val="20"/>
              </w:rPr>
            </w:pPr>
            <w:r>
              <w:rPr>
                <w:rFonts w:hint="eastAsia" w:ascii="宋体" w:hAnsi="宋体" w:cs="宋体"/>
                <w:b/>
                <w:bCs/>
                <w:sz w:val="20"/>
                <w:szCs w:val="20"/>
              </w:rPr>
              <w:t>其他人员</w:t>
            </w:r>
          </w:p>
        </w:tc>
      </w:tr>
      <w:tr>
        <w:tblPrEx>
          <w:tblCellMar>
            <w:top w:w="0" w:type="dxa"/>
            <w:left w:w="108" w:type="dxa"/>
            <w:bottom w:w="0" w:type="dxa"/>
            <w:right w:w="108" w:type="dxa"/>
          </w:tblCellMar>
        </w:tblPrEx>
        <w:trPr>
          <w:trHeight w:val="1044" w:hRule="atLeast"/>
          <w:tblHeader/>
          <w:jc w:val="center"/>
        </w:trPr>
        <w:tc>
          <w:tcPr>
            <w:tcW w:w="20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sz w:val="20"/>
                <w:szCs w:val="20"/>
              </w:rPr>
            </w:pPr>
          </w:p>
        </w:tc>
        <w:tc>
          <w:tcPr>
            <w:tcW w:w="180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sz w:val="20"/>
                <w:szCs w:val="20"/>
              </w:rPr>
            </w:pPr>
          </w:p>
        </w:tc>
        <w:tc>
          <w:tcPr>
            <w:tcW w:w="360"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b/>
                <w:bCs/>
                <w:sz w:val="20"/>
                <w:szCs w:val="20"/>
              </w:rPr>
            </w:pPr>
          </w:p>
        </w:tc>
        <w:tc>
          <w:tcPr>
            <w:tcW w:w="359"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b/>
                <w:bCs/>
                <w:sz w:val="20"/>
                <w:szCs w:val="20"/>
              </w:rPr>
            </w:pPr>
          </w:p>
        </w:tc>
        <w:tc>
          <w:tcPr>
            <w:tcW w:w="266" w:type="pct"/>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b/>
                <w:bCs/>
                <w:sz w:val="20"/>
                <w:szCs w:val="20"/>
              </w:rPr>
            </w:pPr>
          </w:p>
        </w:tc>
        <w:tc>
          <w:tcPr>
            <w:tcW w:w="606"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sz w:val="20"/>
                <w:szCs w:val="20"/>
              </w:rPr>
            </w:pPr>
          </w:p>
        </w:tc>
        <w:tc>
          <w:tcPr>
            <w:tcW w:w="407"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b/>
                <w:bCs/>
                <w:sz w:val="20"/>
                <w:szCs w:val="20"/>
              </w:rPr>
            </w:pPr>
          </w:p>
        </w:tc>
        <w:tc>
          <w:tcPr>
            <w:tcW w:w="35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b/>
                <w:bCs/>
                <w:sz w:val="20"/>
                <w:szCs w:val="20"/>
              </w:rPr>
            </w:pPr>
          </w:p>
        </w:tc>
        <w:tc>
          <w:tcPr>
            <w:tcW w:w="359"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b/>
                <w:bCs/>
                <w:sz w:val="20"/>
                <w:szCs w:val="20"/>
              </w:rPr>
            </w:pPr>
          </w:p>
        </w:tc>
        <w:tc>
          <w:tcPr>
            <w:tcW w:w="27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b/>
                <w:bCs/>
                <w:sz w:val="20"/>
                <w:szCs w:val="20"/>
              </w:rPr>
            </w:pPr>
          </w:p>
        </w:tc>
      </w:tr>
      <w:tr>
        <w:tblPrEx>
          <w:tblCellMar>
            <w:top w:w="0" w:type="dxa"/>
            <w:left w:w="108" w:type="dxa"/>
            <w:bottom w:w="0" w:type="dxa"/>
            <w:right w:w="108" w:type="dxa"/>
          </w:tblCellMar>
        </w:tblPrEx>
        <w:trPr>
          <w:trHeight w:val="510" w:hRule="atLeast"/>
          <w:jc w:val="center"/>
        </w:trPr>
        <w:tc>
          <w:tcPr>
            <w:tcW w:w="20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1</w:t>
            </w:r>
          </w:p>
        </w:tc>
        <w:tc>
          <w:tcPr>
            <w:tcW w:w="35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北京</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全市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1100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650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500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1035" w:hRule="atLeas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2</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天津</w:t>
            </w:r>
          </w:p>
        </w:tc>
        <w:tc>
          <w:tcPr>
            <w:tcW w:w="1448" w:type="pct"/>
            <w:tcBorders>
              <w:top w:val="nil"/>
              <w:left w:val="nil"/>
              <w:bottom w:val="single" w:color="auto" w:sz="4" w:space="0"/>
              <w:right w:val="single" w:color="auto" w:sz="4" w:space="0"/>
            </w:tcBorders>
            <w:vAlign w:val="center"/>
          </w:tcPr>
          <w:p>
            <w:pPr>
              <w:widowControl/>
              <w:spacing w:line="260" w:lineRule="exact"/>
              <w:rPr>
                <w:rFonts w:ascii="宋体" w:hAnsi="宋体" w:cs="宋体"/>
                <w:sz w:val="20"/>
                <w:szCs w:val="20"/>
              </w:rPr>
            </w:pPr>
            <w:r>
              <w:rPr>
                <w:rFonts w:hint="eastAsia" w:ascii="宋体" w:hAnsi="宋体" w:cs="宋体"/>
                <w:sz w:val="20"/>
                <w:szCs w:val="20"/>
              </w:rPr>
              <w:t>6个中心城区、滨海新区、东丽区、西青区、津南区、北辰区、武清区、宝坻区、静海区、蓟县</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480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380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495"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宁河区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320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690" w:hRule="atLeas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3</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河北</w:t>
            </w:r>
          </w:p>
        </w:tc>
        <w:tc>
          <w:tcPr>
            <w:tcW w:w="1448" w:type="pct"/>
            <w:vMerge w:val="restart"/>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sz w:val="20"/>
                <w:szCs w:val="20"/>
              </w:rPr>
            </w:pPr>
            <w:r>
              <w:rPr>
                <w:rFonts w:hint="eastAsia" w:ascii="宋体" w:hAnsi="宋体" w:cs="宋体"/>
                <w:sz w:val="20"/>
                <w:szCs w:val="20"/>
              </w:rPr>
              <w:t>石家庄市、张家口市、秦皇岛市、廊坊市、承德市、保定市</w:t>
            </w:r>
          </w:p>
        </w:tc>
        <w:tc>
          <w:tcPr>
            <w:tcW w:w="360"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450</w:t>
            </w:r>
          </w:p>
        </w:tc>
        <w:tc>
          <w:tcPr>
            <w:tcW w:w="266"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张家口市</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7-9月、11-3月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1200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675</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525</w:t>
            </w:r>
          </w:p>
        </w:tc>
      </w:tr>
      <w:tr>
        <w:tblPrEx>
          <w:tblCellMar>
            <w:top w:w="0" w:type="dxa"/>
            <w:left w:w="108" w:type="dxa"/>
            <w:bottom w:w="0" w:type="dxa"/>
            <w:right w:w="108" w:type="dxa"/>
          </w:tblCellMar>
        </w:tblPrEx>
        <w:trPr>
          <w:trHeight w:val="450"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sz w:val="20"/>
                <w:szCs w:val="20"/>
              </w:rPr>
            </w:pPr>
          </w:p>
        </w:tc>
        <w:tc>
          <w:tcPr>
            <w:tcW w:w="360"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sz w:val="20"/>
                <w:szCs w:val="20"/>
              </w:rPr>
            </w:pPr>
          </w:p>
        </w:tc>
        <w:tc>
          <w:tcPr>
            <w:tcW w:w="359"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sz w:val="20"/>
                <w:szCs w:val="20"/>
              </w:rPr>
            </w:pPr>
          </w:p>
        </w:tc>
        <w:tc>
          <w:tcPr>
            <w:tcW w:w="266"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sz w:val="20"/>
                <w:szCs w:val="20"/>
              </w:rPr>
            </w:pP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秦皇岛市</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7-8月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1200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680</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500</w:t>
            </w:r>
          </w:p>
        </w:tc>
      </w:tr>
      <w:tr>
        <w:tblPrEx>
          <w:tblCellMar>
            <w:top w:w="0" w:type="dxa"/>
            <w:left w:w="108" w:type="dxa"/>
            <w:bottom w:w="0" w:type="dxa"/>
            <w:right w:w="108" w:type="dxa"/>
          </w:tblCellMar>
        </w:tblPrEx>
        <w:trPr>
          <w:trHeight w:val="555"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sz w:val="20"/>
                <w:szCs w:val="20"/>
              </w:rPr>
            </w:pPr>
          </w:p>
        </w:tc>
        <w:tc>
          <w:tcPr>
            <w:tcW w:w="360"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sz w:val="20"/>
                <w:szCs w:val="20"/>
              </w:rPr>
            </w:pPr>
          </w:p>
        </w:tc>
        <w:tc>
          <w:tcPr>
            <w:tcW w:w="359"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sz w:val="20"/>
                <w:szCs w:val="20"/>
              </w:rPr>
            </w:pPr>
          </w:p>
        </w:tc>
        <w:tc>
          <w:tcPr>
            <w:tcW w:w="266"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sz w:val="20"/>
                <w:szCs w:val="20"/>
              </w:rPr>
            </w:pP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承德市</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7-9月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1000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580</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580</w:t>
            </w:r>
          </w:p>
        </w:tc>
      </w:tr>
      <w:tr>
        <w:tblPrEx>
          <w:tblCellMar>
            <w:top w:w="0" w:type="dxa"/>
            <w:left w:w="108" w:type="dxa"/>
            <w:bottom w:w="0" w:type="dxa"/>
            <w:right w:w="108" w:type="dxa"/>
          </w:tblCellMar>
        </w:tblPrEx>
        <w:trPr>
          <w:trHeight w:val="465"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其他地区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450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310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480" w:hRule="atLeas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4</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山西</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太原市、大同市、晋城市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480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480"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临汾市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480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330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480"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阳泉市、长治市、晋中市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480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310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480"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其他地区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400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240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450" w:hRule="atLeas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5</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内蒙古</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呼和浩特市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460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975"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其他地区</w:t>
            </w:r>
          </w:p>
        </w:tc>
        <w:tc>
          <w:tcPr>
            <w:tcW w:w="360"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460</w:t>
            </w:r>
          </w:p>
        </w:tc>
        <w:tc>
          <w:tcPr>
            <w:tcW w:w="266"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320</w:t>
            </w:r>
          </w:p>
        </w:tc>
        <w:tc>
          <w:tcPr>
            <w:tcW w:w="606" w:type="pct"/>
            <w:tcBorders>
              <w:top w:val="nil"/>
              <w:left w:val="nil"/>
              <w:bottom w:val="single" w:color="auto" w:sz="4" w:space="0"/>
              <w:right w:val="single" w:color="auto" w:sz="4" w:space="0"/>
            </w:tcBorders>
            <w:vAlign w:val="center"/>
          </w:tcPr>
          <w:p>
            <w:pPr>
              <w:widowControl/>
              <w:spacing w:line="260" w:lineRule="exact"/>
              <w:rPr>
                <w:rFonts w:ascii="宋体" w:hAnsi="宋体" w:cs="宋体"/>
                <w:sz w:val="20"/>
                <w:szCs w:val="20"/>
              </w:rPr>
            </w:pPr>
            <w:r>
              <w:rPr>
                <w:rFonts w:hint="eastAsia" w:ascii="宋体" w:hAnsi="宋体" w:cs="宋体"/>
                <w:sz w:val="20"/>
                <w:szCs w:val="20"/>
              </w:rPr>
              <w:t>海拉尔市、满洲里市、阿尔山市</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7-9月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1200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690</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480</w:t>
            </w:r>
          </w:p>
        </w:tc>
      </w:tr>
      <w:tr>
        <w:tblPrEx>
          <w:tblCellMar>
            <w:top w:w="0" w:type="dxa"/>
            <w:left w:w="108" w:type="dxa"/>
            <w:bottom w:w="0" w:type="dxa"/>
            <w:right w:w="108" w:type="dxa"/>
          </w:tblCellMar>
        </w:tblPrEx>
        <w:trPr>
          <w:trHeight w:val="510"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sz w:val="20"/>
                <w:szCs w:val="20"/>
              </w:rPr>
            </w:pPr>
          </w:p>
        </w:tc>
        <w:tc>
          <w:tcPr>
            <w:tcW w:w="360"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sz w:val="20"/>
                <w:szCs w:val="20"/>
              </w:rPr>
            </w:pPr>
          </w:p>
        </w:tc>
        <w:tc>
          <w:tcPr>
            <w:tcW w:w="359"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sz w:val="20"/>
                <w:szCs w:val="20"/>
              </w:rPr>
            </w:pPr>
          </w:p>
        </w:tc>
        <w:tc>
          <w:tcPr>
            <w:tcW w:w="266"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sz w:val="20"/>
                <w:szCs w:val="20"/>
              </w:rPr>
            </w:pP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二连浩特市</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7-9月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1000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580</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400</w:t>
            </w:r>
          </w:p>
        </w:tc>
      </w:tr>
      <w:tr>
        <w:tblPrEx>
          <w:tblCellMar>
            <w:top w:w="0" w:type="dxa"/>
            <w:left w:w="108" w:type="dxa"/>
            <w:bottom w:w="0" w:type="dxa"/>
            <w:right w:w="108" w:type="dxa"/>
          </w:tblCellMar>
        </w:tblPrEx>
        <w:trPr>
          <w:trHeight w:val="510"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sz w:val="20"/>
                <w:szCs w:val="20"/>
              </w:rPr>
            </w:pPr>
          </w:p>
        </w:tc>
        <w:tc>
          <w:tcPr>
            <w:tcW w:w="360"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sz w:val="20"/>
                <w:szCs w:val="20"/>
              </w:rPr>
            </w:pPr>
          </w:p>
        </w:tc>
        <w:tc>
          <w:tcPr>
            <w:tcW w:w="359"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sz w:val="20"/>
                <w:szCs w:val="20"/>
              </w:rPr>
            </w:pPr>
          </w:p>
        </w:tc>
        <w:tc>
          <w:tcPr>
            <w:tcW w:w="266"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sz w:val="20"/>
                <w:szCs w:val="20"/>
              </w:rPr>
            </w:pP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额济纳旗</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9-10月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1200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690</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480</w:t>
            </w:r>
          </w:p>
        </w:tc>
      </w:tr>
      <w:tr>
        <w:tblPrEx>
          <w:tblCellMar>
            <w:top w:w="0" w:type="dxa"/>
            <w:left w:w="108" w:type="dxa"/>
            <w:bottom w:w="0" w:type="dxa"/>
            <w:right w:w="108" w:type="dxa"/>
          </w:tblCellMar>
        </w:tblPrEx>
        <w:trPr>
          <w:trHeight w:val="555" w:hRule="atLeas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6</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辽宁</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沈阳市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480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555"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其他地区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480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330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525" w:hRule="atLeast"/>
          <w:jc w:val="center"/>
        </w:trPr>
        <w:tc>
          <w:tcPr>
            <w:tcW w:w="20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7</w:t>
            </w:r>
          </w:p>
        </w:tc>
        <w:tc>
          <w:tcPr>
            <w:tcW w:w="35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大连</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全市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490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全市</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7-9月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960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590</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420</w:t>
            </w:r>
          </w:p>
        </w:tc>
      </w:tr>
      <w:tr>
        <w:tblPrEx>
          <w:tblCellMar>
            <w:top w:w="0" w:type="dxa"/>
            <w:left w:w="108" w:type="dxa"/>
            <w:bottom w:w="0" w:type="dxa"/>
            <w:right w:w="108" w:type="dxa"/>
          </w:tblCellMar>
        </w:tblPrEx>
        <w:trPr>
          <w:trHeight w:val="825" w:hRule="atLeas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8</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吉林</w:t>
            </w:r>
          </w:p>
        </w:tc>
        <w:tc>
          <w:tcPr>
            <w:tcW w:w="1448" w:type="pct"/>
            <w:tcBorders>
              <w:top w:val="nil"/>
              <w:left w:val="nil"/>
              <w:bottom w:val="single" w:color="auto" w:sz="4" w:space="0"/>
              <w:right w:val="single" w:color="auto" w:sz="4" w:space="0"/>
            </w:tcBorders>
            <w:vAlign w:val="center"/>
          </w:tcPr>
          <w:p>
            <w:pPr>
              <w:widowControl/>
              <w:spacing w:line="260" w:lineRule="exact"/>
              <w:rPr>
                <w:rFonts w:ascii="宋体" w:hAnsi="宋体" w:cs="宋体"/>
                <w:sz w:val="20"/>
                <w:szCs w:val="20"/>
              </w:rPr>
            </w:pPr>
            <w:r>
              <w:rPr>
                <w:rFonts w:hint="eastAsia" w:ascii="宋体" w:hAnsi="宋体" w:cs="宋体"/>
                <w:sz w:val="20"/>
                <w:szCs w:val="20"/>
              </w:rPr>
              <w:t xml:space="preserve"> 长春市、吉林市、延边州、长白山管理区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450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吉林市、延边州、长白山管理区</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7-9月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960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540</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420</w:t>
            </w:r>
          </w:p>
        </w:tc>
      </w:tr>
      <w:tr>
        <w:tblPrEx>
          <w:tblCellMar>
            <w:top w:w="0" w:type="dxa"/>
            <w:left w:w="108" w:type="dxa"/>
            <w:bottom w:w="0" w:type="dxa"/>
            <w:right w:w="108" w:type="dxa"/>
          </w:tblCellMar>
        </w:tblPrEx>
        <w:trPr>
          <w:trHeight w:val="450"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其他地区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750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400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300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465" w:hRule="atLeas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9</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pacing w:val="-20"/>
                <w:sz w:val="20"/>
                <w:szCs w:val="20"/>
              </w:rPr>
            </w:pPr>
            <w:r>
              <w:rPr>
                <w:rFonts w:hint="eastAsia" w:ascii="宋体" w:hAnsi="宋体" w:cs="宋体"/>
                <w:b/>
                <w:bCs/>
                <w:spacing w:val="-20"/>
                <w:sz w:val="20"/>
                <w:szCs w:val="20"/>
              </w:rPr>
              <w:t>黑龙江</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哈尔滨市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450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哈尔滨市</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7-9月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960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540</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420</w:t>
            </w:r>
          </w:p>
        </w:tc>
      </w:tr>
      <w:tr>
        <w:tblPrEx>
          <w:tblCellMar>
            <w:top w:w="0" w:type="dxa"/>
            <w:left w:w="108" w:type="dxa"/>
            <w:bottom w:w="0" w:type="dxa"/>
            <w:right w:w="108" w:type="dxa"/>
          </w:tblCellMar>
        </w:tblPrEx>
        <w:trPr>
          <w:trHeight w:val="1020"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xml:space="preserve"> 其他地区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750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450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300</w:t>
            </w:r>
          </w:p>
        </w:tc>
        <w:tc>
          <w:tcPr>
            <w:tcW w:w="606" w:type="pct"/>
            <w:tcBorders>
              <w:top w:val="nil"/>
              <w:left w:val="nil"/>
              <w:bottom w:val="single" w:color="auto" w:sz="4" w:space="0"/>
              <w:right w:val="single" w:color="auto" w:sz="4" w:space="0"/>
            </w:tcBorders>
            <w:vAlign w:val="center"/>
          </w:tcPr>
          <w:p>
            <w:pPr>
              <w:widowControl/>
              <w:spacing w:line="260" w:lineRule="exact"/>
              <w:rPr>
                <w:rFonts w:ascii="宋体" w:hAnsi="宋体" w:cs="宋体"/>
                <w:sz w:val="20"/>
                <w:szCs w:val="20"/>
              </w:rPr>
            </w:pPr>
            <w:r>
              <w:rPr>
                <w:rFonts w:hint="eastAsia" w:ascii="宋体" w:hAnsi="宋体" w:cs="宋体"/>
                <w:sz w:val="20"/>
                <w:szCs w:val="20"/>
              </w:rPr>
              <w:t>牡丹江市、伊春市、大兴安岭地区、黑河市、佳木斯市</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6-8月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540</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360</w:t>
            </w:r>
          </w:p>
        </w:tc>
      </w:tr>
      <w:tr>
        <w:tblPrEx>
          <w:tblCellMar>
            <w:top w:w="0" w:type="dxa"/>
            <w:left w:w="108" w:type="dxa"/>
            <w:bottom w:w="0" w:type="dxa"/>
            <w:right w:w="108" w:type="dxa"/>
          </w:tblCellMar>
        </w:tblPrEx>
        <w:trPr>
          <w:trHeight w:val="525" w:hRule="atLeast"/>
          <w:jc w:val="center"/>
        </w:trPr>
        <w:tc>
          <w:tcPr>
            <w:tcW w:w="20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10</w:t>
            </w:r>
          </w:p>
        </w:tc>
        <w:tc>
          <w:tcPr>
            <w:tcW w:w="35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上海</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全市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1100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600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500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780" w:hRule="atLeas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11</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江苏</w:t>
            </w:r>
          </w:p>
        </w:tc>
        <w:tc>
          <w:tcPr>
            <w:tcW w:w="1448" w:type="pct"/>
            <w:tcBorders>
              <w:top w:val="nil"/>
              <w:left w:val="nil"/>
              <w:bottom w:val="single" w:color="auto" w:sz="4" w:space="0"/>
              <w:right w:val="single" w:color="auto" w:sz="4" w:space="0"/>
            </w:tcBorders>
            <w:vAlign w:val="center"/>
          </w:tcPr>
          <w:p>
            <w:pPr>
              <w:widowControl/>
              <w:spacing w:line="260" w:lineRule="exact"/>
              <w:rPr>
                <w:rFonts w:ascii="宋体" w:hAnsi="宋体" w:cs="宋体"/>
                <w:sz w:val="20"/>
                <w:szCs w:val="20"/>
              </w:rPr>
            </w:pPr>
            <w:r>
              <w:rPr>
                <w:rFonts w:hint="eastAsia" w:ascii="宋体" w:hAnsi="宋体" w:cs="宋体"/>
                <w:sz w:val="20"/>
                <w:szCs w:val="20"/>
              </w:rPr>
              <w:t>南京市、苏州市、无锡市、常州市、镇江市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490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380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525"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其他地区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490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360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525" w:hRule="atLeas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12</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浙江</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杭州市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500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400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525"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其他地区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490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340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525" w:hRule="atLeast"/>
          <w:jc w:val="center"/>
        </w:trPr>
        <w:tc>
          <w:tcPr>
            <w:tcW w:w="20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13</w:t>
            </w:r>
          </w:p>
        </w:tc>
        <w:tc>
          <w:tcPr>
            <w:tcW w:w="35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宁波</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全市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450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525" w:hRule="atLeast"/>
          <w:jc w:val="center"/>
        </w:trPr>
        <w:tc>
          <w:tcPr>
            <w:tcW w:w="20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14</w:t>
            </w:r>
          </w:p>
        </w:tc>
        <w:tc>
          <w:tcPr>
            <w:tcW w:w="35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安徽</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全省</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460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525" w:hRule="atLeas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15</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福建</w:t>
            </w:r>
          </w:p>
        </w:tc>
        <w:tc>
          <w:tcPr>
            <w:tcW w:w="1448" w:type="pct"/>
            <w:tcBorders>
              <w:top w:val="nil"/>
              <w:left w:val="nil"/>
              <w:bottom w:val="single" w:color="auto" w:sz="4" w:space="0"/>
              <w:right w:val="single" w:color="auto" w:sz="4" w:space="0"/>
            </w:tcBorders>
            <w:vAlign w:val="center"/>
          </w:tcPr>
          <w:p>
            <w:pPr>
              <w:widowControl/>
              <w:spacing w:line="260" w:lineRule="exact"/>
              <w:rPr>
                <w:rFonts w:ascii="宋体" w:hAnsi="宋体" w:cs="宋体"/>
                <w:spacing w:val="-6"/>
                <w:sz w:val="20"/>
                <w:szCs w:val="20"/>
              </w:rPr>
            </w:pPr>
            <w:r>
              <w:rPr>
                <w:rFonts w:hint="eastAsia" w:ascii="宋体" w:hAnsi="宋体" w:cs="宋体"/>
                <w:spacing w:val="-6"/>
                <w:sz w:val="20"/>
                <w:szCs w:val="20"/>
              </w:rPr>
              <w:t>福州市、泉州市、平潭综合实验区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480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380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525"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其他地区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480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525" w:hRule="atLeast"/>
          <w:jc w:val="center"/>
        </w:trPr>
        <w:tc>
          <w:tcPr>
            <w:tcW w:w="20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16</w:t>
            </w:r>
          </w:p>
        </w:tc>
        <w:tc>
          <w:tcPr>
            <w:tcW w:w="35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厦门</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全市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500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400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525" w:hRule="atLeast"/>
          <w:jc w:val="center"/>
        </w:trPr>
        <w:tc>
          <w:tcPr>
            <w:tcW w:w="20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17</w:t>
            </w:r>
          </w:p>
        </w:tc>
        <w:tc>
          <w:tcPr>
            <w:tcW w:w="35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江西</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全省</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470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789" w:hRule="atLeas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18</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山东</w:t>
            </w:r>
          </w:p>
        </w:tc>
        <w:tc>
          <w:tcPr>
            <w:tcW w:w="1448" w:type="pct"/>
            <w:tcBorders>
              <w:top w:val="nil"/>
              <w:left w:val="nil"/>
              <w:bottom w:val="single" w:color="auto" w:sz="4" w:space="0"/>
              <w:right w:val="single" w:color="auto" w:sz="4" w:space="0"/>
            </w:tcBorders>
            <w:vAlign w:val="center"/>
          </w:tcPr>
          <w:p>
            <w:pPr>
              <w:widowControl/>
              <w:spacing w:line="260" w:lineRule="exact"/>
              <w:rPr>
                <w:rFonts w:ascii="宋体" w:hAnsi="宋体" w:cs="宋体"/>
                <w:sz w:val="20"/>
                <w:szCs w:val="20"/>
              </w:rPr>
            </w:pPr>
            <w:r>
              <w:rPr>
                <w:rFonts w:hint="eastAsia" w:ascii="宋体" w:hAnsi="宋体" w:cs="宋体"/>
                <w:sz w:val="20"/>
                <w:szCs w:val="20"/>
              </w:rPr>
              <w:t>济南市、淄博市、枣庄市、东营市、烟台市、潍坊市、济宁市、泰安市、威海市、日照市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480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380</w:t>
            </w:r>
          </w:p>
        </w:tc>
        <w:tc>
          <w:tcPr>
            <w:tcW w:w="606" w:type="pct"/>
            <w:tcBorders>
              <w:top w:val="nil"/>
              <w:left w:val="nil"/>
              <w:bottom w:val="single" w:color="auto" w:sz="4" w:space="0"/>
              <w:right w:val="single" w:color="auto" w:sz="4" w:space="0"/>
            </w:tcBorders>
            <w:vAlign w:val="center"/>
          </w:tcPr>
          <w:p>
            <w:pPr>
              <w:widowControl/>
              <w:spacing w:line="260" w:lineRule="exact"/>
              <w:rPr>
                <w:rFonts w:ascii="宋体" w:hAnsi="宋体" w:cs="宋体"/>
                <w:spacing w:val="-16"/>
                <w:sz w:val="20"/>
                <w:szCs w:val="20"/>
              </w:rPr>
            </w:pPr>
            <w:r>
              <w:rPr>
                <w:rFonts w:hint="eastAsia" w:ascii="宋体" w:hAnsi="宋体" w:cs="宋体"/>
                <w:spacing w:val="-16"/>
                <w:sz w:val="20"/>
                <w:szCs w:val="20"/>
              </w:rPr>
              <w:t>烟台市、威海市、日照市</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7-9月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960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570</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450</w:t>
            </w:r>
          </w:p>
        </w:tc>
      </w:tr>
      <w:tr>
        <w:tblPrEx>
          <w:tblCellMar>
            <w:top w:w="0" w:type="dxa"/>
            <w:left w:w="108" w:type="dxa"/>
            <w:bottom w:w="0" w:type="dxa"/>
            <w:right w:w="108" w:type="dxa"/>
          </w:tblCellMar>
        </w:tblPrEx>
        <w:trPr>
          <w:trHeight w:val="435"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xml:space="preserve">其他地区 </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460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360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435" w:hRule="atLeast"/>
          <w:jc w:val="center"/>
        </w:trPr>
        <w:tc>
          <w:tcPr>
            <w:tcW w:w="20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19</w:t>
            </w:r>
          </w:p>
        </w:tc>
        <w:tc>
          <w:tcPr>
            <w:tcW w:w="35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青岛</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全市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490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380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全市</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7-9月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960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590</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450</w:t>
            </w:r>
          </w:p>
        </w:tc>
      </w:tr>
      <w:tr>
        <w:tblPrEx>
          <w:tblCellMar>
            <w:top w:w="0" w:type="dxa"/>
            <w:left w:w="108" w:type="dxa"/>
            <w:bottom w:w="0" w:type="dxa"/>
            <w:right w:w="108" w:type="dxa"/>
          </w:tblCellMar>
        </w:tblPrEx>
        <w:trPr>
          <w:trHeight w:val="454" w:hRule="exac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20</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河南</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郑州市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480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380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675"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其他地区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480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330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洛阳市</w:t>
            </w:r>
          </w:p>
        </w:tc>
        <w:tc>
          <w:tcPr>
            <w:tcW w:w="407" w:type="pct"/>
            <w:tcBorders>
              <w:top w:val="nil"/>
              <w:left w:val="nil"/>
              <w:bottom w:val="single" w:color="auto" w:sz="4" w:space="0"/>
              <w:right w:val="single" w:color="auto" w:sz="4" w:space="0"/>
            </w:tcBorders>
            <w:vAlign w:val="center"/>
          </w:tcPr>
          <w:p>
            <w:pPr>
              <w:widowControl/>
              <w:spacing w:line="260" w:lineRule="exact"/>
              <w:rPr>
                <w:rFonts w:ascii="宋体" w:hAnsi="宋体" w:cs="宋体"/>
                <w:sz w:val="20"/>
                <w:szCs w:val="20"/>
              </w:rPr>
            </w:pPr>
            <w:r>
              <w:rPr>
                <w:rFonts w:hint="eastAsia" w:ascii="宋体" w:hAnsi="宋体" w:cs="宋体"/>
                <w:sz w:val="20"/>
                <w:szCs w:val="20"/>
              </w:rPr>
              <w:t>4-5月上旬</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1200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720</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500</w:t>
            </w:r>
          </w:p>
        </w:tc>
      </w:tr>
      <w:tr>
        <w:tblPrEx>
          <w:tblCellMar>
            <w:top w:w="0" w:type="dxa"/>
            <w:left w:w="108" w:type="dxa"/>
            <w:bottom w:w="0" w:type="dxa"/>
            <w:right w:w="108" w:type="dxa"/>
          </w:tblCellMar>
        </w:tblPrEx>
        <w:trPr>
          <w:trHeight w:val="397" w:hRule="exac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21</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湖北</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武汉市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480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397" w:hRule="exac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其他地区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480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320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397" w:hRule="exac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22</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湖南</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长沙市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450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397" w:hRule="exac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其他地区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450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330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559" w:hRule="atLeas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23</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广东</w:t>
            </w:r>
          </w:p>
        </w:tc>
        <w:tc>
          <w:tcPr>
            <w:tcW w:w="1448" w:type="pct"/>
            <w:tcBorders>
              <w:top w:val="nil"/>
              <w:left w:val="nil"/>
              <w:bottom w:val="single" w:color="auto" w:sz="4" w:space="0"/>
              <w:right w:val="single" w:color="auto" w:sz="4" w:space="0"/>
            </w:tcBorders>
            <w:vAlign w:val="center"/>
          </w:tcPr>
          <w:p>
            <w:pPr>
              <w:widowControl/>
              <w:spacing w:line="240" w:lineRule="exact"/>
              <w:rPr>
                <w:rFonts w:ascii="宋体" w:hAnsi="宋体" w:cs="宋体"/>
                <w:sz w:val="20"/>
                <w:szCs w:val="20"/>
              </w:rPr>
            </w:pPr>
            <w:r>
              <w:rPr>
                <w:rFonts w:hint="eastAsia" w:ascii="宋体" w:hAnsi="宋体" w:cs="宋体"/>
                <w:sz w:val="20"/>
                <w:szCs w:val="20"/>
              </w:rPr>
              <w:t>广州市、珠海市、佛山市、东莞市、中山市、江门市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550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454" w:hRule="exac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其他地区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850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530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420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454" w:hRule="exact"/>
          <w:jc w:val="center"/>
        </w:trPr>
        <w:tc>
          <w:tcPr>
            <w:tcW w:w="20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24</w:t>
            </w:r>
          </w:p>
        </w:tc>
        <w:tc>
          <w:tcPr>
            <w:tcW w:w="35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深圳</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全市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550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454" w:hRule="exac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25</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广西</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南宁市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470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497"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其他地区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470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330</w:t>
            </w:r>
          </w:p>
        </w:tc>
        <w:tc>
          <w:tcPr>
            <w:tcW w:w="606" w:type="pct"/>
            <w:tcBorders>
              <w:top w:val="nil"/>
              <w:left w:val="nil"/>
              <w:bottom w:val="single" w:color="auto" w:sz="4" w:space="0"/>
              <w:right w:val="single" w:color="auto" w:sz="4" w:space="0"/>
            </w:tcBorders>
            <w:vAlign w:val="center"/>
          </w:tcPr>
          <w:p>
            <w:pPr>
              <w:widowControl/>
              <w:spacing w:line="260" w:lineRule="exact"/>
              <w:rPr>
                <w:rFonts w:ascii="宋体" w:hAnsi="宋体" w:cs="宋体"/>
                <w:sz w:val="20"/>
                <w:szCs w:val="20"/>
              </w:rPr>
            </w:pPr>
            <w:r>
              <w:rPr>
                <w:rFonts w:hint="eastAsia" w:ascii="宋体" w:hAnsi="宋体" w:cs="宋体"/>
                <w:sz w:val="20"/>
                <w:szCs w:val="20"/>
              </w:rPr>
              <w:t>桂林市、北海市</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1-2月、7-9月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1040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610</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430</w:t>
            </w:r>
          </w:p>
        </w:tc>
      </w:tr>
      <w:tr>
        <w:tblPrEx>
          <w:tblCellMar>
            <w:top w:w="0" w:type="dxa"/>
            <w:left w:w="108" w:type="dxa"/>
            <w:bottom w:w="0" w:type="dxa"/>
            <w:right w:w="108" w:type="dxa"/>
          </w:tblCellMar>
        </w:tblPrEx>
        <w:trPr>
          <w:trHeight w:val="1274" w:hRule="atLeas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26</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海南</w:t>
            </w:r>
          </w:p>
        </w:tc>
        <w:tc>
          <w:tcPr>
            <w:tcW w:w="1448" w:type="pct"/>
            <w:vMerge w:val="restart"/>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sz w:val="20"/>
                <w:szCs w:val="20"/>
              </w:rPr>
            </w:pPr>
            <w:r>
              <w:rPr>
                <w:rFonts w:hint="eastAsia" w:ascii="宋体" w:hAnsi="宋体" w:cs="宋体"/>
                <w:sz w:val="20"/>
                <w:szCs w:val="20"/>
              </w:rPr>
              <w:t>海口市、三沙市、儋州市、五指山市、文昌市、琼海市、万宁市、东方市、定安县、屯昌县、澄迈县、临高县、白沙县、昌江县、乐东县、陵水县、保亭县、琼中县、洋浦开发区</w:t>
            </w:r>
          </w:p>
        </w:tc>
        <w:tc>
          <w:tcPr>
            <w:tcW w:w="360"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500</w:t>
            </w:r>
          </w:p>
        </w:tc>
        <w:tc>
          <w:tcPr>
            <w:tcW w:w="266"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606" w:type="pct"/>
            <w:tcBorders>
              <w:top w:val="nil"/>
              <w:left w:val="nil"/>
              <w:bottom w:val="single" w:color="auto" w:sz="4" w:space="0"/>
              <w:right w:val="single" w:color="auto" w:sz="4" w:space="0"/>
            </w:tcBorders>
            <w:vAlign w:val="center"/>
          </w:tcPr>
          <w:p>
            <w:pPr>
              <w:widowControl/>
              <w:spacing w:line="260" w:lineRule="exact"/>
              <w:rPr>
                <w:rFonts w:ascii="宋体" w:hAnsi="宋体" w:cs="宋体"/>
                <w:sz w:val="20"/>
                <w:szCs w:val="20"/>
              </w:rPr>
            </w:pPr>
            <w:r>
              <w:rPr>
                <w:rFonts w:hint="eastAsia" w:ascii="宋体" w:hAnsi="宋体" w:cs="宋体"/>
                <w:sz w:val="20"/>
                <w:szCs w:val="20"/>
              </w:rPr>
              <w:t>海口市、文昌市、澄迈县</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11-2月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1040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650</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450</w:t>
            </w:r>
          </w:p>
        </w:tc>
      </w:tr>
      <w:tr>
        <w:tblPrEx>
          <w:tblCellMar>
            <w:top w:w="0" w:type="dxa"/>
            <w:left w:w="108" w:type="dxa"/>
            <w:bottom w:w="0" w:type="dxa"/>
            <w:right w:w="108" w:type="dxa"/>
          </w:tblCellMar>
        </w:tblPrEx>
        <w:trPr>
          <w:trHeight w:val="977"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sz w:val="20"/>
                <w:szCs w:val="20"/>
              </w:rPr>
            </w:pPr>
          </w:p>
        </w:tc>
        <w:tc>
          <w:tcPr>
            <w:tcW w:w="360"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sz w:val="20"/>
                <w:szCs w:val="20"/>
              </w:rPr>
            </w:pPr>
          </w:p>
        </w:tc>
        <w:tc>
          <w:tcPr>
            <w:tcW w:w="359"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sz w:val="20"/>
                <w:szCs w:val="20"/>
              </w:rPr>
            </w:pPr>
          </w:p>
        </w:tc>
        <w:tc>
          <w:tcPr>
            <w:tcW w:w="266"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sz w:val="20"/>
                <w:szCs w:val="20"/>
              </w:rPr>
            </w:pPr>
          </w:p>
        </w:tc>
        <w:tc>
          <w:tcPr>
            <w:tcW w:w="606" w:type="pct"/>
            <w:tcBorders>
              <w:top w:val="nil"/>
              <w:left w:val="nil"/>
              <w:bottom w:val="single" w:color="auto" w:sz="4" w:space="0"/>
              <w:right w:val="single" w:color="auto" w:sz="4" w:space="0"/>
            </w:tcBorders>
            <w:vAlign w:val="center"/>
          </w:tcPr>
          <w:p>
            <w:pPr>
              <w:widowControl/>
              <w:spacing w:line="260" w:lineRule="exact"/>
              <w:rPr>
                <w:rFonts w:ascii="宋体" w:hAnsi="宋体" w:cs="宋体"/>
                <w:sz w:val="20"/>
                <w:szCs w:val="20"/>
              </w:rPr>
            </w:pPr>
            <w:r>
              <w:rPr>
                <w:rFonts w:hint="eastAsia" w:ascii="宋体" w:hAnsi="宋体" w:cs="宋体"/>
                <w:sz w:val="20"/>
                <w:szCs w:val="20"/>
              </w:rPr>
              <w:t>琼海市、万宁市、陵水县、保亭县</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11-3月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1040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650</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450</w:t>
            </w:r>
          </w:p>
        </w:tc>
      </w:tr>
      <w:tr>
        <w:tblPrEx>
          <w:tblCellMar>
            <w:top w:w="0" w:type="dxa"/>
            <w:left w:w="108" w:type="dxa"/>
            <w:bottom w:w="0" w:type="dxa"/>
            <w:right w:w="108" w:type="dxa"/>
          </w:tblCellMar>
        </w:tblPrEx>
        <w:trPr>
          <w:trHeight w:val="435"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三亚市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1000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600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400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三亚市</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10-4月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1200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720</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480</w:t>
            </w:r>
          </w:p>
        </w:tc>
      </w:tr>
      <w:tr>
        <w:tblPrEx>
          <w:tblCellMar>
            <w:top w:w="0" w:type="dxa"/>
            <w:left w:w="108" w:type="dxa"/>
            <w:bottom w:w="0" w:type="dxa"/>
            <w:right w:w="108" w:type="dxa"/>
          </w:tblCellMar>
        </w:tblPrEx>
        <w:trPr>
          <w:trHeight w:val="450" w:hRule="atLeas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27</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重庆</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xml:space="preserve"> 9个中心城区、北部新区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480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370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435"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其他地区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770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450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300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600" w:hRule="atLeas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28</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四川</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成都市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470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370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600"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阿坝州、甘孜州</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430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330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600"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绵阳市、乐山市、雅安市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430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320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600"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宜宾市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430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300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600"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凉山州</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750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430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330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600"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德阳市、遂宁市、巴中市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750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430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310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600"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其他地区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750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430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300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340" w:hRule="exac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29</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贵州</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贵阳市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470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370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340" w:hRule="exac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其他地区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750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450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300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705" w:hRule="atLeas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30</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云南</w:t>
            </w:r>
          </w:p>
        </w:tc>
        <w:tc>
          <w:tcPr>
            <w:tcW w:w="1448" w:type="pct"/>
            <w:tcBorders>
              <w:top w:val="nil"/>
              <w:left w:val="nil"/>
              <w:bottom w:val="single" w:color="auto" w:sz="4" w:space="0"/>
              <w:right w:val="single" w:color="auto" w:sz="4" w:space="0"/>
            </w:tcBorders>
            <w:vAlign w:val="center"/>
          </w:tcPr>
          <w:p>
            <w:pPr>
              <w:widowControl/>
              <w:spacing w:line="260" w:lineRule="exact"/>
              <w:rPr>
                <w:rFonts w:ascii="宋体" w:hAnsi="宋体" w:cs="宋体"/>
                <w:sz w:val="20"/>
                <w:szCs w:val="20"/>
              </w:rPr>
            </w:pPr>
            <w:r>
              <w:rPr>
                <w:rFonts w:hint="eastAsia" w:ascii="宋体" w:hAnsi="宋体" w:cs="宋体"/>
                <w:sz w:val="20"/>
                <w:szCs w:val="20"/>
              </w:rPr>
              <w:t>昆明市、大理州、丽江市、迪庆州、西双版纳州</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480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380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340" w:hRule="exac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其他地区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480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330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340" w:hRule="exac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31</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西藏</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拉萨市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500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拉萨市</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6-9月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1200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750</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530</w:t>
            </w:r>
          </w:p>
        </w:tc>
      </w:tr>
      <w:tr>
        <w:tblPrEx>
          <w:tblCellMar>
            <w:top w:w="0" w:type="dxa"/>
            <w:left w:w="108" w:type="dxa"/>
            <w:bottom w:w="0" w:type="dxa"/>
            <w:right w:w="108" w:type="dxa"/>
          </w:tblCellMar>
        </w:tblPrEx>
        <w:trPr>
          <w:trHeight w:val="405"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其他地区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400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300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xml:space="preserve"> 其他地区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6-9月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500</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350</w:t>
            </w:r>
          </w:p>
        </w:tc>
      </w:tr>
      <w:tr>
        <w:tblPrEx>
          <w:tblCellMar>
            <w:top w:w="0" w:type="dxa"/>
            <w:left w:w="108" w:type="dxa"/>
            <w:bottom w:w="0" w:type="dxa"/>
            <w:right w:w="108" w:type="dxa"/>
          </w:tblCellMar>
        </w:tblPrEx>
        <w:trPr>
          <w:trHeight w:val="360" w:hRule="atLeas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32</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陕西</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西安市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460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360"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榆林市、延安市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680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300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360"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杨凌区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680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320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260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360"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咸阳市、宝鸡市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320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260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360"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渭南市、韩城市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300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260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360"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其他地区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300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230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435" w:hRule="atLeas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33</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甘肃</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兰州市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470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420"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其他地区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450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310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405" w:hRule="atLeas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34</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青海</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西宁市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500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西宁市</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6-9月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1200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750</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530</w:t>
            </w:r>
          </w:p>
        </w:tc>
      </w:tr>
      <w:tr>
        <w:tblPrEx>
          <w:tblCellMar>
            <w:top w:w="0" w:type="dxa"/>
            <w:left w:w="108" w:type="dxa"/>
            <w:bottom w:w="0" w:type="dxa"/>
            <w:right w:w="108" w:type="dxa"/>
          </w:tblCellMar>
        </w:tblPrEx>
        <w:trPr>
          <w:trHeight w:val="405"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玉树州、果洛州</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300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玉树州</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5-9月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525</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450</w:t>
            </w:r>
          </w:p>
        </w:tc>
      </w:tr>
      <w:tr>
        <w:tblPrEx>
          <w:tblCellMar>
            <w:top w:w="0" w:type="dxa"/>
            <w:left w:w="108" w:type="dxa"/>
            <w:bottom w:w="0" w:type="dxa"/>
            <w:right w:w="108" w:type="dxa"/>
          </w:tblCellMar>
        </w:tblPrEx>
        <w:trPr>
          <w:trHeight w:val="405"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海北州、黄南州</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250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海北州、黄南州</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5-9月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525</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375</w:t>
            </w:r>
          </w:p>
        </w:tc>
      </w:tr>
      <w:tr>
        <w:tblPrEx>
          <w:tblCellMar>
            <w:top w:w="0" w:type="dxa"/>
            <w:left w:w="108" w:type="dxa"/>
            <w:bottom w:w="0" w:type="dxa"/>
            <w:right w:w="108" w:type="dxa"/>
          </w:tblCellMar>
        </w:tblPrEx>
        <w:trPr>
          <w:trHeight w:val="405"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海东市、海南州</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300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250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海东市、海南州</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5-9月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450</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375</w:t>
            </w:r>
          </w:p>
        </w:tc>
      </w:tr>
      <w:tr>
        <w:tblPrEx>
          <w:tblCellMar>
            <w:top w:w="0" w:type="dxa"/>
            <w:left w:w="108" w:type="dxa"/>
            <w:bottom w:w="0" w:type="dxa"/>
            <w:right w:w="108" w:type="dxa"/>
          </w:tblCellMar>
        </w:tblPrEx>
        <w:trPr>
          <w:trHeight w:val="405"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海西州</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600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300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200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海西州</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5-9月</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900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450</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300</w:t>
            </w:r>
          </w:p>
        </w:tc>
      </w:tr>
      <w:tr>
        <w:tblPrEx>
          <w:tblCellMar>
            <w:top w:w="0" w:type="dxa"/>
            <w:left w:w="108" w:type="dxa"/>
            <w:bottom w:w="0" w:type="dxa"/>
            <w:right w:w="108" w:type="dxa"/>
          </w:tblCellMar>
        </w:tblPrEx>
        <w:trPr>
          <w:trHeight w:val="397" w:hRule="exac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35</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宁夏</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银川市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470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397" w:hRule="exac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其他地区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430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330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397" w:hRule="exact"/>
          <w:jc w:val="center"/>
        </w:trPr>
        <w:tc>
          <w:tcPr>
            <w:tcW w:w="207" w:type="pct"/>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sz w:val="22"/>
              </w:rPr>
            </w:pPr>
            <w:r>
              <w:rPr>
                <w:rFonts w:hint="eastAsia" w:ascii="宋体" w:hAnsi="宋体" w:cs="宋体"/>
                <w:sz w:val="22"/>
              </w:rPr>
              <w:t>36</w:t>
            </w:r>
          </w:p>
        </w:tc>
        <w:tc>
          <w:tcPr>
            <w:tcW w:w="35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sz w:val="20"/>
                <w:szCs w:val="20"/>
              </w:rPr>
            </w:pPr>
            <w:r>
              <w:rPr>
                <w:rFonts w:hint="eastAsia" w:ascii="宋体" w:hAnsi="宋体" w:cs="宋体"/>
                <w:b/>
                <w:bCs/>
                <w:sz w:val="20"/>
                <w:szCs w:val="20"/>
              </w:rPr>
              <w:t>新疆</w:t>
            </w: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乌鲁木齐市</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480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350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1035" w:hRule="atLeas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rPr>
                <w:rFonts w:ascii="宋体" w:hAnsi="宋体" w:cs="宋体"/>
                <w:sz w:val="20"/>
                <w:szCs w:val="20"/>
              </w:rPr>
            </w:pPr>
            <w:r>
              <w:rPr>
                <w:rFonts w:hint="eastAsia" w:ascii="宋体" w:hAnsi="宋体" w:cs="宋体"/>
                <w:sz w:val="20"/>
                <w:szCs w:val="20"/>
              </w:rPr>
              <w:t>石河子市、克拉玛依市、昌吉州、伊犁州、阿勒泰地区、博州、吐鲁番市、哈密地区、巴州、和田地区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480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340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sz w:val="16"/>
                <w:szCs w:val="16"/>
              </w:rPr>
            </w:pPr>
            <w:r>
              <w:rPr>
                <w:rFonts w:hint="eastAsia" w:ascii="仿宋_GB2312" w:hAnsi="宋体" w:eastAsia="仿宋_GB2312" w:cs="宋体"/>
                <w:sz w:val="16"/>
                <w:szCs w:val="16"/>
              </w:rPr>
              <w:t>　</w:t>
            </w:r>
          </w:p>
        </w:tc>
        <w:tc>
          <w:tcPr>
            <w:tcW w:w="407" w:type="pct"/>
            <w:tcBorders>
              <w:top w:val="nil"/>
              <w:left w:val="nil"/>
              <w:bottom w:val="single" w:color="auto" w:sz="4" w:space="0"/>
              <w:right w:val="single" w:color="auto" w:sz="4" w:space="0"/>
            </w:tcBorders>
            <w:vAlign w:val="center"/>
          </w:tcPr>
          <w:p>
            <w:pPr>
              <w:widowControl/>
              <w:spacing w:line="260" w:lineRule="exact"/>
              <w:rPr>
                <w:rFonts w:ascii="仿宋_GB2312" w:hAnsi="宋体" w:eastAsia="仿宋_GB2312" w:cs="宋体"/>
                <w:sz w:val="16"/>
                <w:szCs w:val="16"/>
              </w:rPr>
            </w:pPr>
            <w:r>
              <w:rPr>
                <w:rFonts w:hint="eastAsia" w:ascii="仿宋_GB2312" w:hAnsi="宋体" w:eastAsia="仿宋_GB2312" w:cs="宋体"/>
                <w:sz w:val="16"/>
                <w:szCs w:val="16"/>
              </w:rPr>
              <w:t>　</w:t>
            </w:r>
          </w:p>
        </w:tc>
        <w:tc>
          <w:tcPr>
            <w:tcW w:w="351" w:type="pct"/>
            <w:tcBorders>
              <w:top w:val="nil"/>
              <w:left w:val="nil"/>
              <w:bottom w:val="single" w:color="auto" w:sz="4" w:space="0"/>
              <w:right w:val="single" w:color="auto" w:sz="4" w:space="0"/>
            </w:tcBorders>
            <w:vAlign w:val="center"/>
          </w:tcPr>
          <w:p>
            <w:pPr>
              <w:widowControl/>
              <w:spacing w:line="260" w:lineRule="exact"/>
              <w:rPr>
                <w:rFonts w:ascii="仿宋_GB2312" w:hAnsi="宋体" w:eastAsia="仿宋_GB2312" w:cs="宋体"/>
                <w:sz w:val="16"/>
                <w:szCs w:val="16"/>
              </w:rPr>
            </w:pPr>
            <w:r>
              <w:rPr>
                <w:rFonts w:hint="eastAsia" w:ascii="仿宋_GB2312" w:hAnsi="宋体" w:eastAsia="仿宋_GB2312" w:cs="宋体"/>
                <w:sz w:val="16"/>
                <w:szCs w:val="16"/>
              </w:rPr>
              <w:t>　</w:t>
            </w:r>
          </w:p>
        </w:tc>
        <w:tc>
          <w:tcPr>
            <w:tcW w:w="359" w:type="pct"/>
            <w:tcBorders>
              <w:top w:val="nil"/>
              <w:left w:val="nil"/>
              <w:bottom w:val="single" w:color="auto" w:sz="4" w:space="0"/>
              <w:right w:val="single" w:color="auto" w:sz="4" w:space="0"/>
            </w:tcBorders>
            <w:vAlign w:val="center"/>
          </w:tcPr>
          <w:p>
            <w:pPr>
              <w:widowControl/>
              <w:spacing w:line="260" w:lineRule="exact"/>
              <w:rPr>
                <w:rFonts w:ascii="仿宋_GB2312" w:hAnsi="宋体" w:eastAsia="仿宋_GB2312" w:cs="宋体"/>
                <w:sz w:val="16"/>
                <w:szCs w:val="16"/>
              </w:rPr>
            </w:pPr>
            <w:r>
              <w:rPr>
                <w:rFonts w:hint="eastAsia" w:ascii="仿宋_GB2312" w:hAnsi="宋体" w:eastAsia="仿宋_GB2312" w:cs="宋体"/>
                <w:sz w:val="16"/>
                <w:szCs w:val="16"/>
              </w:rPr>
              <w:t>　</w:t>
            </w:r>
          </w:p>
        </w:tc>
        <w:tc>
          <w:tcPr>
            <w:tcW w:w="275" w:type="pct"/>
            <w:tcBorders>
              <w:top w:val="nil"/>
              <w:left w:val="nil"/>
              <w:bottom w:val="single" w:color="auto" w:sz="4" w:space="0"/>
              <w:right w:val="single" w:color="auto" w:sz="4" w:space="0"/>
            </w:tcBorders>
            <w:vAlign w:val="center"/>
          </w:tcPr>
          <w:p>
            <w:pPr>
              <w:widowControl/>
              <w:rPr>
                <w:rFonts w:ascii="仿宋_GB2312" w:hAnsi="宋体" w:eastAsia="仿宋_GB2312" w:cs="宋体"/>
                <w:sz w:val="16"/>
                <w:szCs w:val="16"/>
              </w:rPr>
            </w:pPr>
            <w:r>
              <w:rPr>
                <w:rFonts w:hint="eastAsia" w:ascii="仿宋_GB2312" w:hAnsi="宋体" w:eastAsia="仿宋_GB2312" w:cs="宋体"/>
                <w:sz w:val="16"/>
                <w:szCs w:val="16"/>
              </w:rPr>
              <w:t>　</w:t>
            </w:r>
          </w:p>
        </w:tc>
      </w:tr>
      <w:tr>
        <w:tblPrEx>
          <w:tblCellMar>
            <w:top w:w="0" w:type="dxa"/>
            <w:left w:w="108" w:type="dxa"/>
            <w:bottom w:w="0" w:type="dxa"/>
            <w:right w:w="108" w:type="dxa"/>
          </w:tblCellMar>
        </w:tblPrEx>
        <w:trPr>
          <w:trHeight w:val="340" w:hRule="exac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克州</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800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480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320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sz w:val="16"/>
                <w:szCs w:val="16"/>
              </w:rPr>
            </w:pPr>
            <w:r>
              <w:rPr>
                <w:rFonts w:hint="eastAsia" w:ascii="仿宋_GB2312" w:hAnsi="宋体" w:eastAsia="仿宋_GB2312" w:cs="宋体"/>
                <w:sz w:val="16"/>
                <w:szCs w:val="16"/>
              </w:rPr>
              <w:t>　</w:t>
            </w:r>
          </w:p>
        </w:tc>
        <w:tc>
          <w:tcPr>
            <w:tcW w:w="407" w:type="pct"/>
            <w:tcBorders>
              <w:top w:val="nil"/>
              <w:left w:val="nil"/>
              <w:bottom w:val="single" w:color="auto" w:sz="4" w:space="0"/>
              <w:right w:val="single" w:color="auto" w:sz="4" w:space="0"/>
            </w:tcBorders>
            <w:vAlign w:val="center"/>
          </w:tcPr>
          <w:p>
            <w:pPr>
              <w:widowControl/>
              <w:spacing w:line="260" w:lineRule="exact"/>
              <w:rPr>
                <w:rFonts w:ascii="仿宋_GB2312" w:hAnsi="宋体" w:eastAsia="仿宋_GB2312" w:cs="宋体"/>
                <w:sz w:val="16"/>
                <w:szCs w:val="16"/>
              </w:rPr>
            </w:pPr>
            <w:r>
              <w:rPr>
                <w:rFonts w:hint="eastAsia" w:ascii="仿宋_GB2312" w:hAnsi="宋体" w:eastAsia="仿宋_GB2312" w:cs="宋体"/>
                <w:sz w:val="16"/>
                <w:szCs w:val="16"/>
              </w:rPr>
              <w:t>　</w:t>
            </w:r>
          </w:p>
        </w:tc>
        <w:tc>
          <w:tcPr>
            <w:tcW w:w="351" w:type="pct"/>
            <w:tcBorders>
              <w:top w:val="nil"/>
              <w:left w:val="nil"/>
              <w:bottom w:val="single" w:color="auto" w:sz="4" w:space="0"/>
              <w:right w:val="single" w:color="auto" w:sz="4" w:space="0"/>
            </w:tcBorders>
            <w:vAlign w:val="center"/>
          </w:tcPr>
          <w:p>
            <w:pPr>
              <w:widowControl/>
              <w:spacing w:line="260" w:lineRule="exact"/>
              <w:rPr>
                <w:rFonts w:ascii="仿宋_GB2312" w:hAnsi="宋体" w:eastAsia="仿宋_GB2312" w:cs="宋体"/>
                <w:sz w:val="16"/>
                <w:szCs w:val="16"/>
              </w:rPr>
            </w:pPr>
            <w:r>
              <w:rPr>
                <w:rFonts w:hint="eastAsia" w:ascii="仿宋_GB2312" w:hAnsi="宋体" w:eastAsia="仿宋_GB2312" w:cs="宋体"/>
                <w:sz w:val="16"/>
                <w:szCs w:val="16"/>
              </w:rPr>
              <w:t>　</w:t>
            </w:r>
          </w:p>
        </w:tc>
        <w:tc>
          <w:tcPr>
            <w:tcW w:w="359" w:type="pct"/>
            <w:tcBorders>
              <w:top w:val="nil"/>
              <w:left w:val="nil"/>
              <w:bottom w:val="single" w:color="auto" w:sz="4" w:space="0"/>
              <w:right w:val="single" w:color="auto" w:sz="4" w:space="0"/>
            </w:tcBorders>
            <w:vAlign w:val="center"/>
          </w:tcPr>
          <w:p>
            <w:pPr>
              <w:widowControl/>
              <w:spacing w:line="260" w:lineRule="exact"/>
              <w:rPr>
                <w:rFonts w:ascii="仿宋_GB2312" w:hAnsi="宋体" w:eastAsia="仿宋_GB2312" w:cs="宋体"/>
                <w:sz w:val="16"/>
                <w:szCs w:val="16"/>
              </w:rPr>
            </w:pPr>
            <w:r>
              <w:rPr>
                <w:rFonts w:hint="eastAsia" w:ascii="仿宋_GB2312" w:hAnsi="宋体" w:eastAsia="仿宋_GB2312" w:cs="宋体"/>
                <w:sz w:val="16"/>
                <w:szCs w:val="16"/>
              </w:rPr>
              <w:t>　</w:t>
            </w:r>
          </w:p>
        </w:tc>
        <w:tc>
          <w:tcPr>
            <w:tcW w:w="275" w:type="pct"/>
            <w:tcBorders>
              <w:top w:val="nil"/>
              <w:left w:val="nil"/>
              <w:bottom w:val="single" w:color="auto" w:sz="4" w:space="0"/>
              <w:right w:val="single" w:color="auto" w:sz="4" w:space="0"/>
            </w:tcBorders>
            <w:vAlign w:val="center"/>
          </w:tcPr>
          <w:p>
            <w:pPr>
              <w:widowControl/>
              <w:rPr>
                <w:rFonts w:ascii="仿宋_GB2312" w:hAnsi="宋体" w:eastAsia="仿宋_GB2312" w:cs="宋体"/>
                <w:sz w:val="16"/>
                <w:szCs w:val="16"/>
              </w:rPr>
            </w:pPr>
            <w:r>
              <w:rPr>
                <w:rFonts w:hint="eastAsia" w:ascii="仿宋_GB2312" w:hAnsi="宋体" w:eastAsia="仿宋_GB2312" w:cs="宋体"/>
                <w:sz w:val="16"/>
                <w:szCs w:val="16"/>
              </w:rPr>
              <w:t>　</w:t>
            </w:r>
          </w:p>
        </w:tc>
      </w:tr>
      <w:tr>
        <w:tblPrEx>
          <w:tblCellMar>
            <w:top w:w="0" w:type="dxa"/>
            <w:left w:w="108" w:type="dxa"/>
            <w:bottom w:w="0" w:type="dxa"/>
            <w:right w:w="108" w:type="dxa"/>
          </w:tblCellMar>
        </w:tblPrEx>
        <w:trPr>
          <w:trHeight w:val="340" w:hRule="exac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喀什地区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780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480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300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340" w:hRule="exac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阿克苏地区</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450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300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r>
        <w:tblPrEx>
          <w:tblCellMar>
            <w:top w:w="0" w:type="dxa"/>
            <w:left w:w="108" w:type="dxa"/>
            <w:bottom w:w="0" w:type="dxa"/>
            <w:right w:w="108" w:type="dxa"/>
          </w:tblCellMar>
        </w:tblPrEx>
        <w:trPr>
          <w:trHeight w:val="340" w:hRule="exact"/>
          <w:jc w:val="center"/>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hAnsi="宋体" w:cs="宋体"/>
                <w:sz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b/>
                <w:bCs/>
                <w:sz w:val="20"/>
                <w:szCs w:val="20"/>
              </w:rPr>
            </w:pPr>
          </w:p>
        </w:tc>
        <w:tc>
          <w:tcPr>
            <w:tcW w:w="1448"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xml:space="preserve">塔城地区 </w:t>
            </w:r>
          </w:p>
        </w:tc>
        <w:tc>
          <w:tcPr>
            <w:tcW w:w="360"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700</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400</w:t>
            </w:r>
          </w:p>
        </w:tc>
        <w:tc>
          <w:tcPr>
            <w:tcW w:w="26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300</w:t>
            </w:r>
          </w:p>
        </w:tc>
        <w:tc>
          <w:tcPr>
            <w:tcW w:w="606"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407"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1"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359"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sz w:val="20"/>
                <w:szCs w:val="20"/>
              </w:rPr>
            </w:pPr>
            <w:r>
              <w:rPr>
                <w:rFonts w:hint="eastAsia" w:ascii="宋体" w:hAnsi="宋体" w:cs="宋体"/>
                <w:sz w:val="20"/>
                <w:szCs w:val="20"/>
              </w:rPr>
              <w:t>　</w:t>
            </w:r>
          </w:p>
        </w:tc>
        <w:tc>
          <w:tcPr>
            <w:tcW w:w="275" w:type="pct"/>
            <w:tcBorders>
              <w:top w:val="nil"/>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　</w:t>
            </w:r>
          </w:p>
        </w:tc>
      </w:tr>
    </w:tbl>
    <w:p>
      <w:pPr>
        <w:rPr>
          <w:rFonts w:hint="eastAsia" w:ascii="黑体" w:hAnsi="黑体" w:eastAsia="黑体"/>
          <w:sz w:val="32"/>
          <w:szCs w:val="32"/>
        </w:rPr>
      </w:pPr>
      <w:r>
        <w:rPr>
          <w:rFonts w:hint="eastAsia" w:ascii="黑体" w:hAnsi="黑体" w:eastAsia="黑体"/>
          <w:sz w:val="32"/>
          <w:szCs w:val="32"/>
        </w:rPr>
        <w:br w:type="page"/>
      </w:r>
    </w:p>
    <w:tbl>
      <w:tblPr>
        <w:tblStyle w:val="9"/>
        <w:tblpPr w:leftFromText="180" w:rightFromText="180" w:vertAnchor="text" w:horzAnchor="page" w:tblpX="1535" w:tblpY="12781"/>
        <w:tblOverlap w:val="never"/>
        <w:tblW w:w="8685"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68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0" w:firstLineChars="0"/>
              <w:jc w:val="center"/>
              <w:textAlignment w:val="auto"/>
              <w:rPr>
                <w:kern w:val="0"/>
              </w:rPr>
            </w:pPr>
            <w:r>
              <w:rPr>
                <w:rFonts w:hint="eastAsia" w:ascii="仿宋_GB2312" w:hAnsi="仿宋_GB2312" w:eastAsia="仿宋_GB2312" w:cs="仿宋_GB2312"/>
                <w:kern w:val="0"/>
                <w:sz w:val="28"/>
                <w:szCs w:val="28"/>
              </w:rPr>
              <w:t xml:space="preserve">常州市新北区春江街道党政办公室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202</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日印发</w:t>
            </w:r>
          </w:p>
        </w:tc>
      </w:tr>
    </w:tbl>
    <w:p>
      <w:pPr>
        <w:pStyle w:val="2"/>
        <w:rPr>
          <w:rFonts w:hint="eastAsia"/>
        </w:rPr>
      </w:pPr>
    </w:p>
    <w:sectPr>
      <w:pgSz w:w="11906" w:h="16838"/>
      <w:pgMar w:top="1701" w:right="1361" w:bottom="1701" w:left="1474"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rVWjrjAQAAvAMAAA4A&#10;AAAAAAAAAQAgAAAAHgEAAGRycy9lMm9Eb2MueG1sUEsFBgAAAAAGAAYAWQEAAHMFAAAAAA==&#10;">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AF0"/>
    <w:rsid w:val="00003356"/>
    <w:rsid w:val="00DB3AF0"/>
    <w:rsid w:val="0BA02172"/>
    <w:rsid w:val="0E296AC5"/>
    <w:rsid w:val="14543E63"/>
    <w:rsid w:val="226505A2"/>
    <w:rsid w:val="24DF454D"/>
    <w:rsid w:val="2920510B"/>
    <w:rsid w:val="2DB82A35"/>
    <w:rsid w:val="2E9674C0"/>
    <w:rsid w:val="346B2B32"/>
    <w:rsid w:val="34F824B8"/>
    <w:rsid w:val="3D024F18"/>
    <w:rsid w:val="4168528E"/>
    <w:rsid w:val="423073FA"/>
    <w:rsid w:val="6130289A"/>
    <w:rsid w:val="67B92E28"/>
    <w:rsid w:val="71B4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line="360" w:lineRule="auto"/>
      <w:ind w:firstLine="567"/>
    </w:pPr>
    <w:rPr>
      <w:rFonts w:ascii="Times New Roman" w:hAnsi="Times New Roman"/>
      <w:sz w:val="28"/>
      <w:szCs w:val="20"/>
    </w:rPr>
  </w:style>
  <w:style w:type="paragraph" w:styleId="4">
    <w:name w:val="Plain Text"/>
    <w:basedOn w:val="1"/>
    <w:link w:val="28"/>
    <w:qFormat/>
    <w:uiPriority w:val="0"/>
    <w:rPr>
      <w:rFonts w:ascii="宋体" w:hAnsi="Courier New" w:eastAsia="宋体"/>
    </w:rPr>
  </w:style>
  <w:style w:type="paragraph" w:styleId="5">
    <w:name w:val="Balloon Text"/>
    <w:basedOn w:val="1"/>
    <w:link w:val="30"/>
    <w:qFormat/>
    <w:uiPriority w:val="0"/>
    <w:rPr>
      <w:rFonts w:eastAsia="宋体"/>
      <w:sz w:val="18"/>
      <w:szCs w:val="18"/>
    </w:rPr>
  </w:style>
  <w:style w:type="paragraph" w:styleId="6">
    <w:name w:val="footer"/>
    <w:basedOn w:val="1"/>
    <w:link w:val="19"/>
    <w:qFormat/>
    <w:uiPriority w:val="0"/>
    <w:pPr>
      <w:tabs>
        <w:tab w:val="center" w:pos="4153"/>
        <w:tab w:val="right" w:pos="8306"/>
      </w:tabs>
      <w:snapToGrid w:val="0"/>
      <w:jc w:val="left"/>
    </w:pPr>
    <w:rPr>
      <w:rFonts w:ascii="Times New Roman" w:hAnsi="Times New Roman" w:eastAsia="Times New Roman" w:cs="Times New Roman"/>
      <w:color w:val="000000"/>
      <w:kern w:val="0"/>
      <w:sz w:val="18"/>
      <w:szCs w:val="24"/>
      <w:lang w:eastAsia="en-US" w:bidi="en-US"/>
    </w:rPr>
  </w:style>
  <w:style w:type="paragraph" w:styleId="7">
    <w:name w:val="header"/>
    <w:basedOn w:val="1"/>
    <w:link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Times New Roman" w:cs="Times New Roman"/>
      <w:color w:val="000000"/>
      <w:kern w:val="0"/>
      <w:sz w:val="18"/>
      <w:szCs w:val="24"/>
      <w:lang w:eastAsia="en-US" w:bidi="en-US"/>
    </w:rPr>
  </w:style>
  <w:style w:type="paragraph" w:styleId="8">
    <w:name w:val="Body Text 2"/>
    <w:basedOn w:val="1"/>
    <w:link w:val="26"/>
    <w:qFormat/>
    <w:uiPriority w:val="0"/>
    <w:pPr>
      <w:snapToGrid w:val="0"/>
      <w:spacing w:line="580" w:lineRule="atLeast"/>
      <w:ind w:firstLine="624"/>
    </w:pPr>
    <w:rPr>
      <w:rFonts w:ascii="仿宋_GB2312" w:eastAsia="仿宋_GB2312" w:cs="仿宋_GB2312"/>
      <w:spacing w:val="-5"/>
      <w:sz w:val="32"/>
      <w:szCs w:val="32"/>
    </w:rPr>
  </w:style>
  <w:style w:type="paragraph" w:customStyle="1" w:styleId="11">
    <w:name w:val="Heading #4|1"/>
    <w:basedOn w:val="1"/>
    <w:qFormat/>
    <w:uiPriority w:val="0"/>
    <w:pPr>
      <w:spacing w:line="537" w:lineRule="exact"/>
      <w:ind w:left="700"/>
      <w:jc w:val="left"/>
      <w:outlineLvl w:val="3"/>
    </w:pPr>
    <w:rPr>
      <w:rFonts w:ascii="宋体" w:hAnsi="宋体" w:eastAsia="宋体" w:cs="宋体"/>
      <w:b/>
      <w:bCs/>
      <w:color w:val="000000"/>
      <w:kern w:val="0"/>
      <w:sz w:val="28"/>
      <w:szCs w:val="28"/>
      <w:lang w:val="zh-TW" w:eastAsia="zh-TW" w:bidi="zh-TW"/>
    </w:rPr>
  </w:style>
  <w:style w:type="paragraph" w:customStyle="1" w:styleId="12">
    <w:name w:val="Body text|1"/>
    <w:basedOn w:val="1"/>
    <w:link w:val="15"/>
    <w:qFormat/>
    <w:uiPriority w:val="0"/>
    <w:pPr>
      <w:spacing w:line="391" w:lineRule="auto"/>
      <w:ind w:firstLine="400"/>
      <w:jc w:val="left"/>
    </w:pPr>
    <w:rPr>
      <w:rFonts w:ascii="宋体" w:hAnsi="宋体" w:eastAsia="宋体" w:cs="宋体"/>
      <w:color w:val="000000"/>
      <w:kern w:val="0"/>
      <w:sz w:val="28"/>
      <w:szCs w:val="28"/>
      <w:lang w:val="zh-TW" w:eastAsia="zh-TW" w:bidi="zh-TW"/>
    </w:rPr>
  </w:style>
  <w:style w:type="paragraph" w:customStyle="1" w:styleId="13">
    <w:name w:val="Table caption|1"/>
    <w:basedOn w:val="1"/>
    <w:qFormat/>
    <w:uiPriority w:val="0"/>
    <w:pPr>
      <w:spacing w:line="538" w:lineRule="exact"/>
      <w:jc w:val="left"/>
    </w:pPr>
    <w:rPr>
      <w:rFonts w:ascii="宋体" w:hAnsi="宋体" w:eastAsia="宋体" w:cs="宋体"/>
      <w:color w:val="000000"/>
      <w:kern w:val="0"/>
      <w:sz w:val="28"/>
      <w:szCs w:val="28"/>
      <w:lang w:val="zh-TW" w:eastAsia="zh-TW" w:bidi="zh-TW"/>
    </w:rPr>
  </w:style>
  <w:style w:type="paragraph" w:customStyle="1" w:styleId="14">
    <w:name w:val="Other|1"/>
    <w:basedOn w:val="1"/>
    <w:link w:val="16"/>
    <w:qFormat/>
    <w:uiPriority w:val="0"/>
    <w:pPr>
      <w:spacing w:line="391" w:lineRule="auto"/>
      <w:ind w:firstLine="400"/>
      <w:jc w:val="left"/>
    </w:pPr>
    <w:rPr>
      <w:rFonts w:ascii="宋体" w:hAnsi="宋体" w:eastAsia="宋体" w:cs="宋体"/>
      <w:color w:val="000000"/>
      <w:kern w:val="0"/>
      <w:sz w:val="28"/>
      <w:szCs w:val="28"/>
      <w:lang w:val="zh-TW" w:eastAsia="zh-TW" w:bidi="zh-TW"/>
    </w:rPr>
  </w:style>
  <w:style w:type="character" w:customStyle="1" w:styleId="15">
    <w:name w:val="Body text|1_"/>
    <w:basedOn w:val="10"/>
    <w:link w:val="12"/>
    <w:qFormat/>
    <w:uiPriority w:val="0"/>
    <w:rPr>
      <w:rFonts w:ascii="宋体" w:hAnsi="宋体" w:eastAsia="宋体" w:cs="宋体"/>
      <w:color w:val="000000"/>
      <w:kern w:val="0"/>
      <w:sz w:val="28"/>
      <w:szCs w:val="28"/>
      <w:lang w:val="zh-TW" w:eastAsia="zh-TW" w:bidi="zh-TW"/>
    </w:rPr>
  </w:style>
  <w:style w:type="character" w:customStyle="1" w:styleId="16">
    <w:name w:val="Other|1_"/>
    <w:basedOn w:val="10"/>
    <w:link w:val="14"/>
    <w:qFormat/>
    <w:uiPriority w:val="0"/>
    <w:rPr>
      <w:rFonts w:ascii="宋体" w:hAnsi="宋体" w:eastAsia="宋体" w:cs="宋体"/>
      <w:color w:val="000000"/>
      <w:kern w:val="0"/>
      <w:sz w:val="28"/>
      <w:szCs w:val="28"/>
      <w:lang w:val="zh-TW" w:eastAsia="zh-TW" w:bidi="zh-TW"/>
    </w:rPr>
  </w:style>
  <w:style w:type="paragraph" w:customStyle="1" w:styleId="17">
    <w:name w:val="Heading #3|1"/>
    <w:basedOn w:val="1"/>
    <w:link w:val="18"/>
    <w:qFormat/>
    <w:uiPriority w:val="0"/>
    <w:pPr>
      <w:spacing w:after="480" w:line="588" w:lineRule="exact"/>
      <w:jc w:val="center"/>
      <w:outlineLvl w:val="2"/>
    </w:pPr>
    <w:rPr>
      <w:rFonts w:ascii="宋体" w:hAnsi="宋体" w:eastAsia="宋体" w:cs="宋体"/>
      <w:color w:val="000000"/>
      <w:kern w:val="0"/>
      <w:sz w:val="42"/>
      <w:szCs w:val="42"/>
      <w:lang w:val="zh-TW" w:eastAsia="zh-TW" w:bidi="zh-TW"/>
    </w:rPr>
  </w:style>
  <w:style w:type="character" w:customStyle="1" w:styleId="18">
    <w:name w:val="Heading #3|1_"/>
    <w:basedOn w:val="10"/>
    <w:link w:val="17"/>
    <w:qFormat/>
    <w:uiPriority w:val="0"/>
    <w:rPr>
      <w:rFonts w:ascii="宋体" w:hAnsi="宋体" w:eastAsia="宋体" w:cs="宋体"/>
      <w:color w:val="000000"/>
      <w:kern w:val="0"/>
      <w:sz w:val="42"/>
      <w:szCs w:val="42"/>
      <w:lang w:val="zh-TW" w:eastAsia="zh-TW" w:bidi="zh-TW"/>
    </w:rPr>
  </w:style>
  <w:style w:type="character" w:customStyle="1" w:styleId="19">
    <w:name w:val="页脚 Char"/>
    <w:basedOn w:val="10"/>
    <w:link w:val="6"/>
    <w:qFormat/>
    <w:uiPriority w:val="0"/>
    <w:rPr>
      <w:rFonts w:ascii="Times New Roman" w:hAnsi="Times New Roman" w:eastAsia="Times New Roman" w:cs="Times New Roman"/>
      <w:color w:val="000000"/>
      <w:kern w:val="0"/>
      <w:sz w:val="18"/>
      <w:szCs w:val="24"/>
      <w:lang w:eastAsia="en-US" w:bidi="en-US"/>
    </w:rPr>
  </w:style>
  <w:style w:type="character" w:customStyle="1" w:styleId="20">
    <w:name w:val="页眉 Char"/>
    <w:basedOn w:val="10"/>
    <w:link w:val="7"/>
    <w:qFormat/>
    <w:uiPriority w:val="0"/>
    <w:rPr>
      <w:rFonts w:ascii="Times New Roman" w:hAnsi="Times New Roman" w:eastAsia="Times New Roman" w:cs="Times New Roman"/>
      <w:color w:val="000000"/>
      <w:kern w:val="0"/>
      <w:sz w:val="18"/>
      <w:szCs w:val="24"/>
      <w:lang w:eastAsia="en-US" w:bidi="en-US"/>
    </w:rPr>
  </w:style>
  <w:style w:type="paragraph" w:customStyle="1" w:styleId="21">
    <w:name w:val="Body text|2"/>
    <w:basedOn w:val="1"/>
    <w:qFormat/>
    <w:uiPriority w:val="0"/>
    <w:pPr>
      <w:spacing w:line="397" w:lineRule="exact"/>
      <w:ind w:left="1320" w:firstLine="20"/>
      <w:jc w:val="left"/>
    </w:pPr>
    <w:rPr>
      <w:rFonts w:ascii="宋体" w:hAnsi="宋体" w:eastAsia="宋体" w:cs="宋体"/>
      <w:color w:val="000000"/>
      <w:kern w:val="0"/>
      <w:sz w:val="24"/>
      <w:szCs w:val="24"/>
      <w:lang w:val="zh-TW" w:eastAsia="zh-TW" w:bidi="zh-TW"/>
    </w:rPr>
  </w:style>
  <w:style w:type="paragraph" w:customStyle="1" w:styleId="22">
    <w:name w:val="Other|2"/>
    <w:basedOn w:val="1"/>
    <w:qFormat/>
    <w:uiPriority w:val="0"/>
    <w:pPr>
      <w:jc w:val="left"/>
    </w:pPr>
    <w:rPr>
      <w:rFonts w:ascii="宋体" w:hAnsi="宋体" w:eastAsia="宋体" w:cs="宋体"/>
      <w:color w:val="000000"/>
      <w:kern w:val="0"/>
      <w:sz w:val="18"/>
      <w:szCs w:val="18"/>
      <w:lang w:val="zh-TW" w:eastAsia="zh-TW" w:bidi="zh-TW"/>
    </w:rPr>
  </w:style>
  <w:style w:type="paragraph" w:customStyle="1" w:styleId="23">
    <w:name w:val="Header or footer|2"/>
    <w:basedOn w:val="1"/>
    <w:qFormat/>
    <w:uiPriority w:val="0"/>
    <w:pPr>
      <w:jc w:val="left"/>
    </w:pPr>
    <w:rPr>
      <w:rFonts w:ascii="Times New Roman" w:hAnsi="Times New Roman" w:eastAsia="Times New Roman" w:cs="Times New Roman"/>
      <w:color w:val="000000"/>
      <w:kern w:val="0"/>
      <w:sz w:val="20"/>
      <w:szCs w:val="20"/>
      <w:lang w:val="zh-TW" w:eastAsia="zh-TW" w:bidi="zh-TW"/>
    </w:rPr>
  </w:style>
  <w:style w:type="paragraph" w:customStyle="1" w:styleId="24">
    <w:name w:val="Header or footer|1"/>
    <w:basedOn w:val="1"/>
    <w:link w:val="31"/>
    <w:qFormat/>
    <w:uiPriority w:val="0"/>
    <w:pPr>
      <w:jc w:val="left"/>
    </w:pPr>
    <w:rPr>
      <w:rFonts w:ascii="宋体" w:hAnsi="宋体" w:eastAsia="宋体" w:cs="宋体"/>
      <w:color w:val="000000"/>
      <w:kern w:val="0"/>
      <w:sz w:val="28"/>
      <w:szCs w:val="28"/>
      <w:lang w:val="zh-TW" w:eastAsia="zh-TW" w:bidi="zh-TW"/>
    </w:rPr>
  </w:style>
  <w:style w:type="character" w:customStyle="1" w:styleId="25">
    <w:name w:val="正文文本 2 Char"/>
    <w:basedOn w:val="10"/>
    <w:link w:val="8"/>
    <w:qFormat/>
    <w:uiPriority w:val="0"/>
    <w:rPr>
      <w:rFonts w:ascii="仿宋_GB2312" w:eastAsia="仿宋_GB2312" w:cs="仿宋_GB2312"/>
      <w:spacing w:val="-5"/>
      <w:sz w:val="32"/>
      <w:szCs w:val="32"/>
    </w:rPr>
  </w:style>
  <w:style w:type="character" w:customStyle="1" w:styleId="26">
    <w:name w:val="正文文本 2 Char1"/>
    <w:basedOn w:val="10"/>
    <w:link w:val="8"/>
    <w:qFormat/>
    <w:uiPriority w:val="0"/>
  </w:style>
  <w:style w:type="character" w:customStyle="1" w:styleId="27">
    <w:name w:val="纯文本 Char"/>
    <w:basedOn w:val="10"/>
    <w:link w:val="4"/>
    <w:qFormat/>
    <w:uiPriority w:val="0"/>
    <w:rPr>
      <w:rFonts w:ascii="宋体" w:hAnsi="Courier New" w:eastAsia="宋体"/>
    </w:rPr>
  </w:style>
  <w:style w:type="character" w:customStyle="1" w:styleId="28">
    <w:name w:val="纯文本 Char1"/>
    <w:basedOn w:val="10"/>
    <w:link w:val="4"/>
    <w:semiHidden/>
    <w:qFormat/>
    <w:uiPriority w:val="99"/>
    <w:rPr>
      <w:rFonts w:ascii="宋体" w:hAnsi="Courier New" w:eastAsia="宋体" w:cs="Courier New"/>
      <w:szCs w:val="21"/>
    </w:rPr>
  </w:style>
  <w:style w:type="character" w:customStyle="1" w:styleId="29">
    <w:name w:val="批注框文本 Char"/>
    <w:basedOn w:val="10"/>
    <w:link w:val="5"/>
    <w:qFormat/>
    <w:uiPriority w:val="0"/>
    <w:rPr>
      <w:rFonts w:eastAsia="宋体"/>
      <w:sz w:val="18"/>
      <w:szCs w:val="18"/>
    </w:rPr>
  </w:style>
  <w:style w:type="character" w:customStyle="1" w:styleId="30">
    <w:name w:val="批注框文本 Char1"/>
    <w:basedOn w:val="10"/>
    <w:link w:val="5"/>
    <w:semiHidden/>
    <w:qFormat/>
    <w:uiPriority w:val="99"/>
    <w:rPr>
      <w:sz w:val="18"/>
      <w:szCs w:val="18"/>
    </w:rPr>
  </w:style>
  <w:style w:type="character" w:customStyle="1" w:styleId="31">
    <w:name w:val="Header or footer|1_"/>
    <w:basedOn w:val="10"/>
    <w:link w:val="24"/>
    <w:qFormat/>
    <w:uiPriority w:val="0"/>
    <w:rPr>
      <w:rFonts w:ascii="宋体" w:hAnsi="宋体" w:eastAsia="宋体" w:cs="宋体"/>
      <w:color w:val="000000"/>
      <w:kern w:val="0"/>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1150</Words>
  <Characters>6555</Characters>
  <Lines>54</Lines>
  <Paragraphs>15</Paragraphs>
  <TotalTime>1</TotalTime>
  <ScaleCrop>false</ScaleCrop>
  <LinksUpToDate>false</LinksUpToDate>
  <CharactersWithSpaces>7690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2020-08-26T01:20:00Z</dcterms:created>
  <dc:creator>PC</dc:creator>
  <cp:lastModifiedBy>常州市新北区春江街道</cp:lastModifiedBy>
  <cp:lastPrinted>2020-08-26T06:56:00Z</cp:lastPrinted>
  <dcterms:modified xsi:type="dcterms:W3CDTF">2021-07-07T02:43:21Z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EFE377A520D04CD9AA54A995775DAF2A</vt:lpwstr>
  </property>
</Properties>
</file>