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安全生产领域政务公开事项目录</w:t>
      </w:r>
    </w:p>
    <w:p>
      <w:pPr>
        <w:spacing w:line="560" w:lineRule="exact"/>
        <w:jc w:val="center"/>
        <w:rPr>
          <w:rFonts w:hint="eastAsia" w:ascii="方正小标宋简体" w:eastAsia="方正小标宋简体"/>
          <w:sz w:val="44"/>
          <w:szCs w:val="44"/>
        </w:rPr>
      </w:pPr>
    </w:p>
    <w:tbl>
      <w:tblPr>
        <w:tblStyle w:val="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61"/>
        <w:gridCol w:w="801"/>
        <w:gridCol w:w="510"/>
        <w:gridCol w:w="1796"/>
        <w:gridCol w:w="789"/>
        <w:gridCol w:w="1233"/>
        <w:gridCol w:w="802"/>
        <w:gridCol w:w="870"/>
        <w:gridCol w:w="802"/>
        <w:gridCol w:w="802"/>
        <w:gridCol w:w="577"/>
        <w:gridCol w:w="936"/>
        <w:gridCol w:w="870"/>
        <w:gridCol w:w="904"/>
        <w:gridCol w:w="802"/>
        <w:gridCol w:w="802"/>
        <w:gridCol w:w="802"/>
        <w:gridCol w:w="802"/>
        <w:gridCol w:w="802"/>
        <w:gridCol w:w="802"/>
        <w:gridCol w:w="870"/>
        <w:gridCol w:w="802"/>
        <w:gridCol w:w="972"/>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6801" w:type="dxa"/>
            <w:gridSpan w:val="7"/>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3117"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9230"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1385"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6801" w:type="dxa"/>
            <w:gridSpan w:val="7"/>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3117"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774"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7456"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51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179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789"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tc>
        <w:tc>
          <w:tcPr>
            <w:tcW w:w="1233"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577"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93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90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3208"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FF0000"/>
                <w:kern w:val="0"/>
                <w:sz w:val="20"/>
                <w:szCs w:val="20"/>
              </w:rPr>
            </w:pPr>
            <w:r>
              <w:rPr>
                <w:rFonts w:ascii="Times New Roman" w:hAnsi="黑体" w:eastAsia="黑体" w:cs="Times New Roman"/>
                <w:color w:val="000000"/>
                <w:kern w:val="0"/>
                <w:sz w:val="20"/>
                <w:szCs w:val="20"/>
              </w:rPr>
              <w:t>公开主体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97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79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89"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233"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77"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3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0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49" w:hRule="atLeast"/>
          <w:jc w:val="center"/>
        </w:trPr>
        <w:tc>
          <w:tcPr>
            <w:tcW w:w="661" w:type="dxa"/>
            <w:vMerge w:val="restart"/>
            <w:shd w:val="clear" w:color="auto" w:fill="auto"/>
            <w:noWrap/>
            <w:vAlign w:val="center"/>
          </w:tcPr>
          <w:p>
            <w:pPr>
              <w:widowControl/>
              <w:ind w:left="-85" w:right="-85"/>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1</w:t>
            </w:r>
          </w:p>
        </w:tc>
        <w:tc>
          <w:tcPr>
            <w:tcW w:w="80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公共服务政务公开事项</w:t>
            </w:r>
          </w:p>
        </w:tc>
        <w:tc>
          <w:tcPr>
            <w:tcW w:w="510" w:type="dxa"/>
            <w:vMerge w:val="restart"/>
            <w:shd w:val="clear" w:color="auto" w:fill="auto"/>
            <w:vAlign w:val="center"/>
          </w:tcPr>
          <w:p>
            <w:pPr>
              <w:jc w:val="center"/>
              <w:rPr>
                <w:rFonts w:hint="eastAsia" w:ascii="宋体" w:hAnsi="宋体" w:eastAsia="宋体" w:cs="宋体"/>
                <w:color w:val="000000"/>
                <w:kern w:val="0"/>
                <w:sz w:val="18"/>
                <w:szCs w:val="18"/>
              </w:rPr>
            </w:pPr>
          </w:p>
        </w:tc>
        <w:tc>
          <w:tcPr>
            <w:tcW w:w="1796"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安全生产宣传</w:t>
            </w:r>
          </w:p>
        </w:tc>
        <w:tc>
          <w:tcPr>
            <w:tcW w:w="789" w:type="dxa"/>
            <w:vMerge w:val="restart"/>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1233"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《中华人民共和国安全生产法》第十一条 各级人民政府及其有关部门应当采取多种形式，加强对有关安全生产的法律、法规和安全生产知识的宣传，增强全社会的安全生产意识</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870"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承诺时限：30个工作日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安全生产知识</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8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both"/>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both"/>
              <w:rPr>
                <w:rFonts w:hint="eastAsia" w:ascii="宋体" w:hAnsi="宋体" w:eastAsia="宋体" w:cs="宋体"/>
                <w:color w:val="000000"/>
                <w:kern w:val="0"/>
                <w:sz w:val="18"/>
                <w:szCs w:val="18"/>
              </w:rPr>
            </w:pP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咨询申请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66"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both"/>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both"/>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资讯答复</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restart"/>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01"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公共服务政务公开事项</w:t>
            </w:r>
          </w:p>
        </w:tc>
        <w:tc>
          <w:tcPr>
            <w:tcW w:w="510" w:type="dxa"/>
            <w:vMerge w:val="restart"/>
            <w:vAlign w:val="center"/>
          </w:tcPr>
          <w:p>
            <w:pPr>
              <w:jc w:val="center"/>
              <w:rPr>
                <w:rFonts w:hint="eastAsia" w:ascii="宋体" w:hAnsi="宋体" w:eastAsia="宋体" w:cs="宋体"/>
                <w:color w:val="000000"/>
                <w:kern w:val="0"/>
                <w:sz w:val="18"/>
                <w:szCs w:val="18"/>
              </w:rPr>
            </w:pPr>
          </w:p>
        </w:tc>
        <w:tc>
          <w:tcPr>
            <w:tcW w:w="1796"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组织指导生产安全事故应急演练</w:t>
            </w:r>
          </w:p>
        </w:tc>
        <w:tc>
          <w:tcPr>
            <w:tcW w:w="789" w:type="dxa"/>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1233" w:type="dxa"/>
            <w:vMerge w:val="restart"/>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《中华人民共和国安全生产法》 第七十六条 国家加强生产安全事故应急能力建设，在重点行业、领域建立应急救援基地和应急救援队伍，鼓励生产经营单位和其他社会力量建立应急救援队伍，配备相应的应急救援装备和物资，提高应急救援的专业化水平</w:t>
            </w:r>
          </w:p>
        </w:tc>
        <w:tc>
          <w:tcPr>
            <w:tcW w:w="802"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870" w:type="dxa"/>
            <w:vMerge w:val="restart"/>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承诺时限：30个工作日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应急预案演练计划、过程、总结</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Merge w:val="continue"/>
            <w:shd w:val="clear" w:color="auto" w:fill="auto"/>
            <w:noWrap/>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10"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1796"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789" w:type="dxa"/>
            <w:vMerge w:val="restart"/>
            <w:shd w:val="clear" w:color="auto" w:fill="auto"/>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1233" w:type="dxa"/>
            <w:vMerge w:val="continue"/>
            <w:shd w:val="clear" w:color="auto" w:fill="auto"/>
            <w:vAlign w:val="center"/>
          </w:tcPr>
          <w:p>
            <w:pPr>
              <w:jc w:val="both"/>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70" w:type="dxa"/>
            <w:vMerge w:val="continue"/>
            <w:shd w:val="clear" w:color="auto" w:fill="auto"/>
            <w:vAlign w:val="center"/>
          </w:tcPr>
          <w:p>
            <w:pPr>
              <w:jc w:val="both"/>
              <w:rPr>
                <w:rFonts w:hint="eastAsia" w:ascii="宋体" w:hAnsi="宋体" w:eastAsia="宋体" w:cs="宋体"/>
                <w:color w:val="000000"/>
                <w:kern w:val="0"/>
                <w:sz w:val="18"/>
                <w:szCs w:val="18"/>
              </w:rPr>
            </w:pP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咨询申请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both"/>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both"/>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资讯答复</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3" w:hRule="atLeast"/>
          <w:jc w:val="center"/>
        </w:trPr>
        <w:tc>
          <w:tcPr>
            <w:tcW w:w="661" w:type="dxa"/>
            <w:vMerge w:val="restart"/>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01"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公共服务政务公开事项</w:t>
            </w:r>
          </w:p>
        </w:tc>
        <w:tc>
          <w:tcPr>
            <w:tcW w:w="510" w:type="dxa"/>
            <w:vMerge w:val="restart"/>
            <w:vAlign w:val="center"/>
          </w:tcPr>
          <w:p>
            <w:pPr>
              <w:jc w:val="center"/>
              <w:rPr>
                <w:rFonts w:hint="eastAsia" w:ascii="宋体" w:hAnsi="宋体" w:eastAsia="宋体" w:cs="宋体"/>
                <w:color w:val="000000"/>
                <w:kern w:val="0"/>
                <w:sz w:val="18"/>
                <w:szCs w:val="18"/>
              </w:rPr>
            </w:pPr>
          </w:p>
        </w:tc>
        <w:tc>
          <w:tcPr>
            <w:tcW w:w="1796"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中介服务</w:t>
            </w:r>
          </w:p>
        </w:tc>
        <w:tc>
          <w:tcPr>
            <w:tcW w:w="789" w:type="dxa"/>
            <w:vMerge w:val="restart"/>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123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《中共江苏省委、江苏省人民政府关于推进安全生产领域改革发展的的实施意见》 （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由第三方实施的信用评定制度，严肃查处租借资质、违法挂靠、弄虚作假、垄断收费等各类违法违规行为</w:t>
            </w:r>
          </w:p>
        </w:tc>
        <w:tc>
          <w:tcPr>
            <w:tcW w:w="802" w:type="dxa"/>
            <w:vMerge w:val="restart"/>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870" w:type="dxa"/>
            <w:vMerge w:val="restart"/>
            <w:vAlign w:val="center"/>
          </w:tcPr>
          <w:p>
            <w:pPr>
              <w:keepNext w:val="0"/>
              <w:keepLines w:val="0"/>
              <w:widowControl/>
              <w:suppressLineNumbers w:val="0"/>
              <w:jc w:val="both"/>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承诺时限：30个工作日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中介服务清单</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Merge w:val="continue"/>
            <w:vAlign w:val="center"/>
          </w:tcPr>
          <w:p>
            <w:pPr>
              <w:jc w:val="center"/>
              <w:rPr>
                <w:rFonts w:hint="eastAsia" w:ascii="宋体" w:hAnsi="宋体" w:eastAsia="宋体" w:cs="宋体"/>
                <w:color w:val="000000"/>
                <w:kern w:val="0"/>
                <w:sz w:val="18"/>
                <w:szCs w:val="18"/>
              </w:rPr>
            </w:pPr>
          </w:p>
        </w:tc>
        <w:tc>
          <w:tcPr>
            <w:tcW w:w="1233" w:type="dxa"/>
            <w:vMerge w:val="continue"/>
            <w:vAlign w:val="center"/>
          </w:tcPr>
          <w:p>
            <w:pPr>
              <w:jc w:val="center"/>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center"/>
              <w:rPr>
                <w:rFonts w:hint="eastAsia" w:ascii="宋体" w:hAnsi="宋体" w:eastAsia="宋体" w:cs="宋体"/>
                <w:color w:val="000000"/>
                <w:kern w:val="0"/>
                <w:sz w:val="18"/>
                <w:szCs w:val="18"/>
              </w:rPr>
            </w:pP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w:t>
            </w:r>
          </w:p>
        </w:tc>
        <w:tc>
          <w:tcPr>
            <w:tcW w:w="802"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西夏墅镇综合行政执法局工作人员</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咨询申请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vMerge w:val="continue"/>
            <w:vAlign w:val="center"/>
          </w:tcPr>
          <w:p>
            <w:pPr>
              <w:widowControl/>
              <w:ind w:left="-85" w:right="-85"/>
              <w:jc w:val="center"/>
              <w:rPr>
                <w:rFonts w:hint="eastAsia" w:ascii="宋体" w:hAnsi="宋体" w:eastAsia="宋体" w:cs="宋体"/>
                <w:color w:val="000000"/>
                <w:kern w:val="0"/>
                <w:sz w:val="18"/>
                <w:szCs w:val="18"/>
              </w:rPr>
            </w:pPr>
          </w:p>
        </w:tc>
        <w:tc>
          <w:tcPr>
            <w:tcW w:w="801" w:type="dxa"/>
            <w:vMerge w:val="continue"/>
            <w:vAlign w:val="center"/>
          </w:tcPr>
          <w:p>
            <w:pPr>
              <w:jc w:val="center"/>
              <w:rPr>
                <w:rFonts w:hint="eastAsia" w:ascii="宋体" w:hAnsi="宋体" w:eastAsia="宋体" w:cs="宋体"/>
                <w:color w:val="000000"/>
                <w:kern w:val="0"/>
                <w:sz w:val="18"/>
                <w:szCs w:val="18"/>
              </w:rPr>
            </w:pPr>
          </w:p>
        </w:tc>
        <w:tc>
          <w:tcPr>
            <w:tcW w:w="510" w:type="dxa"/>
            <w:vMerge w:val="continue"/>
            <w:vAlign w:val="center"/>
          </w:tcPr>
          <w:p>
            <w:pPr>
              <w:jc w:val="center"/>
              <w:rPr>
                <w:rFonts w:hint="eastAsia" w:ascii="宋体" w:hAnsi="宋体" w:eastAsia="宋体" w:cs="宋体"/>
                <w:color w:val="000000"/>
                <w:kern w:val="0"/>
                <w:sz w:val="18"/>
                <w:szCs w:val="18"/>
              </w:rPr>
            </w:pPr>
          </w:p>
        </w:tc>
        <w:tc>
          <w:tcPr>
            <w:tcW w:w="1796" w:type="dxa"/>
            <w:vMerge w:val="continue"/>
            <w:vAlign w:val="center"/>
          </w:tcPr>
          <w:p>
            <w:pPr>
              <w:jc w:val="center"/>
              <w:rPr>
                <w:rFonts w:hint="eastAsia" w:ascii="宋体" w:hAnsi="宋体" w:eastAsia="宋体" w:cs="宋体"/>
                <w:color w:val="000000"/>
                <w:kern w:val="0"/>
                <w:sz w:val="18"/>
                <w:szCs w:val="18"/>
              </w:rPr>
            </w:pPr>
          </w:p>
        </w:tc>
        <w:tc>
          <w:tcPr>
            <w:tcW w:w="789" w:type="dxa"/>
            <w:vAlign w:val="center"/>
          </w:tcPr>
          <w:p>
            <w:pPr>
              <w:jc w:val="center"/>
              <w:rPr>
                <w:rFonts w:hint="eastAsia" w:ascii="宋体" w:hAnsi="宋体" w:eastAsia="宋体" w:cs="宋体"/>
                <w:color w:val="000000"/>
                <w:kern w:val="0"/>
                <w:sz w:val="18"/>
                <w:szCs w:val="18"/>
                <w:lang w:eastAsia="zh-CN"/>
              </w:rPr>
            </w:pPr>
            <w:r>
              <w:rPr>
                <w:rFonts w:hint="eastAsia" w:ascii="宋体" w:hAnsi="宋体" w:eastAsia="宋体" w:cs="宋体"/>
                <w:i w:val="0"/>
                <w:iCs w:val="0"/>
                <w:color w:val="000000"/>
                <w:kern w:val="0"/>
                <w:sz w:val="18"/>
                <w:szCs w:val="18"/>
                <w:u w:val="none"/>
                <w:lang w:val="en-US" w:eastAsia="zh-CN" w:bidi="ar"/>
              </w:rPr>
              <w:t>西夏墅镇综合行政执法局</w:t>
            </w:r>
          </w:p>
        </w:tc>
        <w:tc>
          <w:tcPr>
            <w:tcW w:w="1233" w:type="dxa"/>
            <w:vMerge w:val="continue"/>
            <w:vAlign w:val="center"/>
          </w:tcPr>
          <w:p>
            <w:pPr>
              <w:jc w:val="center"/>
              <w:rPr>
                <w:rFonts w:hint="eastAsia" w:ascii="宋体" w:hAnsi="宋体" w:eastAsia="宋体" w:cs="宋体"/>
                <w:color w:val="000000"/>
                <w:kern w:val="0"/>
                <w:sz w:val="18"/>
                <w:szCs w:val="18"/>
              </w:rPr>
            </w:pPr>
          </w:p>
        </w:tc>
        <w:tc>
          <w:tcPr>
            <w:tcW w:w="802" w:type="dxa"/>
            <w:vMerge w:val="continue"/>
            <w:vAlign w:val="center"/>
          </w:tcPr>
          <w:p>
            <w:pPr>
              <w:jc w:val="center"/>
              <w:rPr>
                <w:rFonts w:hint="eastAsia" w:ascii="宋体" w:hAnsi="宋体" w:eastAsia="宋体" w:cs="宋体"/>
                <w:color w:val="000000"/>
                <w:kern w:val="0"/>
                <w:sz w:val="18"/>
                <w:szCs w:val="18"/>
              </w:rPr>
            </w:pPr>
          </w:p>
        </w:tc>
        <w:tc>
          <w:tcPr>
            <w:tcW w:w="870" w:type="dxa"/>
            <w:vMerge w:val="continue"/>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802" w:type="dxa"/>
            <w:vMerge w:val="continue"/>
            <w:shd w:val="clear" w:color="auto" w:fill="auto"/>
            <w:vAlign w:val="center"/>
          </w:tcPr>
          <w:p>
            <w:pPr>
              <w:jc w:val="center"/>
              <w:rPr>
                <w:rFonts w:hint="eastAsia" w:ascii="宋体" w:hAnsi="宋体" w:eastAsia="宋体" w:cs="宋体"/>
                <w:color w:val="000000"/>
                <w:kern w:val="0"/>
                <w:sz w:val="18"/>
                <w:szCs w:val="18"/>
              </w:rPr>
            </w:pP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资讯答复</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状态信息、简易字段、部分内容要素及剩余办结时间</w:t>
            </w:r>
          </w:p>
        </w:tc>
        <w:tc>
          <w:tcPr>
            <w:tcW w:w="904"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门户网站、微信公众号</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西夏墅镇人民政府</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法定时限：无明确法定时限</w:t>
            </w:r>
            <w:bookmarkStart w:id="0" w:name="_GoBack"/>
            <w:bookmarkEnd w:id="0"/>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承诺时限：即办</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1.政务服务网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区政府门户网站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3.微信公众号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4.短信</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12345</w:t>
            </w:r>
          </w:p>
        </w:tc>
      </w:tr>
    </w:tbl>
    <w:p>
      <w:pPr>
        <w:jc w:val="center"/>
        <w:rPr>
          <w:rFonts w:hint="eastAsia" w:ascii="宋体" w:hAnsi="宋体" w:eastAsia="宋体" w:cs="宋体"/>
          <w:sz w:val="18"/>
          <w:szCs w:val="18"/>
        </w:rPr>
      </w:pPr>
    </w:p>
    <w:sectPr>
      <w:headerReference r:id="rId3" w:type="default"/>
      <w:footerReference r:id="rId5" w:type="default"/>
      <w:headerReference r:id="rId4" w:type="even"/>
      <w:pgSz w:w="23814" w:h="16840" w:orient="landscape"/>
      <w:pgMar w:top="1418" w:right="1418" w:bottom="1418" w:left="1418"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557EE6-8FCE-4838-8A9F-EF0B94A69E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CF4BEEC1-0EF7-4720-B62A-1A410A78B222}"/>
  </w:font>
  <w:font w:name="方正黑体_GBK">
    <w:altName w:val="微软雅黑"/>
    <w:panose1 w:val="00000000000000000000"/>
    <w:charset w:val="86"/>
    <w:family w:val="script"/>
    <w:pitch w:val="default"/>
    <w:sig w:usb0="00000000" w:usb1="00000000" w:usb2="00000010" w:usb3="00000000" w:csb0="00040000" w:csb1="00000000"/>
    <w:embedRegular r:id="rId3" w:fontKey="{41D4E3E9-2802-48E9-971D-6784EC434A1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591"/>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C1"/>
    <w:rsid w:val="00002824"/>
    <w:rsid w:val="000676C1"/>
    <w:rsid w:val="000C6655"/>
    <w:rsid w:val="000F1C5D"/>
    <w:rsid w:val="0012459D"/>
    <w:rsid w:val="00143831"/>
    <w:rsid w:val="001720E7"/>
    <w:rsid w:val="002F3F05"/>
    <w:rsid w:val="00304CBB"/>
    <w:rsid w:val="00312C79"/>
    <w:rsid w:val="003B223D"/>
    <w:rsid w:val="00410F84"/>
    <w:rsid w:val="005841B4"/>
    <w:rsid w:val="00650959"/>
    <w:rsid w:val="00666DAC"/>
    <w:rsid w:val="006A31E3"/>
    <w:rsid w:val="00733900"/>
    <w:rsid w:val="007401F1"/>
    <w:rsid w:val="007C1A1A"/>
    <w:rsid w:val="007D04F2"/>
    <w:rsid w:val="0083575C"/>
    <w:rsid w:val="0092329E"/>
    <w:rsid w:val="009B366C"/>
    <w:rsid w:val="009B6DFF"/>
    <w:rsid w:val="009F1078"/>
    <w:rsid w:val="00A12709"/>
    <w:rsid w:val="00A8781A"/>
    <w:rsid w:val="00BC7D2D"/>
    <w:rsid w:val="00C00881"/>
    <w:rsid w:val="00C22E60"/>
    <w:rsid w:val="00C324A8"/>
    <w:rsid w:val="00C710D2"/>
    <w:rsid w:val="00CE4CD3"/>
    <w:rsid w:val="00DA26F4"/>
    <w:rsid w:val="047F5E3C"/>
    <w:rsid w:val="136F629D"/>
    <w:rsid w:val="213C3428"/>
    <w:rsid w:val="25B74A32"/>
    <w:rsid w:val="291B6881"/>
    <w:rsid w:val="3CC92BAE"/>
    <w:rsid w:val="3EAA29E8"/>
    <w:rsid w:val="579B2C23"/>
    <w:rsid w:val="679045E6"/>
    <w:rsid w:val="70752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font3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Times New Roman" w:hAnsi="Times New Roman" w:cs="Times New Roman"/>
      <w:color w:val="000000"/>
      <w:sz w:val="20"/>
      <w:szCs w:val="20"/>
      <w:u w:val="none"/>
    </w:rPr>
  </w:style>
  <w:style w:type="character" w:customStyle="1" w:styleId="10">
    <w:name w:val="font11"/>
    <w:basedOn w:val="5"/>
    <w:qFormat/>
    <w:uiPriority w:val="0"/>
    <w:rPr>
      <w:rFonts w:hint="eastAsia" w:ascii="宋体" w:hAnsi="宋体" w:eastAsia="宋体" w:cs="宋体"/>
      <w:color w:val="000000"/>
      <w:sz w:val="18"/>
      <w:szCs w:val="18"/>
      <w:u w:val="none"/>
    </w:rPr>
  </w:style>
  <w:style w:type="character" w:customStyle="1" w:styleId="11">
    <w:name w:val="font5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E40A3-D517-4057-AEA5-F8A9738C8CA0}">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1049</Characters>
  <Lines>8</Lines>
  <Paragraphs>2</Paragraphs>
  <TotalTime>4</TotalTime>
  <ScaleCrop>false</ScaleCrop>
  <LinksUpToDate>false</LinksUpToDate>
  <CharactersWithSpaces>1230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2020-08-26T01:50:00Z</dcterms:created>
  <dc:creator>张志毅</dc:creator>
  <cp:lastModifiedBy>w j x</cp:lastModifiedBy>
  <cp:lastPrinted>2020-08-26T05:09:00Z</cp:lastPrinted>
  <dcterms:modified xsi:type="dcterms:W3CDTF">2021-10-08T00:49:46Z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CA4B2E817094462392C6610D4814330F</vt:lpwstr>
  </property>
</Properties>
</file>