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left"/>
        <w:rPr>
          <w:rFonts w:ascii="方正小标宋简体"/>
          <w:spacing w:val="28"/>
          <w:w w:val="34"/>
          <w:kern w:val="0"/>
          <w:sz w:val="110"/>
          <w:szCs w:val="110"/>
        </w:rPr>
      </w:pPr>
      <w:r>
        <w:rPr>
          <w:sz w:val="110"/>
          <w:szCs w:val="110"/>
        </w:rPr>
        <w:pict>
          <v:shape id="_x0000_s1027" o:spid="_x0000_s1027" o:spt="202" type="#_x0000_t202" style="position:absolute;left:0pt;margin-left:383.8pt;margin-top:14.7pt;height:88.6pt;width:74.2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">
            <v:path/>
            <v:fill focussize="0,0"/>
            <v:stroke on="f" weight="0.5pt" joinstyle="miter"/>
            <v:imagedata o:title=""/>
            <o:lock v:ext="edit"/>
            <v:textbox>
              <w:txbxContent>
                <w:p>
                  <w:pPr>
                    <w:rPr>
                      <w:rFonts w:ascii="方正小标宋简体" w:eastAsia="方正小标宋简体"/>
                      <w:color w:val="FF0000"/>
                      <w:spacing w:val="-23"/>
                      <w:w w:val="50"/>
                      <w:kern w:val="0"/>
                      <w:sz w:val="126"/>
                      <w:szCs w:val="126"/>
                    </w:rPr>
                  </w:pPr>
                  <w:r>
                    <w:rPr>
                      <w:rFonts w:hint="eastAsia" w:ascii="方正小标宋简体" w:eastAsia="方正小标宋简体"/>
                      <w:color w:val="FF0000"/>
                      <w:spacing w:val="-23"/>
                      <w:w w:val="50"/>
                      <w:kern w:val="0"/>
                      <w:sz w:val="126"/>
                      <w:szCs w:val="126"/>
                    </w:rPr>
                    <w:t>文件</w:t>
                  </w:r>
                </w:p>
              </w:txbxContent>
            </v:textbox>
          </v:shape>
        </w:pict>
      </w:r>
      <w:r>
        <w:rPr>
          <w:rFonts w:hint="eastAsia" w:ascii="方正小标宋简体"/>
          <w:spacing w:val="28"/>
          <w:w w:val="34"/>
          <w:kern w:val="0"/>
          <w:sz w:val="110"/>
          <w:szCs w:val="110"/>
        </w:rPr>
        <w:t>常州国家高新区</w:t>
      </w:r>
      <w:r>
        <w:rPr>
          <w:rFonts w:hint="eastAsia" w:ascii="宋体" w:hAnsi="宋体" w:eastAsia="宋体"/>
          <w:spacing w:val="28"/>
          <w:w w:val="34"/>
          <w:kern w:val="0"/>
          <w:sz w:val="110"/>
          <w:szCs w:val="110"/>
        </w:rPr>
        <w:t>(</w:t>
      </w:r>
      <w:r>
        <w:rPr>
          <w:rFonts w:hint="eastAsia" w:ascii="方正小标宋简体"/>
          <w:spacing w:val="28"/>
          <w:w w:val="34"/>
          <w:kern w:val="0"/>
          <w:sz w:val="110"/>
          <w:szCs w:val="110"/>
        </w:rPr>
        <w:t>新北区</w:t>
      </w:r>
      <w:r>
        <w:rPr>
          <w:rFonts w:hint="eastAsia" w:ascii="宋体" w:hAnsi="宋体" w:eastAsia="宋体"/>
          <w:spacing w:val="28"/>
          <w:w w:val="34"/>
          <w:kern w:val="0"/>
          <w:sz w:val="110"/>
          <w:szCs w:val="110"/>
        </w:rPr>
        <w:t>)</w:t>
      </w:r>
      <w:r>
        <w:rPr>
          <w:rFonts w:hint="eastAsia" w:ascii="方正小标宋简体" w:hAnsi="方正小标宋简体" w:cs="方正小标宋简体"/>
          <w:spacing w:val="28"/>
          <w:w w:val="34"/>
          <w:kern w:val="0"/>
          <w:sz w:val="110"/>
          <w:szCs w:val="110"/>
        </w:rPr>
        <w:t>市场监督管理</w:t>
      </w:r>
      <w:r>
        <w:rPr>
          <w:rFonts w:hint="eastAsia" w:ascii="方正小标宋简体"/>
          <w:spacing w:val="28"/>
          <w:w w:val="34"/>
          <w:kern w:val="0"/>
          <w:sz w:val="110"/>
          <w:szCs w:val="110"/>
        </w:rPr>
        <w:t>局</w:t>
      </w:r>
    </w:p>
    <w:p>
      <w:pPr>
        <w:pStyle w:val="25"/>
        <w:jc w:val="left"/>
        <w:rPr>
          <w:rFonts w:ascii="方正小标宋简体"/>
          <w:spacing w:val="62"/>
          <w:w w:val="34"/>
          <w:kern w:val="0"/>
          <w:szCs w:val="126"/>
        </w:rPr>
      </w:pPr>
      <w:r>
        <w:rPr>
          <w:rFonts w:hint="eastAsia" w:ascii="方正小标宋简体"/>
          <w:spacing w:val="62"/>
          <w:w w:val="34"/>
          <w:kern w:val="0"/>
          <w:szCs w:val="126"/>
        </w:rPr>
        <w:t>常州国家高新区</w:t>
      </w:r>
      <w:r>
        <w:rPr>
          <w:rFonts w:hint="eastAsia" w:ascii="宋体" w:hAnsi="宋体" w:eastAsia="宋体"/>
          <w:spacing w:val="62"/>
          <w:w w:val="34"/>
          <w:kern w:val="0"/>
          <w:szCs w:val="126"/>
        </w:rPr>
        <w:t>(</w:t>
      </w:r>
      <w:r>
        <w:rPr>
          <w:rFonts w:hint="eastAsia" w:ascii="方正小标宋简体"/>
          <w:spacing w:val="62"/>
          <w:w w:val="34"/>
          <w:kern w:val="0"/>
          <w:szCs w:val="126"/>
        </w:rPr>
        <w:t>新北区</w:t>
      </w:r>
      <w:r>
        <w:rPr>
          <w:rFonts w:hint="eastAsia" w:ascii="宋体" w:hAnsi="宋体" w:eastAsia="宋体"/>
          <w:spacing w:val="62"/>
          <w:w w:val="34"/>
          <w:kern w:val="0"/>
          <w:szCs w:val="126"/>
        </w:rPr>
        <w:t>)</w:t>
      </w:r>
      <w:r>
        <w:rPr>
          <w:rFonts w:hint="eastAsia" w:ascii="方正小标宋简体" w:hAnsi="方正小标宋简体" w:cs="方正小标宋简体"/>
          <w:spacing w:val="62"/>
          <w:w w:val="34"/>
          <w:kern w:val="0"/>
          <w:szCs w:val="126"/>
        </w:rPr>
        <w:t>财政</w:t>
      </w:r>
      <w:r>
        <w:rPr>
          <w:rFonts w:hint="eastAsia" w:ascii="方正小标宋简体"/>
          <w:spacing w:val="62"/>
          <w:w w:val="34"/>
          <w:kern w:val="0"/>
          <w:szCs w:val="126"/>
        </w:rPr>
        <w:t>局</w:t>
      </w:r>
    </w:p>
    <w:p>
      <w:pPr>
        <w:spacing w:line="520" w:lineRule="exact"/>
        <w:rPr>
          <w:rFonts w:ascii="仿宋_GB2312" w:eastAsia="仿宋_GB2312"/>
          <w:sz w:val="32"/>
          <w:szCs w:val="32"/>
        </w:rPr>
      </w:pPr>
    </w:p>
    <w:p>
      <w:pPr>
        <w:spacing w:line="520" w:lineRule="exact"/>
        <w:jc w:val="center"/>
        <w:rPr>
          <w:rFonts w:eastAsia="仿宋_GB2312"/>
          <w:szCs w:val="32"/>
        </w:rPr>
      </w:pPr>
      <w:r>
        <w:rPr>
          <w:rFonts w:hint="eastAsia" w:ascii="仿宋_GB2312" w:eastAsia="仿宋_GB2312"/>
          <w:sz w:val="32"/>
          <w:szCs w:val="32"/>
        </w:rPr>
        <w:t>常高新市管〔2021〕39号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sz w:val="44"/>
          <w:szCs w:val="44"/>
        </w:rPr>
        <w:pict>
          <v:line id="_x0000_s1029" o:spid="_x0000_s1029" o:spt="20" style="position:absolute;left:0pt;flip:y;margin-left:-8.2pt;margin-top:4.6pt;height:0.15pt;width:466.9pt;z-index:251659264;mso-width-relative:page;mso-height-relative:page;" stroked="t" coordsize="21600,21600">
            <v:path arrowok="t"/>
            <v:fill focussize="0,0"/>
            <v:stroke weight="1.7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华文中宋" w:eastAsia="方正小标宋简体"/>
          <w:sz w:val="44"/>
          <w:szCs w:val="44"/>
        </w:rPr>
      </w:pPr>
      <w:r>
        <w:rPr>
          <w:rFonts w:ascii="方正小标宋简体" w:hAnsi="华文中宋" w:eastAsia="方正小标宋简体"/>
          <w:sz w:val="44"/>
          <w:szCs w:val="44"/>
        </w:rPr>
        <w:t>关于</w:t>
      </w:r>
      <w:r>
        <w:rPr>
          <w:rFonts w:hint="eastAsia" w:ascii="方正小标宋简体" w:hAnsi="华文中宋" w:eastAsia="方正小标宋简体"/>
          <w:sz w:val="44"/>
          <w:szCs w:val="44"/>
        </w:rPr>
        <w:t>下达</w:t>
      </w:r>
      <w:r>
        <w:rPr>
          <w:rFonts w:hint="eastAsia" w:ascii="方正小标宋简体" w:eastAsia="方正小标宋简体"/>
          <w:sz w:val="44"/>
          <w:szCs w:val="44"/>
        </w:rPr>
        <w:t>第二十二届中国专利奖获奖项目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区级匹配奖励的通知</w:t>
      </w:r>
    </w:p>
    <w:p>
      <w:pPr>
        <w:keepNext w:val="0"/>
        <w:keepLines w:val="0"/>
        <w:pageBreakBefore w:val="0"/>
        <w:widowControl w:val="0"/>
        <w:kinsoku/>
        <w:wordWrap/>
        <w:overflowPunct/>
        <w:topLinePunct w:val="0"/>
        <w:autoSpaceDE/>
        <w:autoSpaceDN/>
        <w:bidi w:val="0"/>
        <w:spacing w:line="570" w:lineRule="exact"/>
        <w:textAlignment w:val="auto"/>
        <w:rPr>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pStyle w:val="27"/>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sz w:val="32"/>
          <w:szCs w:val="32"/>
        </w:rPr>
      </w:pPr>
      <w:r>
        <w:rPr>
          <w:rFonts w:hint="eastAsia" w:ascii="仿宋_GB2312" w:hAnsi="仿宋_GB2312" w:eastAsia="仿宋_GB2312" w:cs="仿宋_GB2312"/>
          <w:sz w:val="32"/>
          <w:szCs w:val="32"/>
        </w:rPr>
        <w:t>根据《中共常州国家高新区工委  常州国家高新区管委会关于印发常州国家高新技术产业开发区科技创新驱动高质量发展实施办法的通知》（常开工委〔2020〕75号）、《</w:t>
      </w:r>
      <w:r>
        <w:rPr>
          <w:rFonts w:ascii="仿宋_GB2312" w:hAnsi="仿宋_GB2312" w:eastAsia="仿宋_GB2312" w:cs="仿宋_GB2312"/>
          <w:sz w:val="32"/>
          <w:szCs w:val="32"/>
        </w:rPr>
        <w:t>关于印发</w:t>
      </w:r>
      <w:r>
        <w:rPr>
          <w:rFonts w:hint="eastAsia" w:ascii="仿宋_GB2312" w:hAnsi="仿宋_GB2312" w:eastAsia="仿宋_GB2312" w:cs="仿宋_GB2312"/>
          <w:sz w:val="32"/>
          <w:szCs w:val="32"/>
        </w:rPr>
        <w:t>&lt;</w:t>
      </w:r>
      <w:r>
        <w:rPr>
          <w:rFonts w:ascii="仿宋_GB2312" w:hAnsi="仿宋_GB2312" w:eastAsia="仿宋_GB2312" w:cs="仿宋_GB2312"/>
          <w:sz w:val="32"/>
          <w:szCs w:val="32"/>
        </w:rPr>
        <w:t>关于科技创新驱动高质量发展实施办法</w:t>
      </w:r>
      <w:r>
        <w:rPr>
          <w:rFonts w:hint="eastAsia" w:ascii="仿宋_GB2312" w:hAnsi="仿宋_GB2312" w:eastAsia="仿宋_GB2312" w:cs="仿宋_GB2312"/>
          <w:sz w:val="32"/>
          <w:szCs w:val="32"/>
        </w:rPr>
        <w:t>&gt;</w:t>
      </w:r>
      <w:r>
        <w:rPr>
          <w:rFonts w:ascii="仿宋_GB2312" w:hAnsi="仿宋_GB2312" w:eastAsia="仿宋_GB2312" w:cs="仿宋_GB2312"/>
          <w:sz w:val="32"/>
          <w:szCs w:val="32"/>
        </w:rPr>
        <w:t>系列实施细则的</w:t>
      </w:r>
      <w:r>
        <w:rPr>
          <w:rFonts w:hint="eastAsia" w:ascii="仿宋_GB2312" w:hAnsi="仿宋_GB2312" w:eastAsia="仿宋_GB2312" w:cs="仿宋_GB2312"/>
          <w:sz w:val="32"/>
          <w:szCs w:val="32"/>
        </w:rPr>
        <w:t>通知》（常开科〔2021〕14号）等相关</w:t>
      </w:r>
      <w:r>
        <w:rPr>
          <w:rFonts w:hint="eastAsia" w:ascii="仿宋_GB2312" w:hAnsi="仿宋_GB2312" w:eastAsia="仿宋_GB2312" w:cs="仿宋_GB2312"/>
          <w:sz w:val="32"/>
          <w:szCs w:val="32"/>
          <w:lang w:eastAsia="zh-CN"/>
        </w:rPr>
        <w:t>文件</w:t>
      </w:r>
      <w:r>
        <w:rPr>
          <w:rFonts w:hint="eastAsia" w:ascii="仿宋_GB2312" w:eastAsia="仿宋_GB2312"/>
          <w:sz w:val="32"/>
          <w:szCs w:val="32"/>
        </w:rPr>
        <w:t>，现决定对第二十二届中国专利奖获奖项目实施区级匹配奖励（具体详见附件）。</w:t>
      </w:r>
    </w:p>
    <w:p>
      <w:pPr>
        <w:pStyle w:val="27"/>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ascii="仿宋_GB2312" w:hAnsi="仿宋" w:eastAsia="仿宋_GB2312"/>
          <w:sz w:val="32"/>
          <w:szCs w:val="32"/>
        </w:rPr>
      </w:pPr>
      <w:r>
        <w:rPr>
          <w:rFonts w:hint="eastAsia" w:ascii="仿宋_GB2312" w:hAnsi="仿宋_GB2312" w:eastAsia="仿宋_GB2312" w:cs="仿宋_GB2312"/>
          <w:sz w:val="32"/>
          <w:szCs w:val="32"/>
        </w:rPr>
        <w:t>接到通知后，请尽快到区市场</w:t>
      </w:r>
      <w:r>
        <w:rPr>
          <w:rFonts w:ascii="仿宋_GB2312" w:hAnsi="仿宋_GB2312" w:eastAsia="仿宋_GB2312" w:cs="仿宋_GB2312"/>
          <w:sz w:val="32"/>
          <w:szCs w:val="32"/>
        </w:rPr>
        <w:t>监督管理局</w:t>
      </w:r>
      <w:r>
        <w:rPr>
          <w:rFonts w:hint="eastAsia" w:ascii="仿宋_GB2312" w:hAnsi="仿宋_GB2312" w:eastAsia="仿宋_GB2312" w:cs="仿宋_GB2312"/>
          <w:sz w:val="32"/>
          <w:szCs w:val="32"/>
        </w:rPr>
        <w:t>办理资金拨付手续。收到资金后，应严格按照国家财务会计制度的规定，做好专项资金的会计核算工作。对弄虚作假骗取财政资金的行为，将按照《财政违法行为处罚处分条例》（国务院令第427号）等规定进行处理。</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附件：第二十二届中国专利奖获奖项目区级奖励名单表</w:t>
      </w:r>
    </w:p>
    <w:p>
      <w:pPr>
        <w:keepNext w:val="0"/>
        <w:keepLines w:val="0"/>
        <w:pageBreakBefore w:val="0"/>
        <w:widowControl w:val="0"/>
        <w:kinsoku/>
        <w:wordWrap/>
        <w:overflowPunct/>
        <w:topLinePunct w:val="0"/>
        <w:autoSpaceDE/>
        <w:autoSpaceDN/>
        <w:bidi w:val="0"/>
        <w:spacing w:line="570" w:lineRule="exact"/>
        <w:jc w:val="center"/>
        <w:textAlignment w:val="auto"/>
        <w:rPr>
          <w:rFonts w:ascii="方正小标宋简体" w:hAnsi="仿宋_GB2312" w:eastAsia="方正小标宋简体" w:cs="仿宋_GB2312"/>
          <w:bCs/>
          <w:sz w:val="32"/>
          <w:szCs w:val="32"/>
        </w:rPr>
      </w:pPr>
    </w:p>
    <w:p>
      <w:pPr>
        <w:keepNext w:val="0"/>
        <w:keepLines w:val="0"/>
        <w:pageBreakBefore w:val="0"/>
        <w:widowControl w:val="0"/>
        <w:kinsoku/>
        <w:wordWrap/>
        <w:overflowPunct/>
        <w:topLinePunct w:val="0"/>
        <w:autoSpaceDE/>
        <w:autoSpaceDN/>
        <w:bidi w:val="0"/>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spacing w:line="570" w:lineRule="exact"/>
        <w:ind w:left="229" w:leftChars="109"/>
        <w:textAlignment w:val="auto"/>
        <w:rPr>
          <w:rFonts w:ascii="仿宋_GB2312" w:hAnsi="仿宋" w:eastAsia="仿宋_GB2312"/>
          <w:sz w:val="32"/>
          <w:szCs w:val="32"/>
        </w:rPr>
      </w:pPr>
      <w:r>
        <w:rPr>
          <w:rFonts w:hint="eastAsia" w:ascii="仿宋_GB2312" w:hAnsi="仿宋" w:eastAsia="仿宋_GB2312"/>
          <w:sz w:val="32"/>
          <w:szCs w:val="32"/>
        </w:rPr>
        <w:t>常州国家高新区（新北区）      常州国家高新区（新北区）</w:t>
      </w:r>
    </w:p>
    <w:p>
      <w:pPr>
        <w:keepNext w:val="0"/>
        <w:keepLines w:val="0"/>
        <w:pageBreakBefore w:val="0"/>
        <w:widowControl w:val="0"/>
        <w:kinsoku/>
        <w:wordWrap/>
        <w:overflowPunct/>
        <w:topLinePunct w:val="0"/>
        <w:autoSpaceDE/>
        <w:autoSpaceDN/>
        <w:bidi w:val="0"/>
        <w:spacing w:line="570" w:lineRule="exact"/>
        <w:ind w:left="229" w:leftChars="109" w:firstLine="640" w:firstLineChars="200"/>
        <w:textAlignment w:val="auto"/>
        <w:rPr>
          <w:rFonts w:ascii="仿宋_GB2312" w:hAnsi="仿宋" w:eastAsia="仿宋_GB2312"/>
          <w:sz w:val="32"/>
          <w:szCs w:val="32"/>
        </w:rPr>
      </w:pPr>
      <w:r>
        <w:rPr>
          <w:rFonts w:hint="eastAsia" w:ascii="仿宋_GB2312" w:hAnsi="仿宋" w:eastAsia="仿宋_GB2312"/>
          <w:sz w:val="32"/>
          <w:szCs w:val="32"/>
        </w:rPr>
        <w:t>市场监督管理局                    财政局</w:t>
      </w:r>
    </w:p>
    <w:p>
      <w:pPr>
        <w:keepNext w:val="0"/>
        <w:keepLines w:val="0"/>
        <w:pageBreakBefore w:val="0"/>
        <w:widowControl w:val="0"/>
        <w:kinsoku/>
        <w:wordWrap/>
        <w:overflowPunct/>
        <w:topLinePunct w:val="0"/>
        <w:autoSpaceDE/>
        <w:autoSpaceDN/>
        <w:bidi w:val="0"/>
        <w:spacing w:line="570" w:lineRule="exact"/>
        <w:jc w:val="center"/>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spacing w:line="570" w:lineRule="exact"/>
        <w:jc w:val="center"/>
        <w:textAlignment w:val="auto"/>
        <w:rPr>
          <w:rFonts w:ascii="仿宋_GB2312" w:hAnsi="仿宋" w:eastAsia="仿宋_GB2312"/>
          <w:sz w:val="32"/>
          <w:szCs w:val="32"/>
        </w:rPr>
      </w:pPr>
      <w:r>
        <w:rPr>
          <w:rFonts w:hint="eastAsia" w:ascii="仿宋_GB2312" w:hAnsi="仿宋" w:eastAsia="仿宋_GB2312"/>
          <w:sz w:val="32"/>
          <w:szCs w:val="32"/>
        </w:rPr>
        <w:t xml:space="preserve">  2021年10月21日</w:t>
      </w:r>
    </w:p>
    <w:p>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autoSpaceDE/>
        <w:autoSpaceDN/>
        <w:bidi w:val="0"/>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ascii="宋体" w:hAnsi="宋体"/>
          <w:bCs/>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ascii="宋体" w:hAnsi="宋体"/>
          <w:bCs/>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ascii="宋体" w:hAnsi="宋体"/>
          <w:bCs/>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ascii="宋体" w:hAnsi="宋体"/>
          <w:bCs/>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ascii="宋体" w:hAnsi="宋体"/>
          <w:bCs/>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70" w:lineRule="exact"/>
        <w:textAlignment w:val="auto"/>
        <w:rPr>
          <w:rFonts w:ascii="宋体" w:hAnsi="宋体"/>
          <w:bCs/>
          <w:sz w:val="32"/>
          <w:szCs w:val="32"/>
        </w:rPr>
      </w:pPr>
    </w:p>
    <w:p>
      <w:pPr>
        <w:spacing w:line="570" w:lineRule="exact"/>
        <w:rPr>
          <w:rFonts w:ascii="楷体" w:hAnsi="楷体" w:eastAsia="楷体" w:cs="楷体"/>
          <w:bCs/>
          <w:sz w:val="32"/>
          <w:szCs w:val="32"/>
        </w:rPr>
      </w:pPr>
      <w:r>
        <w:rPr>
          <w:rFonts w:hint="eastAsia" w:ascii="楷体" w:hAnsi="楷体" w:eastAsia="楷体" w:cs="楷体"/>
          <w:bCs/>
          <w:sz w:val="32"/>
          <w:szCs w:val="32"/>
        </w:rPr>
        <w:t>（此文件公开）</w:t>
      </w:r>
    </w:p>
    <w:p>
      <w:pPr>
        <w:pBdr>
          <w:top w:val="single" w:color="auto" w:sz="6" w:space="1"/>
          <w:bottom w:val="single" w:color="auto" w:sz="6" w:space="1"/>
        </w:pBdr>
        <w:spacing w:line="240" w:lineRule="atLeast"/>
      </w:pPr>
      <w:r>
        <w:rPr>
          <w:rFonts w:hint="eastAsia" w:ascii="仿宋_GB2312" w:eastAsia="仿宋_GB2312"/>
          <w:sz w:val="28"/>
          <w:szCs w:val="28"/>
        </w:rPr>
        <w:t>常州国家高新区（新北区）市场监督管理局</w:t>
      </w:r>
      <w:r>
        <w:rPr>
          <w:rFonts w:ascii="仿宋_GB2312" w:eastAsia="仿宋_GB2312"/>
          <w:sz w:val="28"/>
          <w:szCs w:val="28"/>
        </w:rPr>
        <w:t xml:space="preserve">     20</w:t>
      </w:r>
      <w:r>
        <w:rPr>
          <w:rFonts w:hint="eastAsia" w:ascii="仿宋_GB2312" w:eastAsia="仿宋_GB2312"/>
          <w:sz w:val="28"/>
          <w:szCs w:val="28"/>
        </w:rPr>
        <w:t>21年10月21日印发</w:t>
      </w:r>
    </w:p>
    <w:p>
      <w:pPr>
        <w:spacing w:line="500" w:lineRule="exact"/>
        <w:rPr>
          <w:rFonts w:ascii="黑体" w:hAnsi="黑体" w:eastAsia="黑体" w:cs="仿宋_GB2312"/>
          <w:bCs/>
          <w:sz w:val="32"/>
          <w:szCs w:val="32"/>
        </w:rPr>
        <w:sectPr>
          <w:headerReference r:id="rId3" w:type="default"/>
          <w:footerReference r:id="rId4" w:type="default"/>
          <w:footerReference r:id="rId5" w:type="even"/>
          <w:pgSz w:w="11906" w:h="16838"/>
          <w:pgMar w:top="2098" w:right="1531" w:bottom="1984" w:left="1531" w:header="709" w:footer="1361" w:gutter="0"/>
          <w:pgNumType w:fmt="numberInDash"/>
          <w:cols w:space="0" w:num="1"/>
          <w:docGrid w:type="lines" w:linePitch="312" w:charSpace="0"/>
        </w:sectPr>
      </w:pPr>
    </w:p>
    <w:p>
      <w:pPr>
        <w:spacing w:line="480" w:lineRule="exact"/>
        <w:jc w:val="left"/>
        <w:rPr>
          <w:rFonts w:ascii="黑体" w:hAnsi="黑体" w:eastAsia="黑体" w:cs="黑体"/>
          <w:sz w:val="32"/>
          <w:szCs w:val="32"/>
        </w:rPr>
      </w:pPr>
      <w:r>
        <w:rPr>
          <w:rFonts w:hint="eastAsia" w:ascii="黑体" w:hAnsi="黑体" w:eastAsia="黑体" w:cs="黑体"/>
          <w:sz w:val="32"/>
          <w:szCs w:val="32"/>
        </w:rPr>
        <w:t>附件</w:t>
      </w:r>
    </w:p>
    <w:p>
      <w:pPr>
        <w:spacing w:line="700" w:lineRule="exact"/>
        <w:jc w:val="center"/>
        <w:rPr>
          <w:rFonts w:ascii="方正小标宋简体" w:hAnsi="宋体" w:eastAsia="方正小标宋简体"/>
          <w:sz w:val="44"/>
          <w:szCs w:val="44"/>
        </w:rPr>
      </w:pPr>
      <w:r>
        <w:rPr>
          <w:rFonts w:hint="eastAsia" w:ascii="方正小标宋简体" w:hAnsi="仿宋" w:eastAsia="方正小标宋简体"/>
          <w:sz w:val="44"/>
          <w:szCs w:val="44"/>
        </w:rPr>
        <w:t>第二十二届中国专利奖获奖项目区级奖励名单表</w:t>
      </w:r>
    </w:p>
    <w:tbl>
      <w:tblPr>
        <w:tblStyle w:val="5"/>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805"/>
        <w:gridCol w:w="3437"/>
        <w:gridCol w:w="3827"/>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12" w:type="dxa"/>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2805" w:type="dxa"/>
            <w:vAlign w:val="center"/>
          </w:tcPr>
          <w:p>
            <w:pPr>
              <w:jc w:val="center"/>
              <w:rPr>
                <w:rFonts w:ascii="仿宋_GB2312" w:hAnsi="仿宋" w:eastAsia="仿宋_GB2312"/>
                <w:sz w:val="28"/>
                <w:szCs w:val="28"/>
              </w:rPr>
            </w:pPr>
            <w:r>
              <w:rPr>
                <w:rFonts w:hint="eastAsia" w:ascii="仿宋_GB2312" w:hAnsi="仿宋" w:eastAsia="仿宋_GB2312"/>
                <w:sz w:val="28"/>
                <w:szCs w:val="28"/>
              </w:rPr>
              <w:t>专利号</w:t>
            </w:r>
          </w:p>
        </w:tc>
        <w:tc>
          <w:tcPr>
            <w:tcW w:w="3437" w:type="dxa"/>
            <w:vAlign w:val="center"/>
          </w:tcPr>
          <w:p>
            <w:pPr>
              <w:jc w:val="center"/>
              <w:rPr>
                <w:rFonts w:ascii="仿宋_GB2312" w:hAnsi="仿宋" w:eastAsia="仿宋_GB2312"/>
                <w:sz w:val="28"/>
                <w:szCs w:val="28"/>
              </w:rPr>
            </w:pPr>
            <w:r>
              <w:rPr>
                <w:rFonts w:hint="eastAsia" w:ascii="仿宋_GB2312" w:hAnsi="仿宋" w:eastAsia="仿宋_GB2312"/>
                <w:sz w:val="28"/>
                <w:szCs w:val="28"/>
              </w:rPr>
              <w:t>专利名称</w:t>
            </w:r>
          </w:p>
        </w:tc>
        <w:tc>
          <w:tcPr>
            <w:tcW w:w="3827" w:type="dxa"/>
            <w:vAlign w:val="center"/>
          </w:tcPr>
          <w:p>
            <w:pPr>
              <w:jc w:val="center"/>
              <w:rPr>
                <w:rFonts w:ascii="仿宋_GB2312" w:hAnsi="仿宋" w:eastAsia="仿宋_GB2312"/>
                <w:sz w:val="28"/>
                <w:szCs w:val="28"/>
              </w:rPr>
            </w:pPr>
            <w:r>
              <w:rPr>
                <w:rFonts w:hint="eastAsia" w:ascii="仿宋_GB2312" w:hAnsi="仿宋" w:eastAsia="仿宋_GB2312"/>
                <w:sz w:val="28"/>
                <w:szCs w:val="28"/>
              </w:rPr>
              <w:t>专利权人</w:t>
            </w:r>
          </w:p>
        </w:tc>
        <w:tc>
          <w:tcPr>
            <w:tcW w:w="1701" w:type="dxa"/>
            <w:vAlign w:val="center"/>
          </w:tcPr>
          <w:p>
            <w:pPr>
              <w:jc w:val="center"/>
              <w:rPr>
                <w:rFonts w:ascii="仿宋_GB2312" w:hAnsi="仿宋" w:eastAsia="仿宋_GB2312"/>
                <w:sz w:val="28"/>
                <w:szCs w:val="28"/>
              </w:rPr>
            </w:pPr>
            <w:r>
              <w:rPr>
                <w:rFonts w:hint="eastAsia" w:ascii="仿宋_GB2312" w:hAnsi="仿宋" w:eastAsia="仿宋_GB2312"/>
                <w:sz w:val="28"/>
                <w:szCs w:val="28"/>
              </w:rPr>
              <w:t>获奖类别</w:t>
            </w:r>
          </w:p>
        </w:tc>
        <w:tc>
          <w:tcPr>
            <w:tcW w:w="1418" w:type="dxa"/>
            <w:vAlign w:val="center"/>
          </w:tcPr>
          <w:p>
            <w:pPr>
              <w:jc w:val="center"/>
              <w:rPr>
                <w:rFonts w:ascii="仿宋_GB2312" w:hAnsi="仿宋" w:eastAsia="仿宋_GB2312"/>
                <w:sz w:val="28"/>
                <w:szCs w:val="28"/>
              </w:rPr>
            </w:pPr>
            <w:r>
              <w:rPr>
                <w:rFonts w:hint="eastAsia" w:ascii="仿宋_GB2312" w:hAnsi="仿宋" w:eastAsia="仿宋_GB2312"/>
                <w:sz w:val="28"/>
                <w:szCs w:val="28"/>
              </w:rPr>
              <w:t>奖励金额</w:t>
            </w:r>
          </w:p>
          <w:p>
            <w:pPr>
              <w:jc w:val="center"/>
              <w:rPr>
                <w:rFonts w:ascii="仿宋_GB2312" w:hAnsi="仿宋" w:eastAsia="仿宋_GB2312"/>
                <w:sz w:val="28"/>
                <w:szCs w:val="28"/>
              </w:rPr>
            </w:pPr>
            <w:r>
              <w:rPr>
                <w:rFonts w:hint="eastAsia" w:ascii="仿宋_GB2312" w:hAnsi="仿宋"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2805" w:type="dxa"/>
            <w:vAlign w:val="center"/>
          </w:tcPr>
          <w:p>
            <w:pPr>
              <w:widowControl/>
              <w:snapToGrid w:val="0"/>
              <w:jc w:val="left"/>
              <w:rPr>
                <w:rFonts w:ascii="仿宋_GB2312" w:hAnsi="仿宋" w:eastAsia="仿宋_GB2312"/>
                <w:sz w:val="28"/>
                <w:szCs w:val="28"/>
              </w:rPr>
            </w:pPr>
            <w:r>
              <w:rPr>
                <w:rFonts w:hint="eastAsia" w:ascii="仿宋_GB2312" w:hAnsi="仿宋" w:eastAsia="仿宋_GB2312"/>
                <w:sz w:val="28"/>
                <w:szCs w:val="28"/>
              </w:rPr>
              <w:t>ZL201510474249.0</w:t>
            </w:r>
          </w:p>
        </w:tc>
        <w:tc>
          <w:tcPr>
            <w:tcW w:w="3437" w:type="dxa"/>
            <w:vAlign w:val="center"/>
          </w:tcPr>
          <w:p>
            <w:pPr>
              <w:widowControl/>
              <w:snapToGrid w:val="0"/>
              <w:jc w:val="left"/>
              <w:rPr>
                <w:rFonts w:ascii="仿宋_GB2312" w:hAnsi="仿宋" w:eastAsia="仿宋_GB2312"/>
                <w:sz w:val="28"/>
                <w:szCs w:val="28"/>
              </w:rPr>
            </w:pPr>
            <w:r>
              <w:rPr>
                <w:rFonts w:hint="eastAsia" w:ascii="仿宋_GB2312" w:hAnsi="仿宋" w:eastAsia="仿宋_GB2312"/>
                <w:sz w:val="28"/>
                <w:szCs w:val="28"/>
              </w:rPr>
              <w:t>免堵切草机</w:t>
            </w:r>
          </w:p>
        </w:tc>
        <w:tc>
          <w:tcPr>
            <w:tcW w:w="3827" w:type="dxa"/>
            <w:vAlign w:val="center"/>
          </w:tcPr>
          <w:p>
            <w:pPr>
              <w:widowControl/>
              <w:snapToGrid w:val="0"/>
              <w:jc w:val="left"/>
              <w:rPr>
                <w:rFonts w:ascii="仿宋_GB2312" w:hAnsi="仿宋" w:eastAsia="仿宋_GB2312"/>
                <w:sz w:val="28"/>
                <w:szCs w:val="28"/>
              </w:rPr>
            </w:pPr>
            <w:r>
              <w:rPr>
                <w:rFonts w:hint="eastAsia" w:ascii="仿宋_GB2312" w:hAnsi="仿宋" w:eastAsia="仿宋_GB2312"/>
                <w:sz w:val="28"/>
                <w:szCs w:val="28"/>
              </w:rPr>
              <w:t>常州汉森机械股份有限公司</w:t>
            </w:r>
          </w:p>
        </w:tc>
        <w:tc>
          <w:tcPr>
            <w:tcW w:w="1701" w:type="dxa"/>
            <w:vAlign w:val="center"/>
          </w:tcPr>
          <w:p>
            <w:pPr>
              <w:jc w:val="center"/>
              <w:rPr>
                <w:rFonts w:ascii="仿宋_GB2312" w:hAnsi="仿宋" w:eastAsia="仿宋_GB2312"/>
                <w:sz w:val="28"/>
                <w:szCs w:val="28"/>
              </w:rPr>
            </w:pPr>
            <w:r>
              <w:rPr>
                <w:rFonts w:hint="eastAsia" w:ascii="仿宋_GB2312" w:hAnsi="仿宋" w:eastAsia="仿宋_GB2312"/>
                <w:sz w:val="28"/>
                <w:szCs w:val="28"/>
              </w:rPr>
              <w:t>优秀奖</w:t>
            </w:r>
          </w:p>
        </w:tc>
        <w:tc>
          <w:tcPr>
            <w:tcW w:w="1418" w:type="dxa"/>
            <w:vAlign w:val="center"/>
          </w:tcPr>
          <w:p>
            <w:pPr>
              <w:jc w:val="center"/>
              <w:rPr>
                <w:rFonts w:ascii="仿宋_GB2312" w:hAnsi="仿宋" w:eastAsia="仿宋_GB2312"/>
                <w:sz w:val="28"/>
                <w:szCs w:val="28"/>
              </w:rPr>
            </w:pPr>
            <w:r>
              <w:rPr>
                <w:rFonts w:hint="eastAsia" w:ascii="仿宋_GB2312" w:hAnsi="仿宋"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2805" w:type="dxa"/>
            <w:vAlign w:val="center"/>
          </w:tcPr>
          <w:p>
            <w:pPr>
              <w:widowControl/>
              <w:snapToGrid w:val="0"/>
              <w:jc w:val="left"/>
              <w:rPr>
                <w:rFonts w:ascii="仿宋_GB2312" w:hAnsi="仿宋" w:eastAsia="仿宋_GB2312"/>
                <w:sz w:val="28"/>
                <w:szCs w:val="28"/>
              </w:rPr>
            </w:pPr>
            <w:r>
              <w:rPr>
                <w:rFonts w:hint="eastAsia" w:ascii="仿宋_GB2312" w:hAnsi="仿宋" w:eastAsia="仿宋_GB2312"/>
                <w:sz w:val="28"/>
                <w:szCs w:val="28"/>
              </w:rPr>
              <w:t>ZL201821669771.X</w:t>
            </w:r>
          </w:p>
        </w:tc>
        <w:tc>
          <w:tcPr>
            <w:tcW w:w="3437" w:type="dxa"/>
            <w:vAlign w:val="center"/>
          </w:tcPr>
          <w:p>
            <w:pPr>
              <w:widowControl/>
              <w:snapToGrid w:val="0"/>
              <w:jc w:val="left"/>
              <w:rPr>
                <w:rFonts w:ascii="仿宋_GB2312" w:hAnsi="仿宋" w:eastAsia="仿宋_GB2312"/>
                <w:sz w:val="28"/>
                <w:szCs w:val="28"/>
              </w:rPr>
            </w:pPr>
            <w:r>
              <w:rPr>
                <w:rFonts w:hint="eastAsia" w:ascii="仿宋_GB2312" w:hAnsi="仿宋" w:eastAsia="仿宋_GB2312"/>
                <w:sz w:val="28"/>
                <w:szCs w:val="28"/>
              </w:rPr>
              <w:t>车辆及其自适应灯光控制系统</w:t>
            </w:r>
          </w:p>
        </w:tc>
        <w:tc>
          <w:tcPr>
            <w:tcW w:w="3827" w:type="dxa"/>
            <w:vAlign w:val="center"/>
          </w:tcPr>
          <w:p>
            <w:pPr>
              <w:widowControl/>
              <w:snapToGrid w:val="0"/>
              <w:jc w:val="left"/>
              <w:rPr>
                <w:rFonts w:ascii="仿宋_GB2312" w:hAnsi="仿宋" w:eastAsia="仿宋_GB2312"/>
                <w:sz w:val="28"/>
                <w:szCs w:val="28"/>
              </w:rPr>
            </w:pPr>
            <w:r>
              <w:rPr>
                <w:rFonts w:hint="eastAsia" w:ascii="仿宋_GB2312" w:hAnsi="仿宋" w:eastAsia="仿宋_GB2312"/>
                <w:sz w:val="28"/>
                <w:szCs w:val="28"/>
              </w:rPr>
              <w:t>常州星宇车灯股份有限公司</w:t>
            </w:r>
          </w:p>
        </w:tc>
        <w:tc>
          <w:tcPr>
            <w:tcW w:w="1701" w:type="dxa"/>
            <w:vAlign w:val="center"/>
          </w:tcPr>
          <w:p>
            <w:pPr>
              <w:jc w:val="center"/>
              <w:rPr>
                <w:rFonts w:ascii="仿宋_GB2312" w:hAnsi="仿宋" w:eastAsia="仿宋_GB2312"/>
                <w:sz w:val="28"/>
                <w:szCs w:val="28"/>
              </w:rPr>
            </w:pPr>
            <w:r>
              <w:rPr>
                <w:rFonts w:hint="eastAsia" w:ascii="仿宋_GB2312" w:hAnsi="仿宋" w:eastAsia="仿宋_GB2312"/>
                <w:sz w:val="28"/>
                <w:szCs w:val="28"/>
              </w:rPr>
              <w:t>优秀奖</w:t>
            </w:r>
          </w:p>
        </w:tc>
        <w:tc>
          <w:tcPr>
            <w:tcW w:w="1418" w:type="dxa"/>
            <w:vAlign w:val="center"/>
          </w:tcPr>
          <w:p>
            <w:pPr>
              <w:jc w:val="center"/>
              <w:rPr>
                <w:rFonts w:ascii="仿宋_GB2312" w:hAnsi="仿宋" w:eastAsia="仿宋_GB2312"/>
                <w:sz w:val="28"/>
                <w:szCs w:val="28"/>
              </w:rPr>
            </w:pPr>
            <w:r>
              <w:rPr>
                <w:rFonts w:hint="eastAsia" w:ascii="仿宋_GB2312" w:hAnsi="仿宋"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2" w:type="dxa"/>
            <w:gridSpan w:val="5"/>
            <w:vAlign w:val="center"/>
          </w:tcPr>
          <w:p>
            <w:pPr>
              <w:jc w:val="center"/>
              <w:rPr>
                <w:rFonts w:ascii="仿宋_GB2312" w:hAnsi="仿宋" w:eastAsia="仿宋_GB2312"/>
                <w:sz w:val="28"/>
                <w:szCs w:val="28"/>
              </w:rPr>
            </w:pPr>
            <w:r>
              <w:rPr>
                <w:rFonts w:hint="eastAsia" w:ascii="仿宋_GB2312" w:hAnsi="仿宋" w:eastAsia="仿宋_GB2312"/>
                <w:sz w:val="28"/>
                <w:szCs w:val="28"/>
              </w:rPr>
              <w:t>总计</w:t>
            </w:r>
          </w:p>
        </w:tc>
        <w:tc>
          <w:tcPr>
            <w:tcW w:w="1418" w:type="dxa"/>
            <w:vAlign w:val="center"/>
          </w:tcPr>
          <w:p>
            <w:pPr>
              <w:jc w:val="center"/>
              <w:rPr>
                <w:rFonts w:ascii="仿宋_GB2312" w:hAnsi="仿宋" w:eastAsia="仿宋_GB2312"/>
                <w:sz w:val="28"/>
                <w:szCs w:val="28"/>
              </w:rPr>
            </w:pPr>
            <w:r>
              <w:rPr>
                <w:rFonts w:hint="eastAsia" w:ascii="仿宋_GB2312" w:hAnsi="仿宋" w:eastAsia="仿宋_GB2312"/>
                <w:sz w:val="28"/>
                <w:szCs w:val="28"/>
              </w:rPr>
              <w:t>20</w:t>
            </w:r>
          </w:p>
        </w:tc>
      </w:tr>
    </w:tbl>
    <w:p>
      <w:pPr>
        <w:rPr>
          <w:rFonts w:ascii="黑体" w:hAnsi="黑体" w:eastAsia="黑体" w:cs="黑体"/>
          <w:sz w:val="32"/>
          <w:szCs w:val="32"/>
        </w:rPr>
      </w:pPr>
    </w:p>
    <w:p>
      <w:pPr>
        <w:jc w:val="center"/>
      </w:pPr>
    </w:p>
    <w:sectPr>
      <w:headerReference r:id="rId6" w:type="default"/>
      <w:footerReference r:id="rId7" w:type="default"/>
      <w:footerReference r:id="rId8" w:type="even"/>
      <w:pgSz w:w="16838" w:h="11906" w:orient="landscape"/>
      <w:pgMar w:top="1531" w:right="2098" w:bottom="1531" w:left="1985" w:header="709" w:footer="1361"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仿宋_GB2312" w:hAnsi="仿宋" w:eastAsia="仿宋_GB2312"/>
        <w:sz w:val="28"/>
        <w:szCs w:val="28"/>
      </w:rPr>
    </w:pPr>
    <w:r>
      <w:rPr>
        <w:rFonts w:hint="eastAsia" w:ascii="仿宋_GB2312" w:hAnsi="仿宋" w:eastAsia="仿宋_GB2312"/>
        <w:sz w:val="28"/>
        <w:szCs w:val="28"/>
      </w:rPr>
      <w:fldChar w:fldCharType="begin"/>
    </w:r>
    <w:r>
      <w:rPr>
        <w:rStyle w:val="8"/>
        <w:rFonts w:hint="eastAsia" w:ascii="仿宋_GB2312" w:hAnsi="仿宋" w:eastAsia="仿宋_GB2312"/>
        <w:sz w:val="28"/>
        <w:szCs w:val="28"/>
      </w:rPr>
      <w:instrText xml:space="preserve">PAGE  </w:instrText>
    </w:r>
    <w:r>
      <w:rPr>
        <w:rFonts w:hint="eastAsia" w:ascii="仿宋_GB2312" w:hAnsi="仿宋" w:eastAsia="仿宋_GB2312"/>
        <w:sz w:val="28"/>
        <w:szCs w:val="28"/>
      </w:rPr>
      <w:fldChar w:fldCharType="separate"/>
    </w:r>
    <w:r>
      <w:rPr>
        <w:rStyle w:val="8"/>
        <w:rFonts w:ascii="仿宋_GB2312" w:hAnsi="仿宋" w:eastAsia="仿宋_GB2312"/>
        <w:sz w:val="28"/>
        <w:szCs w:val="28"/>
      </w:rPr>
      <w:t>- 1 -</w:t>
    </w:r>
    <w:r>
      <w:rPr>
        <w:rFonts w:hint="eastAsia" w:ascii="仿宋_GB2312" w:hAnsi="仿宋" w:eastAsia="仿宋_GB2312"/>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- 3 -</w:t>
    </w:r>
    <w:r>
      <w:rPr>
        <w:rStyle w:val="8"/>
        <w:rFonts w:ascii="宋体" w:hAnsi="宋体"/>
        <w:sz w:val="28"/>
        <w:szCs w:val="28"/>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1DD4A3D"/>
    <w:rsid w:val="0001656D"/>
    <w:rsid w:val="00033E4E"/>
    <w:rsid w:val="00041660"/>
    <w:rsid w:val="00063907"/>
    <w:rsid w:val="000751F2"/>
    <w:rsid w:val="00077DF4"/>
    <w:rsid w:val="000D6274"/>
    <w:rsid w:val="000E1B94"/>
    <w:rsid w:val="001035A7"/>
    <w:rsid w:val="00114364"/>
    <w:rsid w:val="00151BA3"/>
    <w:rsid w:val="00162183"/>
    <w:rsid w:val="001A317C"/>
    <w:rsid w:val="001B0CEB"/>
    <w:rsid w:val="0029574F"/>
    <w:rsid w:val="00296080"/>
    <w:rsid w:val="002E54B0"/>
    <w:rsid w:val="00310734"/>
    <w:rsid w:val="00315A78"/>
    <w:rsid w:val="00315CA6"/>
    <w:rsid w:val="00327C9E"/>
    <w:rsid w:val="00372FC6"/>
    <w:rsid w:val="00373F4A"/>
    <w:rsid w:val="003861E7"/>
    <w:rsid w:val="003916C4"/>
    <w:rsid w:val="00430416"/>
    <w:rsid w:val="00463A5D"/>
    <w:rsid w:val="004749D3"/>
    <w:rsid w:val="00485475"/>
    <w:rsid w:val="004861C8"/>
    <w:rsid w:val="004E0BF4"/>
    <w:rsid w:val="00514BEB"/>
    <w:rsid w:val="00515DCC"/>
    <w:rsid w:val="005238EA"/>
    <w:rsid w:val="00550103"/>
    <w:rsid w:val="00563FCD"/>
    <w:rsid w:val="00565FE0"/>
    <w:rsid w:val="005D08F3"/>
    <w:rsid w:val="005D5161"/>
    <w:rsid w:val="005D5DE9"/>
    <w:rsid w:val="005E1E41"/>
    <w:rsid w:val="00601532"/>
    <w:rsid w:val="00604220"/>
    <w:rsid w:val="006542E0"/>
    <w:rsid w:val="006620E0"/>
    <w:rsid w:val="00676908"/>
    <w:rsid w:val="00696D8B"/>
    <w:rsid w:val="006B4040"/>
    <w:rsid w:val="006B439B"/>
    <w:rsid w:val="006C20DB"/>
    <w:rsid w:val="006C232C"/>
    <w:rsid w:val="00731A72"/>
    <w:rsid w:val="00770C99"/>
    <w:rsid w:val="007B7865"/>
    <w:rsid w:val="008249B0"/>
    <w:rsid w:val="0082631A"/>
    <w:rsid w:val="008327BA"/>
    <w:rsid w:val="00836179"/>
    <w:rsid w:val="00844539"/>
    <w:rsid w:val="0087492F"/>
    <w:rsid w:val="00886AA3"/>
    <w:rsid w:val="00886FD5"/>
    <w:rsid w:val="00895284"/>
    <w:rsid w:val="008D16F6"/>
    <w:rsid w:val="009005AA"/>
    <w:rsid w:val="009127F6"/>
    <w:rsid w:val="00914DB3"/>
    <w:rsid w:val="00930DD3"/>
    <w:rsid w:val="0093140A"/>
    <w:rsid w:val="00935BED"/>
    <w:rsid w:val="0094359D"/>
    <w:rsid w:val="00964B9F"/>
    <w:rsid w:val="009836AF"/>
    <w:rsid w:val="00991E10"/>
    <w:rsid w:val="009A17C8"/>
    <w:rsid w:val="009A28A4"/>
    <w:rsid w:val="009B3FA5"/>
    <w:rsid w:val="009E5D1A"/>
    <w:rsid w:val="00A17543"/>
    <w:rsid w:val="00A30C8B"/>
    <w:rsid w:val="00A41D8B"/>
    <w:rsid w:val="00A5617A"/>
    <w:rsid w:val="00A65C0C"/>
    <w:rsid w:val="00A7538B"/>
    <w:rsid w:val="00AA2DCA"/>
    <w:rsid w:val="00AC2EE5"/>
    <w:rsid w:val="00AC3C89"/>
    <w:rsid w:val="00B433AE"/>
    <w:rsid w:val="00B56BAD"/>
    <w:rsid w:val="00B94E2F"/>
    <w:rsid w:val="00B95B71"/>
    <w:rsid w:val="00BA3AE2"/>
    <w:rsid w:val="00BB5ED1"/>
    <w:rsid w:val="00BD0E38"/>
    <w:rsid w:val="00BD53E0"/>
    <w:rsid w:val="00BF6BA4"/>
    <w:rsid w:val="00C00C67"/>
    <w:rsid w:val="00C038AB"/>
    <w:rsid w:val="00C42A50"/>
    <w:rsid w:val="00C433ED"/>
    <w:rsid w:val="00C44030"/>
    <w:rsid w:val="00C45F2C"/>
    <w:rsid w:val="00C762A1"/>
    <w:rsid w:val="00CA64FF"/>
    <w:rsid w:val="00CA672D"/>
    <w:rsid w:val="00CB10A9"/>
    <w:rsid w:val="00CD7EC3"/>
    <w:rsid w:val="00CE1A49"/>
    <w:rsid w:val="00D02C77"/>
    <w:rsid w:val="00D66840"/>
    <w:rsid w:val="00D86F63"/>
    <w:rsid w:val="00E15602"/>
    <w:rsid w:val="00E6516A"/>
    <w:rsid w:val="00E6744A"/>
    <w:rsid w:val="00E7220B"/>
    <w:rsid w:val="00E913F3"/>
    <w:rsid w:val="00EA436D"/>
    <w:rsid w:val="00EC3AD1"/>
    <w:rsid w:val="00ED2322"/>
    <w:rsid w:val="00F01826"/>
    <w:rsid w:val="00F0610F"/>
    <w:rsid w:val="00F11469"/>
    <w:rsid w:val="00F23286"/>
    <w:rsid w:val="00F87C5B"/>
    <w:rsid w:val="00FE2FDC"/>
    <w:rsid w:val="037D0845"/>
    <w:rsid w:val="067E2096"/>
    <w:rsid w:val="11DD4A3D"/>
    <w:rsid w:val="18A45553"/>
    <w:rsid w:val="18B677B5"/>
    <w:rsid w:val="218E621D"/>
    <w:rsid w:val="28E73C34"/>
    <w:rsid w:val="304C0FEE"/>
    <w:rsid w:val="356A1CC7"/>
    <w:rsid w:val="3E167D18"/>
    <w:rsid w:val="453C5CA5"/>
    <w:rsid w:val="4DC209BB"/>
    <w:rsid w:val="550F60AC"/>
    <w:rsid w:val="57E60F8B"/>
    <w:rsid w:val="587735B8"/>
    <w:rsid w:val="58CB4597"/>
    <w:rsid w:val="5A9C6628"/>
    <w:rsid w:val="67FC4188"/>
    <w:rsid w:val="72DF634C"/>
    <w:rsid w:val="744A5CD4"/>
    <w:rsid w:val="7BF56C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6"/>
    <w:semiHidden/>
    <w:unhideWhenUsed/>
    <w:uiPriority w:val="99"/>
    <w:rPr>
      <w:sz w:val="18"/>
      <w:szCs w:val="18"/>
    </w:rPr>
  </w:style>
  <w:style w:type="paragraph" w:styleId="3">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99"/>
    <w:rPr>
      <w:rFonts w:cs="Times New Roman"/>
    </w:rPr>
  </w:style>
  <w:style w:type="character" w:styleId="9">
    <w:name w:val="FollowedHyperlink"/>
    <w:semiHidden/>
    <w:unhideWhenUsed/>
    <w:uiPriority w:val="99"/>
    <w:rPr>
      <w:color w:val="800080"/>
      <w:u w:val="single"/>
    </w:rPr>
  </w:style>
  <w:style w:type="character" w:styleId="10">
    <w:name w:val="Hyperlink"/>
    <w:semiHidden/>
    <w:unhideWhenUsed/>
    <w:uiPriority w:val="99"/>
    <w:rPr>
      <w:color w:val="0000FF"/>
      <w:u w:val="single"/>
    </w:rPr>
  </w:style>
  <w:style w:type="character" w:customStyle="1" w:styleId="11">
    <w:name w:val="页脚 Char"/>
    <w:link w:val="3"/>
    <w:semiHidden/>
    <w:qFormat/>
    <w:locked/>
    <w:uiPriority w:val="99"/>
    <w:rPr>
      <w:rFonts w:cs="Times New Roman"/>
      <w:sz w:val="18"/>
      <w:szCs w:val="18"/>
    </w:rPr>
  </w:style>
  <w:style w:type="character" w:customStyle="1" w:styleId="12">
    <w:name w:val="页眉 Char"/>
    <w:link w:val="4"/>
    <w:semiHidden/>
    <w:qFormat/>
    <w:locked/>
    <w:uiPriority w:val="99"/>
    <w:rPr>
      <w:rFonts w:cs="Times New Roman"/>
      <w:sz w:val="18"/>
      <w:szCs w:val="18"/>
    </w:rPr>
  </w:style>
  <w:style w:type="paragraph" w:customStyle="1" w:styleId="1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4">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5">
    <w:name w:val="font7"/>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
    <w:name w:val="xl68"/>
    <w:basedOn w:val="1"/>
    <w:uiPriority w:val="0"/>
    <w:pPr>
      <w:widowControl/>
      <w:spacing w:before="100" w:beforeAutospacing="1" w:after="100" w:afterAutospacing="1"/>
      <w:jc w:val="center"/>
      <w:textAlignment w:val="center"/>
    </w:pPr>
    <w:rPr>
      <w:rFonts w:ascii="宋体" w:hAnsi="宋体" w:cs="宋体"/>
      <w:color w:val="000000"/>
      <w:kern w:val="0"/>
      <w:sz w:val="24"/>
    </w:rPr>
  </w:style>
  <w:style w:type="paragraph" w:customStyle="1" w:styleId="2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18"/>
      <w:szCs w:val="18"/>
    </w:rPr>
  </w:style>
  <w:style w:type="paragraph" w:customStyle="1" w:styleId="21">
    <w:name w:val="xl70"/>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2">
    <w:name w:val="xl71"/>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3">
    <w:name w:val="xl72"/>
    <w:basedOn w:val="1"/>
    <w:uiPriority w:val="0"/>
    <w:pPr>
      <w:widowControl/>
      <w:spacing w:before="100" w:beforeAutospacing="1" w:after="100" w:afterAutospacing="1"/>
      <w:jc w:val="center"/>
    </w:pPr>
    <w:rPr>
      <w:rFonts w:ascii="宋体" w:hAnsi="宋体" w:cs="宋体"/>
      <w:color w:val="000000"/>
      <w:kern w:val="0"/>
      <w:sz w:val="24"/>
    </w:rPr>
  </w:style>
  <w:style w:type="paragraph" w:customStyle="1" w:styleId="2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5">
    <w:name w:val="发文机关标识"/>
    <w:basedOn w:val="1"/>
    <w:qFormat/>
    <w:uiPriority w:val="0"/>
    <w:pPr>
      <w:spacing w:line="1400" w:lineRule="exact"/>
      <w:jc w:val="distribute"/>
    </w:pPr>
    <w:rPr>
      <w:rFonts w:ascii="仿宋_GB2312" w:eastAsia="方正小标宋简体"/>
      <w:color w:val="FF0000"/>
      <w:spacing w:val="-60"/>
      <w:w w:val="53"/>
      <w:sz w:val="126"/>
      <w:szCs w:val="32"/>
    </w:rPr>
  </w:style>
  <w:style w:type="character" w:customStyle="1" w:styleId="26">
    <w:name w:val="批注框文本 Char"/>
    <w:link w:val="2"/>
    <w:semiHidden/>
    <w:uiPriority w:val="99"/>
    <w:rPr>
      <w:rFonts w:ascii="Calibri" w:hAnsi="Calibri"/>
      <w:kern w:val="2"/>
      <w:sz w:val="18"/>
      <w:szCs w:val="18"/>
    </w:rPr>
  </w:style>
  <w:style w:type="paragraph" w:customStyle="1" w:styleId="27">
    <w:name w:val="材料标题"/>
    <w:basedOn w:val="1"/>
    <w:link w:val="28"/>
    <w:qFormat/>
    <w:uiPriority w:val="0"/>
    <w:pPr>
      <w:adjustRightInd w:val="0"/>
      <w:snapToGrid w:val="0"/>
      <w:spacing w:line="700" w:lineRule="exact"/>
      <w:jc w:val="center"/>
    </w:pPr>
    <w:rPr>
      <w:rFonts w:ascii="方正小标宋简体" w:hAnsi="Times New Roman" w:eastAsia="方正小标宋简体"/>
      <w:color w:val="000000"/>
      <w:kern w:val="0"/>
      <w:sz w:val="44"/>
      <w:szCs w:val="44"/>
    </w:rPr>
  </w:style>
  <w:style w:type="character" w:customStyle="1" w:styleId="28">
    <w:name w:val="材料标题 Char"/>
    <w:link w:val="27"/>
    <w:uiPriority w:val="0"/>
    <w:rPr>
      <w:rFonts w:ascii="方正小标宋简体" w:eastAsia="方正小标宋简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104</Words>
  <Characters>597</Characters>
  <Lines>4</Lines>
  <Paragraphs>1</Paragraphs>
  <TotalTime>59</TotalTime>
  <ScaleCrop>false</ScaleCrop>
  <LinksUpToDate>false</LinksUpToDate>
  <CharactersWithSpaces>700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2017-12-05T06:03:00Z</dcterms:created>
  <dc:creator>卢君</dc:creator>
  <cp:lastModifiedBy>Administrator</cp:lastModifiedBy>
  <cp:lastPrinted>2021-10-28T05:48:00Z</cp:lastPrinted>
  <dcterms:modified xsi:type="dcterms:W3CDTF">2021-11-03T02:23:30Z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390A43B06429458C946507895FBAD1B7</vt:lpwstr>
  </property>
</Properties>
</file>