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安全生产领域政务公开事项目录</w:t>
      </w:r>
      <w:bookmarkStart w:id="0" w:name="_GoBack"/>
      <w:bookmarkEnd w:id="0"/>
    </w:p>
    <w:p>
      <w:pPr>
        <w:spacing w:line="560" w:lineRule="exact"/>
        <w:jc w:val="center"/>
        <w:rPr>
          <w:rFonts w:hint="eastAsia" w:ascii="方正小标宋简体" w:eastAsia="方正小标宋简体"/>
          <w:sz w:val="44"/>
          <w:szCs w:val="44"/>
        </w:rPr>
      </w:pP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61"/>
        <w:gridCol w:w="801"/>
        <w:gridCol w:w="510"/>
        <w:gridCol w:w="1796"/>
        <w:gridCol w:w="789"/>
        <w:gridCol w:w="1233"/>
        <w:gridCol w:w="802"/>
        <w:gridCol w:w="870"/>
        <w:gridCol w:w="802"/>
        <w:gridCol w:w="802"/>
        <w:gridCol w:w="577"/>
        <w:gridCol w:w="936"/>
        <w:gridCol w:w="870"/>
        <w:gridCol w:w="904"/>
        <w:gridCol w:w="802"/>
        <w:gridCol w:w="802"/>
        <w:gridCol w:w="802"/>
        <w:gridCol w:w="802"/>
        <w:gridCol w:w="802"/>
        <w:gridCol w:w="802"/>
        <w:gridCol w:w="870"/>
        <w:gridCol w:w="802"/>
        <w:gridCol w:w="972"/>
        <w:gridCol w:w="1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61" w:type="dxa"/>
            <w:vMerge w:val="restart"/>
            <w:shd w:val="clear" w:color="auto" w:fill="auto"/>
            <w:noWrap/>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Times New Roman" w:eastAsia="黑体" w:cs="Times New Roman"/>
                <w:color w:val="000000"/>
                <w:kern w:val="0"/>
                <w:sz w:val="20"/>
                <w:szCs w:val="20"/>
              </w:rPr>
              <w:t>NO</w:t>
            </w:r>
          </w:p>
        </w:tc>
        <w:tc>
          <w:tcPr>
            <w:tcW w:w="6801" w:type="dxa"/>
            <w:gridSpan w:val="7"/>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事项属性</w:t>
            </w:r>
          </w:p>
        </w:tc>
        <w:tc>
          <w:tcPr>
            <w:tcW w:w="3117" w:type="dxa"/>
            <w:gridSpan w:val="4"/>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事项信息</w:t>
            </w:r>
          </w:p>
        </w:tc>
        <w:tc>
          <w:tcPr>
            <w:tcW w:w="9230" w:type="dxa"/>
            <w:gridSpan w:val="11"/>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政务公开办理</w:t>
            </w:r>
          </w:p>
        </w:tc>
        <w:tc>
          <w:tcPr>
            <w:tcW w:w="1385" w:type="dxa"/>
            <w:vMerge w:val="restart"/>
            <w:shd w:val="clear" w:color="auto" w:fill="auto"/>
            <w:vAlign w:val="center"/>
          </w:tcPr>
          <w:p>
            <w:pPr>
              <w:widowControl/>
              <w:ind w:left="-85" w:right="-85"/>
              <w:jc w:val="center"/>
              <w:rPr>
                <w:rFonts w:ascii="Times New Roman" w:hAnsi="Times New Roman" w:eastAsia="方正黑体_GBK" w:cs="Times New Roman"/>
                <w:color w:val="000000"/>
                <w:kern w:val="0"/>
                <w:sz w:val="20"/>
                <w:szCs w:val="20"/>
              </w:rPr>
            </w:pPr>
            <w:r>
              <w:rPr>
                <w:rFonts w:ascii="Times New Roman" w:hAnsi="Times New Roman" w:eastAsia="方正黑体_GBK" w:cs="Times New Roman"/>
                <w:color w:val="000000"/>
                <w:kern w:val="0"/>
                <w:sz w:val="20"/>
                <w:szCs w:val="20"/>
              </w:rPr>
              <w:t>监督方式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6801" w:type="dxa"/>
            <w:gridSpan w:val="7"/>
            <w:vMerge w:val="continue"/>
            <w:vAlign w:val="center"/>
          </w:tcPr>
          <w:p>
            <w:pPr>
              <w:widowControl/>
              <w:ind w:left="-85" w:right="-85"/>
              <w:jc w:val="left"/>
              <w:rPr>
                <w:rFonts w:ascii="Times New Roman" w:hAnsi="Times New Roman" w:eastAsia="黑体" w:cs="Times New Roman"/>
                <w:color w:val="000000"/>
                <w:kern w:val="0"/>
                <w:sz w:val="20"/>
                <w:szCs w:val="20"/>
              </w:rPr>
            </w:pPr>
          </w:p>
        </w:tc>
        <w:tc>
          <w:tcPr>
            <w:tcW w:w="3117" w:type="dxa"/>
            <w:gridSpan w:val="4"/>
            <w:vMerge w:val="continue"/>
            <w:vAlign w:val="center"/>
          </w:tcPr>
          <w:p>
            <w:pPr>
              <w:widowControl/>
              <w:ind w:left="-85" w:right="-85"/>
              <w:jc w:val="left"/>
              <w:rPr>
                <w:rFonts w:ascii="Times New Roman" w:hAnsi="Times New Roman" w:eastAsia="黑体" w:cs="Times New Roman"/>
                <w:color w:val="000000"/>
                <w:kern w:val="0"/>
                <w:sz w:val="20"/>
                <w:szCs w:val="20"/>
              </w:rPr>
            </w:pPr>
          </w:p>
        </w:tc>
        <w:tc>
          <w:tcPr>
            <w:tcW w:w="1774" w:type="dxa"/>
            <w:gridSpan w:val="2"/>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政务信息简明实时推送（查询）</w:t>
            </w:r>
          </w:p>
        </w:tc>
        <w:tc>
          <w:tcPr>
            <w:tcW w:w="7456" w:type="dxa"/>
            <w:gridSpan w:val="9"/>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成文政务信息公开</w:t>
            </w: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1"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类别</w:t>
            </w:r>
          </w:p>
        </w:tc>
        <w:tc>
          <w:tcPr>
            <w:tcW w:w="51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事项编码</w:t>
            </w:r>
          </w:p>
        </w:tc>
        <w:tc>
          <w:tcPr>
            <w:tcW w:w="1796"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事项名称</w:t>
            </w:r>
          </w:p>
        </w:tc>
        <w:tc>
          <w:tcPr>
            <w:tcW w:w="789"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部门</w:t>
            </w:r>
          </w:p>
        </w:tc>
        <w:tc>
          <w:tcPr>
            <w:tcW w:w="1233"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设定依据</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主体</w:t>
            </w:r>
          </w:p>
        </w:tc>
        <w:tc>
          <w:tcPr>
            <w:tcW w:w="87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办理时限</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环节</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岗位</w:t>
            </w:r>
          </w:p>
        </w:tc>
        <w:tc>
          <w:tcPr>
            <w:tcW w:w="577"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信息编码</w:t>
            </w:r>
          </w:p>
        </w:tc>
        <w:tc>
          <w:tcPr>
            <w:tcW w:w="936"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办理环节产生的信息名称</w:t>
            </w:r>
          </w:p>
        </w:tc>
        <w:tc>
          <w:tcPr>
            <w:tcW w:w="87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信息推送（查询）内容要素</w:t>
            </w:r>
          </w:p>
        </w:tc>
        <w:tc>
          <w:tcPr>
            <w:tcW w:w="904"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信息推送（查询）渠道</w:t>
            </w:r>
          </w:p>
        </w:tc>
        <w:tc>
          <w:tcPr>
            <w:tcW w:w="3208" w:type="dxa"/>
            <w:gridSpan w:val="4"/>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公开属性</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非主动公开依据及理由</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FF0000"/>
                <w:kern w:val="0"/>
                <w:sz w:val="20"/>
                <w:szCs w:val="20"/>
              </w:rPr>
            </w:pPr>
            <w:r>
              <w:rPr>
                <w:rFonts w:ascii="Times New Roman" w:hAnsi="黑体" w:eastAsia="黑体" w:cs="Times New Roman"/>
                <w:color w:val="000000"/>
                <w:kern w:val="0"/>
                <w:sz w:val="20"/>
                <w:szCs w:val="20"/>
              </w:rPr>
              <w:t>公开主体</w:t>
            </w:r>
          </w:p>
        </w:tc>
        <w:tc>
          <w:tcPr>
            <w:tcW w:w="87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公开办理时限</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公开方式</w:t>
            </w:r>
          </w:p>
        </w:tc>
        <w:tc>
          <w:tcPr>
            <w:tcW w:w="97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公开渠道</w:t>
            </w: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1"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51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796"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789"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233"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577"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936"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904"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主动公开</w:t>
            </w: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部分公开</w:t>
            </w: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依申请公开</w:t>
            </w: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不予公开</w:t>
            </w: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97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49" w:hRule="atLeast"/>
          <w:jc w:val="center"/>
        </w:trPr>
        <w:tc>
          <w:tcPr>
            <w:tcW w:w="661" w:type="dxa"/>
            <w:vMerge w:val="restart"/>
            <w:shd w:val="clear" w:color="auto" w:fill="auto"/>
            <w:noWrap/>
            <w:vAlign w:val="center"/>
          </w:tcPr>
          <w:p>
            <w:pPr>
              <w:widowControl/>
              <w:ind w:left="-85" w:right="-85"/>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1</w:t>
            </w:r>
          </w:p>
        </w:tc>
        <w:tc>
          <w:tcPr>
            <w:tcW w:w="801"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公共服务政务公开事项</w:t>
            </w:r>
          </w:p>
        </w:tc>
        <w:tc>
          <w:tcPr>
            <w:tcW w:w="510" w:type="dxa"/>
            <w:vMerge w:val="restart"/>
            <w:shd w:val="clear" w:color="auto" w:fill="auto"/>
            <w:vAlign w:val="center"/>
          </w:tcPr>
          <w:p>
            <w:pPr>
              <w:jc w:val="center"/>
              <w:rPr>
                <w:rFonts w:hint="eastAsia" w:ascii="宋体" w:hAnsi="宋体" w:eastAsia="宋体" w:cs="宋体"/>
                <w:color w:val="000000"/>
                <w:kern w:val="0"/>
                <w:sz w:val="18"/>
                <w:szCs w:val="18"/>
              </w:rPr>
            </w:pPr>
          </w:p>
        </w:tc>
        <w:tc>
          <w:tcPr>
            <w:tcW w:w="179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安全生产宣传</w:t>
            </w:r>
          </w:p>
        </w:tc>
        <w:tc>
          <w:tcPr>
            <w:tcW w:w="789" w:type="dxa"/>
            <w:vMerge w:val="restart"/>
            <w:shd w:val="clear" w:color="auto" w:fill="auto"/>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龙虎塘街道综合行政执法局</w:t>
            </w:r>
          </w:p>
        </w:tc>
        <w:tc>
          <w:tcPr>
            <w:tcW w:w="1233"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《中华人民共和国安全生产法》第十一条 各级人民政府及其有关部门应当采取多种形式，加强对有关安全生产的法律、法规和安全生产知识的宣传，增强全社会的安全生产意识</w:t>
            </w:r>
          </w:p>
        </w:tc>
        <w:tc>
          <w:tcPr>
            <w:tcW w:w="80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龙虎塘街道综合行政执法局</w:t>
            </w:r>
          </w:p>
        </w:tc>
        <w:tc>
          <w:tcPr>
            <w:tcW w:w="870"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承诺时限：30个工作日</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公告</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龙虎塘街道综合行政执法局</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安全生产知识</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龙虎塘街道办事处</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83" w:hRule="atLeast"/>
          <w:jc w:val="center"/>
        </w:trPr>
        <w:tc>
          <w:tcPr>
            <w:tcW w:w="661" w:type="dxa"/>
            <w:vMerge w:val="continue"/>
            <w:vAlign w:val="center"/>
          </w:tcPr>
          <w:p>
            <w:pPr>
              <w:widowControl/>
              <w:ind w:left="-85" w:right="-85"/>
              <w:jc w:val="center"/>
              <w:rPr>
                <w:rFonts w:hint="eastAsia" w:ascii="宋体" w:hAnsi="宋体" w:eastAsia="宋体" w:cs="宋体"/>
                <w:color w:val="000000"/>
                <w:kern w:val="0"/>
                <w:sz w:val="18"/>
                <w:szCs w:val="18"/>
              </w:rPr>
            </w:pPr>
          </w:p>
        </w:tc>
        <w:tc>
          <w:tcPr>
            <w:tcW w:w="801" w:type="dxa"/>
            <w:vMerge w:val="continue"/>
            <w:vAlign w:val="center"/>
          </w:tcPr>
          <w:p>
            <w:pPr>
              <w:jc w:val="center"/>
              <w:rPr>
                <w:rFonts w:hint="eastAsia" w:ascii="宋体" w:hAnsi="宋体" w:eastAsia="宋体" w:cs="宋体"/>
                <w:color w:val="000000"/>
                <w:kern w:val="0"/>
                <w:sz w:val="18"/>
                <w:szCs w:val="18"/>
              </w:rPr>
            </w:pPr>
          </w:p>
        </w:tc>
        <w:tc>
          <w:tcPr>
            <w:tcW w:w="510" w:type="dxa"/>
            <w:vMerge w:val="continue"/>
            <w:vAlign w:val="center"/>
          </w:tcPr>
          <w:p>
            <w:pPr>
              <w:jc w:val="center"/>
              <w:rPr>
                <w:rFonts w:hint="eastAsia" w:ascii="宋体" w:hAnsi="宋体" w:eastAsia="宋体" w:cs="宋体"/>
                <w:color w:val="000000"/>
                <w:kern w:val="0"/>
                <w:sz w:val="18"/>
                <w:szCs w:val="18"/>
              </w:rPr>
            </w:pPr>
          </w:p>
        </w:tc>
        <w:tc>
          <w:tcPr>
            <w:tcW w:w="1796" w:type="dxa"/>
            <w:vMerge w:val="continue"/>
            <w:vAlign w:val="center"/>
          </w:tcPr>
          <w:p>
            <w:pPr>
              <w:jc w:val="center"/>
              <w:rPr>
                <w:rFonts w:hint="eastAsia" w:ascii="宋体" w:hAnsi="宋体" w:eastAsia="宋体" w:cs="宋体"/>
                <w:color w:val="000000"/>
                <w:kern w:val="0"/>
                <w:sz w:val="18"/>
                <w:szCs w:val="18"/>
              </w:rPr>
            </w:pPr>
          </w:p>
        </w:tc>
        <w:tc>
          <w:tcPr>
            <w:tcW w:w="789" w:type="dxa"/>
            <w:vMerge w:val="continue"/>
            <w:vAlign w:val="center"/>
          </w:tcPr>
          <w:p>
            <w:pPr>
              <w:jc w:val="center"/>
              <w:rPr>
                <w:rFonts w:hint="eastAsia" w:ascii="宋体" w:hAnsi="宋体" w:eastAsia="宋体" w:cs="宋体"/>
                <w:color w:val="000000"/>
                <w:kern w:val="0"/>
                <w:sz w:val="18"/>
                <w:szCs w:val="18"/>
              </w:rPr>
            </w:pPr>
          </w:p>
        </w:tc>
        <w:tc>
          <w:tcPr>
            <w:tcW w:w="1233" w:type="dxa"/>
            <w:vMerge w:val="continue"/>
            <w:vAlign w:val="center"/>
          </w:tcPr>
          <w:p>
            <w:pPr>
              <w:jc w:val="both"/>
              <w:rPr>
                <w:rFonts w:hint="eastAsia" w:ascii="宋体" w:hAnsi="宋体" w:eastAsia="宋体" w:cs="宋体"/>
                <w:color w:val="000000"/>
                <w:kern w:val="0"/>
                <w:sz w:val="18"/>
                <w:szCs w:val="18"/>
              </w:rPr>
            </w:pPr>
          </w:p>
        </w:tc>
        <w:tc>
          <w:tcPr>
            <w:tcW w:w="802" w:type="dxa"/>
            <w:vMerge w:val="continue"/>
            <w:vAlign w:val="center"/>
          </w:tcPr>
          <w:p>
            <w:pPr>
              <w:jc w:val="center"/>
              <w:rPr>
                <w:rFonts w:hint="eastAsia" w:ascii="宋体" w:hAnsi="宋体" w:eastAsia="宋体" w:cs="宋体"/>
                <w:color w:val="000000"/>
                <w:kern w:val="0"/>
                <w:sz w:val="18"/>
                <w:szCs w:val="18"/>
              </w:rPr>
            </w:pPr>
          </w:p>
        </w:tc>
        <w:tc>
          <w:tcPr>
            <w:tcW w:w="870" w:type="dxa"/>
            <w:vMerge w:val="continue"/>
            <w:vAlign w:val="center"/>
          </w:tcPr>
          <w:p>
            <w:pPr>
              <w:jc w:val="both"/>
              <w:rPr>
                <w:rFonts w:hint="eastAsia" w:ascii="宋体" w:hAnsi="宋体" w:eastAsia="宋体" w:cs="宋体"/>
                <w:color w:val="000000"/>
                <w:kern w:val="0"/>
                <w:sz w:val="18"/>
                <w:szCs w:val="18"/>
              </w:rPr>
            </w:pPr>
          </w:p>
        </w:tc>
        <w:tc>
          <w:tcPr>
            <w:tcW w:w="80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咨询</w:t>
            </w:r>
          </w:p>
        </w:tc>
        <w:tc>
          <w:tcPr>
            <w:tcW w:w="80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龙虎塘街道综合行政执法局</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咨询申请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龙虎塘街道办事处</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66" w:hRule="atLeast"/>
          <w:jc w:val="center"/>
        </w:trPr>
        <w:tc>
          <w:tcPr>
            <w:tcW w:w="661" w:type="dxa"/>
            <w:vMerge w:val="continue"/>
            <w:vAlign w:val="center"/>
          </w:tcPr>
          <w:p>
            <w:pPr>
              <w:widowControl/>
              <w:ind w:left="-85" w:right="-85"/>
              <w:jc w:val="center"/>
              <w:rPr>
                <w:rFonts w:hint="eastAsia" w:ascii="宋体" w:hAnsi="宋体" w:eastAsia="宋体" w:cs="宋体"/>
                <w:color w:val="000000"/>
                <w:kern w:val="0"/>
                <w:sz w:val="18"/>
                <w:szCs w:val="18"/>
              </w:rPr>
            </w:pPr>
          </w:p>
        </w:tc>
        <w:tc>
          <w:tcPr>
            <w:tcW w:w="801" w:type="dxa"/>
            <w:vMerge w:val="continue"/>
            <w:vAlign w:val="center"/>
          </w:tcPr>
          <w:p>
            <w:pPr>
              <w:jc w:val="center"/>
              <w:rPr>
                <w:rFonts w:hint="eastAsia" w:ascii="宋体" w:hAnsi="宋体" w:eastAsia="宋体" w:cs="宋体"/>
                <w:color w:val="000000"/>
                <w:kern w:val="0"/>
                <w:sz w:val="18"/>
                <w:szCs w:val="18"/>
              </w:rPr>
            </w:pPr>
          </w:p>
        </w:tc>
        <w:tc>
          <w:tcPr>
            <w:tcW w:w="510" w:type="dxa"/>
            <w:vMerge w:val="continue"/>
            <w:vAlign w:val="center"/>
          </w:tcPr>
          <w:p>
            <w:pPr>
              <w:jc w:val="center"/>
              <w:rPr>
                <w:rFonts w:hint="eastAsia" w:ascii="宋体" w:hAnsi="宋体" w:eastAsia="宋体" w:cs="宋体"/>
                <w:color w:val="000000"/>
                <w:kern w:val="0"/>
                <w:sz w:val="18"/>
                <w:szCs w:val="18"/>
              </w:rPr>
            </w:pPr>
          </w:p>
        </w:tc>
        <w:tc>
          <w:tcPr>
            <w:tcW w:w="1796" w:type="dxa"/>
            <w:vMerge w:val="continue"/>
            <w:vAlign w:val="center"/>
          </w:tcPr>
          <w:p>
            <w:pPr>
              <w:jc w:val="center"/>
              <w:rPr>
                <w:rFonts w:hint="eastAsia" w:ascii="宋体" w:hAnsi="宋体" w:eastAsia="宋体" w:cs="宋体"/>
                <w:color w:val="000000"/>
                <w:kern w:val="0"/>
                <w:sz w:val="18"/>
                <w:szCs w:val="18"/>
              </w:rPr>
            </w:pPr>
          </w:p>
        </w:tc>
        <w:tc>
          <w:tcPr>
            <w:tcW w:w="789" w:type="dxa"/>
            <w:vMerge w:val="continue"/>
            <w:vAlign w:val="center"/>
          </w:tcPr>
          <w:p>
            <w:pPr>
              <w:jc w:val="center"/>
              <w:rPr>
                <w:rFonts w:hint="eastAsia" w:ascii="宋体" w:hAnsi="宋体" w:eastAsia="宋体" w:cs="宋体"/>
                <w:color w:val="000000"/>
                <w:kern w:val="0"/>
                <w:sz w:val="18"/>
                <w:szCs w:val="18"/>
              </w:rPr>
            </w:pPr>
          </w:p>
        </w:tc>
        <w:tc>
          <w:tcPr>
            <w:tcW w:w="1233" w:type="dxa"/>
            <w:vMerge w:val="continue"/>
            <w:vAlign w:val="center"/>
          </w:tcPr>
          <w:p>
            <w:pPr>
              <w:jc w:val="both"/>
              <w:rPr>
                <w:rFonts w:hint="eastAsia" w:ascii="宋体" w:hAnsi="宋体" w:eastAsia="宋体" w:cs="宋体"/>
                <w:color w:val="000000"/>
                <w:kern w:val="0"/>
                <w:sz w:val="18"/>
                <w:szCs w:val="18"/>
              </w:rPr>
            </w:pPr>
          </w:p>
        </w:tc>
        <w:tc>
          <w:tcPr>
            <w:tcW w:w="802" w:type="dxa"/>
            <w:vMerge w:val="continue"/>
            <w:vAlign w:val="center"/>
          </w:tcPr>
          <w:p>
            <w:pPr>
              <w:jc w:val="center"/>
              <w:rPr>
                <w:rFonts w:hint="eastAsia" w:ascii="宋体" w:hAnsi="宋体" w:eastAsia="宋体" w:cs="宋体"/>
                <w:color w:val="000000"/>
                <w:kern w:val="0"/>
                <w:sz w:val="18"/>
                <w:szCs w:val="18"/>
              </w:rPr>
            </w:pPr>
          </w:p>
        </w:tc>
        <w:tc>
          <w:tcPr>
            <w:tcW w:w="870" w:type="dxa"/>
            <w:vMerge w:val="continue"/>
            <w:vAlign w:val="center"/>
          </w:tcPr>
          <w:p>
            <w:pPr>
              <w:jc w:val="both"/>
              <w:rPr>
                <w:rFonts w:hint="eastAsia" w:ascii="宋体" w:hAnsi="宋体" w:eastAsia="宋体" w:cs="宋体"/>
                <w:color w:val="000000"/>
                <w:kern w:val="0"/>
                <w:sz w:val="18"/>
                <w:szCs w:val="18"/>
              </w:rPr>
            </w:pPr>
          </w:p>
        </w:tc>
        <w:tc>
          <w:tcPr>
            <w:tcW w:w="802"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802"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资讯答复</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龙虎塘街道办事处</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661" w:type="dxa"/>
            <w:vMerge w:val="restart"/>
            <w:vAlign w:val="center"/>
          </w:tcPr>
          <w:p>
            <w:pPr>
              <w:widowControl/>
              <w:ind w:left="-85" w:right="-85"/>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801" w:type="dxa"/>
            <w:vMerge w:val="restart"/>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公共服务政务公开事项</w:t>
            </w:r>
          </w:p>
        </w:tc>
        <w:tc>
          <w:tcPr>
            <w:tcW w:w="510" w:type="dxa"/>
            <w:vMerge w:val="restart"/>
            <w:vAlign w:val="center"/>
          </w:tcPr>
          <w:p>
            <w:pPr>
              <w:jc w:val="center"/>
              <w:rPr>
                <w:rFonts w:hint="eastAsia" w:ascii="宋体" w:hAnsi="宋体" w:eastAsia="宋体" w:cs="宋体"/>
                <w:color w:val="000000"/>
                <w:kern w:val="0"/>
                <w:sz w:val="18"/>
                <w:szCs w:val="18"/>
              </w:rPr>
            </w:pPr>
          </w:p>
        </w:tc>
        <w:tc>
          <w:tcPr>
            <w:tcW w:w="1796" w:type="dxa"/>
            <w:vMerge w:val="restart"/>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组织指导生产安全事故应急演练</w:t>
            </w:r>
          </w:p>
        </w:tc>
        <w:tc>
          <w:tcPr>
            <w:tcW w:w="789" w:type="dxa"/>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龙虎塘街道综合行政执法局</w:t>
            </w:r>
          </w:p>
        </w:tc>
        <w:tc>
          <w:tcPr>
            <w:tcW w:w="1233" w:type="dxa"/>
            <w:vMerge w:val="restart"/>
            <w:vAlign w:val="center"/>
          </w:tcPr>
          <w:p>
            <w:pPr>
              <w:keepNext w:val="0"/>
              <w:keepLines w:val="0"/>
              <w:widowControl/>
              <w:suppressLineNumbers w:val="0"/>
              <w:jc w:val="both"/>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《中华人民共和国安全生产法》 第七十六条 国家加强生产安全事故应急能力建设，在重点行业、领域建立应急救援基地和应急救援队伍，鼓励生产经营单位和其他社会力量建立应急救援队伍，配备相应的应急救援装备和物资，提高应急救援的专业化水平</w:t>
            </w:r>
          </w:p>
        </w:tc>
        <w:tc>
          <w:tcPr>
            <w:tcW w:w="802" w:type="dxa"/>
            <w:vMerge w:val="restart"/>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龙虎塘街道综合行政执法局</w:t>
            </w:r>
          </w:p>
        </w:tc>
        <w:tc>
          <w:tcPr>
            <w:tcW w:w="870" w:type="dxa"/>
            <w:vMerge w:val="restart"/>
            <w:vAlign w:val="center"/>
          </w:tcPr>
          <w:p>
            <w:pPr>
              <w:keepNext w:val="0"/>
              <w:keepLines w:val="0"/>
              <w:widowControl/>
              <w:suppressLineNumbers w:val="0"/>
              <w:jc w:val="both"/>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承诺时限：30个工作日</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公告</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龙虎塘街道综合行政执法局</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应急预案演练计划、过程、总结</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龙虎塘街道办事处</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661" w:type="dxa"/>
            <w:vMerge w:val="continue"/>
            <w:shd w:val="clear" w:color="auto" w:fill="auto"/>
            <w:noWrap/>
            <w:vAlign w:val="center"/>
          </w:tcPr>
          <w:p>
            <w:pPr>
              <w:widowControl/>
              <w:ind w:left="-85" w:right="-85"/>
              <w:jc w:val="center"/>
              <w:rPr>
                <w:rFonts w:hint="eastAsia" w:ascii="宋体" w:hAnsi="宋体" w:eastAsia="宋体" w:cs="宋体"/>
                <w:color w:val="000000"/>
                <w:kern w:val="0"/>
                <w:sz w:val="18"/>
                <w:szCs w:val="18"/>
              </w:rPr>
            </w:pPr>
          </w:p>
        </w:tc>
        <w:tc>
          <w:tcPr>
            <w:tcW w:w="801"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510"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1796"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789" w:type="dxa"/>
            <w:vMerge w:val="restart"/>
            <w:shd w:val="clear" w:color="auto" w:fill="auto"/>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龙虎塘街道综合行政执法局</w:t>
            </w:r>
          </w:p>
        </w:tc>
        <w:tc>
          <w:tcPr>
            <w:tcW w:w="1233" w:type="dxa"/>
            <w:vMerge w:val="continue"/>
            <w:shd w:val="clear" w:color="auto" w:fill="auto"/>
            <w:vAlign w:val="center"/>
          </w:tcPr>
          <w:p>
            <w:pPr>
              <w:jc w:val="both"/>
              <w:rPr>
                <w:rFonts w:hint="eastAsia" w:ascii="宋体" w:hAnsi="宋体" w:eastAsia="宋体" w:cs="宋体"/>
                <w:color w:val="000000"/>
                <w:kern w:val="0"/>
                <w:sz w:val="18"/>
                <w:szCs w:val="18"/>
              </w:rPr>
            </w:pPr>
          </w:p>
        </w:tc>
        <w:tc>
          <w:tcPr>
            <w:tcW w:w="802"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870" w:type="dxa"/>
            <w:vMerge w:val="continue"/>
            <w:shd w:val="clear" w:color="auto" w:fill="auto"/>
            <w:vAlign w:val="center"/>
          </w:tcPr>
          <w:p>
            <w:pPr>
              <w:jc w:val="both"/>
              <w:rPr>
                <w:rFonts w:hint="eastAsia" w:ascii="宋体" w:hAnsi="宋体" w:eastAsia="宋体" w:cs="宋体"/>
                <w:color w:val="000000"/>
                <w:kern w:val="0"/>
                <w:sz w:val="18"/>
                <w:szCs w:val="18"/>
              </w:rPr>
            </w:pPr>
          </w:p>
        </w:tc>
        <w:tc>
          <w:tcPr>
            <w:tcW w:w="80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咨询</w:t>
            </w:r>
          </w:p>
        </w:tc>
        <w:tc>
          <w:tcPr>
            <w:tcW w:w="80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龙虎塘街道综合行政执法局</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咨询申请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龙虎塘街道办事处</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3" w:hRule="atLeast"/>
          <w:jc w:val="center"/>
        </w:trPr>
        <w:tc>
          <w:tcPr>
            <w:tcW w:w="661" w:type="dxa"/>
            <w:vMerge w:val="continue"/>
            <w:vAlign w:val="center"/>
          </w:tcPr>
          <w:p>
            <w:pPr>
              <w:widowControl/>
              <w:ind w:left="-85" w:right="-85"/>
              <w:jc w:val="center"/>
              <w:rPr>
                <w:rFonts w:hint="eastAsia" w:ascii="宋体" w:hAnsi="宋体" w:eastAsia="宋体" w:cs="宋体"/>
                <w:color w:val="000000"/>
                <w:kern w:val="0"/>
                <w:sz w:val="18"/>
                <w:szCs w:val="18"/>
              </w:rPr>
            </w:pPr>
          </w:p>
        </w:tc>
        <w:tc>
          <w:tcPr>
            <w:tcW w:w="801" w:type="dxa"/>
            <w:vMerge w:val="continue"/>
            <w:vAlign w:val="center"/>
          </w:tcPr>
          <w:p>
            <w:pPr>
              <w:jc w:val="center"/>
              <w:rPr>
                <w:rFonts w:hint="eastAsia" w:ascii="宋体" w:hAnsi="宋体" w:eastAsia="宋体" w:cs="宋体"/>
                <w:color w:val="000000"/>
                <w:kern w:val="0"/>
                <w:sz w:val="18"/>
                <w:szCs w:val="18"/>
              </w:rPr>
            </w:pPr>
          </w:p>
        </w:tc>
        <w:tc>
          <w:tcPr>
            <w:tcW w:w="510" w:type="dxa"/>
            <w:vMerge w:val="continue"/>
            <w:vAlign w:val="center"/>
          </w:tcPr>
          <w:p>
            <w:pPr>
              <w:jc w:val="center"/>
              <w:rPr>
                <w:rFonts w:hint="eastAsia" w:ascii="宋体" w:hAnsi="宋体" w:eastAsia="宋体" w:cs="宋体"/>
                <w:color w:val="000000"/>
                <w:kern w:val="0"/>
                <w:sz w:val="18"/>
                <w:szCs w:val="18"/>
              </w:rPr>
            </w:pPr>
          </w:p>
        </w:tc>
        <w:tc>
          <w:tcPr>
            <w:tcW w:w="1796" w:type="dxa"/>
            <w:vMerge w:val="continue"/>
            <w:vAlign w:val="center"/>
          </w:tcPr>
          <w:p>
            <w:pPr>
              <w:jc w:val="center"/>
              <w:rPr>
                <w:rFonts w:hint="eastAsia" w:ascii="宋体" w:hAnsi="宋体" w:eastAsia="宋体" w:cs="宋体"/>
                <w:color w:val="000000"/>
                <w:kern w:val="0"/>
                <w:sz w:val="18"/>
                <w:szCs w:val="18"/>
              </w:rPr>
            </w:pPr>
          </w:p>
        </w:tc>
        <w:tc>
          <w:tcPr>
            <w:tcW w:w="789" w:type="dxa"/>
            <w:vMerge w:val="continue"/>
            <w:vAlign w:val="center"/>
          </w:tcPr>
          <w:p>
            <w:pPr>
              <w:jc w:val="center"/>
              <w:rPr>
                <w:rFonts w:hint="eastAsia" w:ascii="宋体" w:hAnsi="宋体" w:eastAsia="宋体" w:cs="宋体"/>
                <w:color w:val="000000"/>
                <w:kern w:val="0"/>
                <w:sz w:val="18"/>
                <w:szCs w:val="18"/>
              </w:rPr>
            </w:pPr>
          </w:p>
        </w:tc>
        <w:tc>
          <w:tcPr>
            <w:tcW w:w="1233" w:type="dxa"/>
            <w:vMerge w:val="continue"/>
            <w:vAlign w:val="center"/>
          </w:tcPr>
          <w:p>
            <w:pPr>
              <w:jc w:val="both"/>
              <w:rPr>
                <w:rFonts w:hint="eastAsia" w:ascii="宋体" w:hAnsi="宋体" w:eastAsia="宋体" w:cs="宋体"/>
                <w:color w:val="000000"/>
                <w:kern w:val="0"/>
                <w:sz w:val="18"/>
                <w:szCs w:val="18"/>
              </w:rPr>
            </w:pPr>
          </w:p>
        </w:tc>
        <w:tc>
          <w:tcPr>
            <w:tcW w:w="802" w:type="dxa"/>
            <w:vMerge w:val="continue"/>
            <w:vAlign w:val="center"/>
          </w:tcPr>
          <w:p>
            <w:pPr>
              <w:jc w:val="center"/>
              <w:rPr>
                <w:rFonts w:hint="eastAsia" w:ascii="宋体" w:hAnsi="宋体" w:eastAsia="宋体" w:cs="宋体"/>
                <w:color w:val="000000"/>
                <w:kern w:val="0"/>
                <w:sz w:val="18"/>
                <w:szCs w:val="18"/>
              </w:rPr>
            </w:pPr>
          </w:p>
        </w:tc>
        <w:tc>
          <w:tcPr>
            <w:tcW w:w="870" w:type="dxa"/>
            <w:vMerge w:val="continue"/>
            <w:vAlign w:val="center"/>
          </w:tcPr>
          <w:p>
            <w:pPr>
              <w:jc w:val="both"/>
              <w:rPr>
                <w:rFonts w:hint="eastAsia" w:ascii="宋体" w:hAnsi="宋体" w:eastAsia="宋体" w:cs="宋体"/>
                <w:color w:val="000000"/>
                <w:kern w:val="0"/>
                <w:sz w:val="18"/>
                <w:szCs w:val="18"/>
              </w:rPr>
            </w:pPr>
          </w:p>
        </w:tc>
        <w:tc>
          <w:tcPr>
            <w:tcW w:w="802"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802"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资讯答复</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龙虎塘街道办事处</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3" w:hRule="atLeast"/>
          <w:jc w:val="center"/>
        </w:trPr>
        <w:tc>
          <w:tcPr>
            <w:tcW w:w="661" w:type="dxa"/>
            <w:vMerge w:val="restart"/>
            <w:vAlign w:val="center"/>
          </w:tcPr>
          <w:p>
            <w:pPr>
              <w:widowControl/>
              <w:ind w:left="-85" w:right="-85"/>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801" w:type="dxa"/>
            <w:vMerge w:val="restart"/>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公共服务政务公开事项</w:t>
            </w:r>
          </w:p>
        </w:tc>
        <w:tc>
          <w:tcPr>
            <w:tcW w:w="510" w:type="dxa"/>
            <w:vMerge w:val="restart"/>
            <w:vAlign w:val="center"/>
          </w:tcPr>
          <w:p>
            <w:pPr>
              <w:jc w:val="center"/>
              <w:rPr>
                <w:rFonts w:hint="eastAsia" w:ascii="宋体" w:hAnsi="宋体" w:eastAsia="宋体" w:cs="宋体"/>
                <w:color w:val="000000"/>
                <w:kern w:val="0"/>
                <w:sz w:val="18"/>
                <w:szCs w:val="18"/>
              </w:rPr>
            </w:pPr>
          </w:p>
        </w:tc>
        <w:tc>
          <w:tcPr>
            <w:tcW w:w="1796" w:type="dxa"/>
            <w:vMerge w:val="restart"/>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中介服务</w:t>
            </w:r>
          </w:p>
        </w:tc>
        <w:tc>
          <w:tcPr>
            <w:tcW w:w="789" w:type="dxa"/>
            <w:vMerge w:val="restart"/>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龙虎塘街道综合行政执法局</w:t>
            </w:r>
          </w:p>
        </w:tc>
        <w:tc>
          <w:tcPr>
            <w:tcW w:w="123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《中共江苏省委、江苏省人民政府关于推进安全生产领域改革发展的的实施意见》 （二十八）健全社会化服务体系。将安全生产专业技术服务纳入现代服务业发展规划，培育多元化服务主体。建立政府购买安全生产服务制度。支持发展安全生产专业化行业组织，强化自治自律。完善注册安全工程师制度。改革完善安全生产和职业健康技术服务机构资质管理办法。支持相关机构开展安全生产和职业健康一体化评价等技术服务，严格实施评价公开制度，进一步激活和规范专业技术服务市场。鼓励中小微企业订单式、协作式购买运用安全生产管理和技术服务。建立安全生产和职业健康技术服务机构公示制度和由第三方实施的信用评定制度，严肃查处租借资质、违法挂靠、弄虚作假、垄断收费等各类违法违规行为</w:t>
            </w:r>
          </w:p>
        </w:tc>
        <w:tc>
          <w:tcPr>
            <w:tcW w:w="802" w:type="dxa"/>
            <w:vMerge w:val="restart"/>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龙虎塘街道综合行政执法局</w:t>
            </w:r>
          </w:p>
        </w:tc>
        <w:tc>
          <w:tcPr>
            <w:tcW w:w="870" w:type="dxa"/>
            <w:vMerge w:val="restart"/>
            <w:vAlign w:val="center"/>
          </w:tcPr>
          <w:p>
            <w:pPr>
              <w:keepNext w:val="0"/>
              <w:keepLines w:val="0"/>
              <w:widowControl/>
              <w:suppressLineNumbers w:val="0"/>
              <w:jc w:val="both"/>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承诺时限：30个工作日</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公告</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龙虎塘街道综合行政执法局</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中介服务清单</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龙虎塘街道办事处</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3" w:hRule="atLeast"/>
          <w:jc w:val="center"/>
        </w:trPr>
        <w:tc>
          <w:tcPr>
            <w:tcW w:w="661" w:type="dxa"/>
            <w:vMerge w:val="continue"/>
            <w:vAlign w:val="center"/>
          </w:tcPr>
          <w:p>
            <w:pPr>
              <w:widowControl/>
              <w:ind w:left="-85" w:right="-85"/>
              <w:jc w:val="center"/>
              <w:rPr>
                <w:rFonts w:hint="eastAsia" w:ascii="宋体" w:hAnsi="宋体" w:eastAsia="宋体" w:cs="宋体"/>
                <w:color w:val="000000"/>
                <w:kern w:val="0"/>
                <w:sz w:val="18"/>
                <w:szCs w:val="18"/>
              </w:rPr>
            </w:pPr>
          </w:p>
        </w:tc>
        <w:tc>
          <w:tcPr>
            <w:tcW w:w="801" w:type="dxa"/>
            <w:vMerge w:val="continue"/>
            <w:vAlign w:val="center"/>
          </w:tcPr>
          <w:p>
            <w:pPr>
              <w:jc w:val="center"/>
              <w:rPr>
                <w:rFonts w:hint="eastAsia" w:ascii="宋体" w:hAnsi="宋体" w:eastAsia="宋体" w:cs="宋体"/>
                <w:color w:val="000000"/>
                <w:kern w:val="0"/>
                <w:sz w:val="18"/>
                <w:szCs w:val="18"/>
              </w:rPr>
            </w:pPr>
          </w:p>
        </w:tc>
        <w:tc>
          <w:tcPr>
            <w:tcW w:w="510" w:type="dxa"/>
            <w:vMerge w:val="continue"/>
            <w:vAlign w:val="center"/>
          </w:tcPr>
          <w:p>
            <w:pPr>
              <w:jc w:val="center"/>
              <w:rPr>
                <w:rFonts w:hint="eastAsia" w:ascii="宋体" w:hAnsi="宋体" w:eastAsia="宋体" w:cs="宋体"/>
                <w:color w:val="000000"/>
                <w:kern w:val="0"/>
                <w:sz w:val="18"/>
                <w:szCs w:val="18"/>
              </w:rPr>
            </w:pPr>
          </w:p>
        </w:tc>
        <w:tc>
          <w:tcPr>
            <w:tcW w:w="1796" w:type="dxa"/>
            <w:vMerge w:val="continue"/>
            <w:vAlign w:val="center"/>
          </w:tcPr>
          <w:p>
            <w:pPr>
              <w:jc w:val="center"/>
              <w:rPr>
                <w:rFonts w:hint="eastAsia" w:ascii="宋体" w:hAnsi="宋体" w:eastAsia="宋体" w:cs="宋体"/>
                <w:color w:val="000000"/>
                <w:kern w:val="0"/>
                <w:sz w:val="18"/>
                <w:szCs w:val="18"/>
              </w:rPr>
            </w:pPr>
          </w:p>
        </w:tc>
        <w:tc>
          <w:tcPr>
            <w:tcW w:w="789" w:type="dxa"/>
            <w:vMerge w:val="continue"/>
            <w:vAlign w:val="center"/>
          </w:tcPr>
          <w:p>
            <w:pPr>
              <w:jc w:val="center"/>
              <w:rPr>
                <w:rFonts w:hint="eastAsia" w:ascii="宋体" w:hAnsi="宋体" w:eastAsia="宋体" w:cs="宋体"/>
                <w:color w:val="000000"/>
                <w:kern w:val="0"/>
                <w:sz w:val="18"/>
                <w:szCs w:val="18"/>
              </w:rPr>
            </w:pPr>
          </w:p>
        </w:tc>
        <w:tc>
          <w:tcPr>
            <w:tcW w:w="1233" w:type="dxa"/>
            <w:vMerge w:val="continue"/>
            <w:vAlign w:val="center"/>
          </w:tcPr>
          <w:p>
            <w:pPr>
              <w:jc w:val="center"/>
              <w:rPr>
                <w:rFonts w:hint="eastAsia" w:ascii="宋体" w:hAnsi="宋体" w:eastAsia="宋体" w:cs="宋体"/>
                <w:color w:val="000000"/>
                <w:kern w:val="0"/>
                <w:sz w:val="18"/>
                <w:szCs w:val="18"/>
              </w:rPr>
            </w:pPr>
          </w:p>
        </w:tc>
        <w:tc>
          <w:tcPr>
            <w:tcW w:w="802" w:type="dxa"/>
            <w:vMerge w:val="continue"/>
            <w:vAlign w:val="center"/>
          </w:tcPr>
          <w:p>
            <w:pPr>
              <w:jc w:val="center"/>
              <w:rPr>
                <w:rFonts w:hint="eastAsia" w:ascii="宋体" w:hAnsi="宋体" w:eastAsia="宋体" w:cs="宋体"/>
                <w:color w:val="000000"/>
                <w:kern w:val="0"/>
                <w:sz w:val="18"/>
                <w:szCs w:val="18"/>
              </w:rPr>
            </w:pPr>
          </w:p>
        </w:tc>
        <w:tc>
          <w:tcPr>
            <w:tcW w:w="870" w:type="dxa"/>
            <w:vMerge w:val="continue"/>
            <w:vAlign w:val="center"/>
          </w:tcPr>
          <w:p>
            <w:pPr>
              <w:jc w:val="center"/>
              <w:rPr>
                <w:rFonts w:hint="eastAsia" w:ascii="宋体" w:hAnsi="宋体" w:eastAsia="宋体" w:cs="宋体"/>
                <w:color w:val="000000"/>
                <w:kern w:val="0"/>
                <w:sz w:val="18"/>
                <w:szCs w:val="18"/>
              </w:rPr>
            </w:pPr>
          </w:p>
        </w:tc>
        <w:tc>
          <w:tcPr>
            <w:tcW w:w="80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咨询</w:t>
            </w:r>
          </w:p>
        </w:tc>
        <w:tc>
          <w:tcPr>
            <w:tcW w:w="80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龙虎塘街道综合行政执法局工作人员</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咨询申请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龙虎塘街道办事处</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3" w:hRule="atLeast"/>
          <w:jc w:val="center"/>
        </w:trPr>
        <w:tc>
          <w:tcPr>
            <w:tcW w:w="661" w:type="dxa"/>
            <w:vMerge w:val="continue"/>
            <w:vAlign w:val="center"/>
          </w:tcPr>
          <w:p>
            <w:pPr>
              <w:widowControl/>
              <w:ind w:left="-85" w:right="-85"/>
              <w:jc w:val="center"/>
              <w:rPr>
                <w:rFonts w:hint="eastAsia" w:ascii="宋体" w:hAnsi="宋体" w:eastAsia="宋体" w:cs="宋体"/>
                <w:color w:val="000000"/>
                <w:kern w:val="0"/>
                <w:sz w:val="18"/>
                <w:szCs w:val="18"/>
              </w:rPr>
            </w:pPr>
          </w:p>
        </w:tc>
        <w:tc>
          <w:tcPr>
            <w:tcW w:w="801" w:type="dxa"/>
            <w:vMerge w:val="continue"/>
            <w:vAlign w:val="center"/>
          </w:tcPr>
          <w:p>
            <w:pPr>
              <w:jc w:val="center"/>
              <w:rPr>
                <w:rFonts w:hint="eastAsia" w:ascii="宋体" w:hAnsi="宋体" w:eastAsia="宋体" w:cs="宋体"/>
                <w:color w:val="000000"/>
                <w:kern w:val="0"/>
                <w:sz w:val="18"/>
                <w:szCs w:val="18"/>
              </w:rPr>
            </w:pPr>
          </w:p>
        </w:tc>
        <w:tc>
          <w:tcPr>
            <w:tcW w:w="510" w:type="dxa"/>
            <w:vMerge w:val="continue"/>
            <w:vAlign w:val="center"/>
          </w:tcPr>
          <w:p>
            <w:pPr>
              <w:jc w:val="center"/>
              <w:rPr>
                <w:rFonts w:hint="eastAsia" w:ascii="宋体" w:hAnsi="宋体" w:eastAsia="宋体" w:cs="宋体"/>
                <w:color w:val="000000"/>
                <w:kern w:val="0"/>
                <w:sz w:val="18"/>
                <w:szCs w:val="18"/>
              </w:rPr>
            </w:pPr>
          </w:p>
        </w:tc>
        <w:tc>
          <w:tcPr>
            <w:tcW w:w="1796" w:type="dxa"/>
            <w:vMerge w:val="continue"/>
            <w:vAlign w:val="center"/>
          </w:tcPr>
          <w:p>
            <w:pPr>
              <w:jc w:val="center"/>
              <w:rPr>
                <w:rFonts w:hint="eastAsia" w:ascii="宋体" w:hAnsi="宋体" w:eastAsia="宋体" w:cs="宋体"/>
                <w:color w:val="000000"/>
                <w:kern w:val="0"/>
                <w:sz w:val="18"/>
                <w:szCs w:val="18"/>
              </w:rPr>
            </w:pPr>
          </w:p>
        </w:tc>
        <w:tc>
          <w:tcPr>
            <w:tcW w:w="789" w:type="dxa"/>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龙虎塘街道综合行政执法局</w:t>
            </w:r>
          </w:p>
        </w:tc>
        <w:tc>
          <w:tcPr>
            <w:tcW w:w="1233" w:type="dxa"/>
            <w:vMerge w:val="continue"/>
            <w:vAlign w:val="center"/>
          </w:tcPr>
          <w:p>
            <w:pPr>
              <w:jc w:val="center"/>
              <w:rPr>
                <w:rFonts w:hint="eastAsia" w:ascii="宋体" w:hAnsi="宋体" w:eastAsia="宋体" w:cs="宋体"/>
                <w:color w:val="000000"/>
                <w:kern w:val="0"/>
                <w:sz w:val="18"/>
                <w:szCs w:val="18"/>
              </w:rPr>
            </w:pPr>
          </w:p>
        </w:tc>
        <w:tc>
          <w:tcPr>
            <w:tcW w:w="802" w:type="dxa"/>
            <w:vMerge w:val="continue"/>
            <w:vAlign w:val="center"/>
          </w:tcPr>
          <w:p>
            <w:pPr>
              <w:jc w:val="center"/>
              <w:rPr>
                <w:rFonts w:hint="eastAsia" w:ascii="宋体" w:hAnsi="宋体" w:eastAsia="宋体" w:cs="宋体"/>
                <w:color w:val="000000"/>
                <w:kern w:val="0"/>
                <w:sz w:val="18"/>
                <w:szCs w:val="18"/>
              </w:rPr>
            </w:pPr>
          </w:p>
        </w:tc>
        <w:tc>
          <w:tcPr>
            <w:tcW w:w="870" w:type="dxa"/>
            <w:vMerge w:val="continue"/>
            <w:vAlign w:val="center"/>
          </w:tcPr>
          <w:p>
            <w:pPr>
              <w:jc w:val="center"/>
              <w:rPr>
                <w:rFonts w:hint="eastAsia" w:ascii="宋体" w:hAnsi="宋体" w:eastAsia="宋体" w:cs="宋体"/>
                <w:color w:val="000000"/>
                <w:kern w:val="0"/>
                <w:sz w:val="18"/>
                <w:szCs w:val="18"/>
              </w:rPr>
            </w:pPr>
          </w:p>
        </w:tc>
        <w:tc>
          <w:tcPr>
            <w:tcW w:w="802"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802"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资讯答复</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龙虎塘街道办事处</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bl>
    <w:p>
      <w:pPr>
        <w:jc w:val="center"/>
        <w:rPr>
          <w:rFonts w:hint="eastAsia" w:ascii="宋体" w:hAnsi="宋体" w:eastAsia="宋体" w:cs="宋体"/>
          <w:sz w:val="18"/>
          <w:szCs w:val="18"/>
        </w:rPr>
      </w:pPr>
    </w:p>
    <w:sectPr>
      <w:headerReference r:id="rId3" w:type="default"/>
      <w:footerReference r:id="rId5" w:type="default"/>
      <w:headerReference r:id="rId4" w:type="even"/>
      <w:pgSz w:w="23814" w:h="16840" w:orient="landscape"/>
      <w:pgMar w:top="1418" w:right="1418" w:bottom="1418" w:left="1418"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A64FCA-E716-446F-A30B-7778CF05C2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embedRegular r:id="rId2" w:fontKey="{02F7B8CD-60FE-45FE-BFEB-B064495C2342}"/>
  </w:font>
  <w:font w:name="方正黑体_GBK">
    <w:altName w:val="微软雅黑"/>
    <w:panose1 w:val="00000000000000000000"/>
    <w:charset w:val="86"/>
    <w:family w:val="script"/>
    <w:pitch w:val="default"/>
    <w:sig w:usb0="00000000" w:usb1="00000000" w:usb2="00000010" w:usb3="00000000" w:csb0="00040000" w:csb1="00000000"/>
    <w:embedRegular r:id="rId3" w:fontKey="{FB8E338C-F02A-4D55-8E90-03346D4CDB6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0591"/>
      <w:docPartObj>
        <w:docPartGallery w:val="autotext"/>
      </w:docPartObj>
    </w:sdtPr>
    <w:sdtEndPr>
      <w:rPr>
        <w:rFonts w:asciiTheme="minorEastAsia" w:hAnsiTheme="minorEastAsia"/>
        <w:sz w:val="28"/>
        <w:szCs w:val="28"/>
      </w:rPr>
    </w:sdtEndPr>
    <w:sdtContent>
      <w:p>
        <w:pPr>
          <w:pStyle w:val="2"/>
          <w:jc w:val="center"/>
        </w:pPr>
        <w:r>
          <w:rPr>
            <w:rFonts w:hint="eastAsia" w:asciiTheme="minorEastAsia" w:hAnsi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heme="minorEastAsia" w:hAnsiTheme="minor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6C1"/>
    <w:rsid w:val="00002824"/>
    <w:rsid w:val="000676C1"/>
    <w:rsid w:val="000C6655"/>
    <w:rsid w:val="000F1C5D"/>
    <w:rsid w:val="0012459D"/>
    <w:rsid w:val="00143831"/>
    <w:rsid w:val="001720E7"/>
    <w:rsid w:val="002F3F05"/>
    <w:rsid w:val="00304CBB"/>
    <w:rsid w:val="00312C79"/>
    <w:rsid w:val="003B223D"/>
    <w:rsid w:val="00410F84"/>
    <w:rsid w:val="005841B4"/>
    <w:rsid w:val="00650959"/>
    <w:rsid w:val="00666DAC"/>
    <w:rsid w:val="006A31E3"/>
    <w:rsid w:val="00733900"/>
    <w:rsid w:val="007401F1"/>
    <w:rsid w:val="007C1A1A"/>
    <w:rsid w:val="007D04F2"/>
    <w:rsid w:val="0083575C"/>
    <w:rsid w:val="0092329E"/>
    <w:rsid w:val="009B366C"/>
    <w:rsid w:val="009B6DFF"/>
    <w:rsid w:val="009F1078"/>
    <w:rsid w:val="00A12709"/>
    <w:rsid w:val="00A8781A"/>
    <w:rsid w:val="00BC7D2D"/>
    <w:rsid w:val="00C00881"/>
    <w:rsid w:val="00C22E60"/>
    <w:rsid w:val="00C324A8"/>
    <w:rsid w:val="00C710D2"/>
    <w:rsid w:val="00CE4CD3"/>
    <w:rsid w:val="00DA26F4"/>
    <w:rsid w:val="047F5E3C"/>
    <w:rsid w:val="05F10158"/>
    <w:rsid w:val="136F629D"/>
    <w:rsid w:val="213C3428"/>
    <w:rsid w:val="25B74A32"/>
    <w:rsid w:val="291B6881"/>
    <w:rsid w:val="3CC92BAE"/>
    <w:rsid w:val="3EAA29E8"/>
    <w:rsid w:val="579B2C23"/>
    <w:rsid w:val="679045E6"/>
    <w:rsid w:val="70752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31"/>
    <w:basedOn w:val="5"/>
    <w:qFormat/>
    <w:uiPriority w:val="0"/>
    <w:rPr>
      <w:rFonts w:hint="eastAsia" w:ascii="宋体" w:hAnsi="宋体" w:eastAsia="宋体" w:cs="宋体"/>
      <w:color w:val="000000"/>
      <w:sz w:val="20"/>
      <w:szCs w:val="20"/>
      <w:u w:val="none"/>
    </w:rPr>
  </w:style>
  <w:style w:type="character" w:customStyle="1" w:styleId="9">
    <w:name w:val="font21"/>
    <w:basedOn w:val="5"/>
    <w:qFormat/>
    <w:uiPriority w:val="0"/>
    <w:rPr>
      <w:rFonts w:hint="default" w:ascii="Times New Roman" w:hAnsi="Times New Roman" w:cs="Times New Roman"/>
      <w:color w:val="000000"/>
      <w:sz w:val="20"/>
      <w:szCs w:val="20"/>
      <w:u w:val="none"/>
    </w:rPr>
  </w:style>
  <w:style w:type="character" w:customStyle="1" w:styleId="10">
    <w:name w:val="font11"/>
    <w:basedOn w:val="5"/>
    <w:qFormat/>
    <w:uiPriority w:val="0"/>
    <w:rPr>
      <w:rFonts w:hint="eastAsia" w:ascii="宋体" w:hAnsi="宋体" w:eastAsia="宋体" w:cs="宋体"/>
      <w:color w:val="000000"/>
      <w:sz w:val="18"/>
      <w:szCs w:val="18"/>
      <w:u w:val="none"/>
    </w:rPr>
  </w:style>
  <w:style w:type="character" w:customStyle="1" w:styleId="11">
    <w:name w:val="font51"/>
    <w:basedOn w:val="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E40A3-D517-4057-AEA5-F8A9738C8CA0}">
  <ds:schemaRefs/>
</ds:datastoreItem>
</file>

<file path=docProps/app.xml><?xml version="1.0" encoding="utf-8"?>
<Properties xmlns="http://schemas.openxmlformats.org/officeDocument/2006/extended-properties" xmlns:vt="http://schemas.openxmlformats.org/officeDocument/2006/docPropsVTypes">
  <Template>Normal</Template>
  <Pages>2</Pages>
  <Words>183</Words>
  <Characters>1049</Characters>
  <Lines>8</Lines>
  <Paragraphs>2</Paragraphs>
  <TotalTime>11</TotalTime>
  <ScaleCrop>false</ScaleCrop>
  <LinksUpToDate>false</LinksUpToDate>
  <CharactersWithSpaces>1230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2020-08-26T01:50:00Z</dcterms:created>
  <dc:creator>张志毅</dc:creator>
  <cp:lastModifiedBy>Administrator</cp:lastModifiedBy>
  <cp:lastPrinted>2020-08-26T05:09:00Z</cp:lastPrinted>
  <dcterms:modified xsi:type="dcterms:W3CDTF">2021-11-29T01:19:52Z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CA4B2E817094462392C6610D4814330F</vt:lpwstr>
  </property>
</Properties>
</file>