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0D" w:rsidRDefault="00811D0D" w:rsidP="00811D0D">
      <w:pPr>
        <w:pStyle w:val="a4"/>
        <w:ind w:firstLineChars="0" w:firstLine="0"/>
        <w:rPr>
          <w:rFonts w:hint="eastAsia"/>
        </w:rPr>
      </w:pPr>
      <w:proofErr w:type="spellStart"/>
      <w:r>
        <w:rPr>
          <w:rFonts w:hint="eastAsia"/>
        </w:rPr>
        <w:t>附件</w:t>
      </w:r>
      <w:proofErr w:type="spellEnd"/>
    </w:p>
    <w:p w:rsidR="00811D0D" w:rsidRDefault="00811D0D" w:rsidP="00811D0D">
      <w:pPr>
        <w:pStyle w:val="a4"/>
        <w:spacing w:line="300" w:lineRule="exact"/>
        <w:ind w:firstLineChars="0" w:firstLine="0"/>
        <w:rPr>
          <w:rFonts w:hint="eastAsia"/>
        </w:rPr>
      </w:pPr>
    </w:p>
    <w:p w:rsidR="00811D0D" w:rsidRDefault="00811D0D" w:rsidP="00811D0D">
      <w:pPr>
        <w:pStyle w:val="a3"/>
        <w:spacing w:line="640" w:lineRule="exact"/>
        <w:ind w:firstLine="410"/>
        <w:rPr>
          <w:rFonts w:hint="eastAsia"/>
          <w:sz w:val="41"/>
          <w:szCs w:val="41"/>
        </w:rPr>
      </w:pPr>
      <w:r>
        <w:rPr>
          <w:rFonts w:hint="eastAsia"/>
          <w:sz w:val="41"/>
          <w:szCs w:val="41"/>
        </w:rPr>
        <w:t>2022年政府集中采购目录明细表</w:t>
      </w:r>
    </w:p>
    <w:p w:rsidR="00811D0D" w:rsidRDefault="00811D0D" w:rsidP="00811D0D">
      <w:pPr>
        <w:pStyle w:val="a3"/>
        <w:spacing w:line="640" w:lineRule="exact"/>
        <w:ind w:firstLine="410"/>
        <w:rPr>
          <w:rFonts w:hint="eastAsia"/>
          <w:sz w:val="41"/>
          <w:szCs w:val="41"/>
        </w:rPr>
      </w:pPr>
      <w:r>
        <w:rPr>
          <w:rFonts w:hint="eastAsia"/>
          <w:sz w:val="41"/>
          <w:szCs w:val="41"/>
        </w:rPr>
        <w:t>（</w:t>
      </w:r>
      <w:proofErr w:type="spellStart"/>
      <w:r>
        <w:rPr>
          <w:rFonts w:hint="eastAsia"/>
          <w:sz w:val="41"/>
          <w:szCs w:val="41"/>
        </w:rPr>
        <w:t>含部门集中采购目录</w:t>
      </w:r>
      <w:proofErr w:type="spellEnd"/>
      <w:r>
        <w:rPr>
          <w:rFonts w:hint="eastAsia"/>
          <w:sz w:val="41"/>
          <w:szCs w:val="41"/>
        </w:rPr>
        <w:t>）</w:t>
      </w:r>
    </w:p>
    <w:p w:rsidR="00811D0D" w:rsidRDefault="00811D0D" w:rsidP="00811D0D">
      <w:pPr>
        <w:spacing w:line="300" w:lineRule="exact"/>
        <w:ind w:firstLine="640"/>
        <w:rPr>
          <w:rFonts w:hint="eastAsia"/>
        </w:rPr>
      </w:pPr>
    </w:p>
    <w:tbl>
      <w:tblPr>
        <w:tblW w:w="10055" w:type="dxa"/>
        <w:jc w:val="center"/>
        <w:tblLook w:val="0000"/>
      </w:tblPr>
      <w:tblGrid>
        <w:gridCol w:w="1426"/>
        <w:gridCol w:w="2214"/>
        <w:gridCol w:w="1881"/>
        <w:gridCol w:w="4534"/>
      </w:tblGrid>
      <w:tr w:rsidR="00811D0D" w:rsidTr="006B6222">
        <w:trPr>
          <w:trHeight w:val="454"/>
          <w:tblHeader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编 码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品目名称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起点金额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货物类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采购预算30万元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A02010103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服务器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A02010104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台式计算机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不包括图形工作站。100万元以下实行全省联动协议供货，100万元（含）以上实行政府集中采购。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A02010105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便携式计算机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不包括移动工作站。100万元以下实行全省联动协议供货，100万元（含）以上实行政府集中采购。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A02010301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A02010302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入侵检测设备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A02010307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安全审计设备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A0201060101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喷墨打印机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A0201060102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激光打印机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A0201060104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针式打印机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A0201060401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液晶显示器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A0201060901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扫描仪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全市集中带量采购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包括平板式扫描仪、高速文档扫描仪、书刊扫描仪和胶片扫描仪，不包括档案、工程专用的大幅面扫描仪。100万元以下通过“阳光直采”平台采购。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A02010801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基础软件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包括操作系统、数据库管理系统、中间件、办公套件。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A02010805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信息安全软件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包括基础和平台类安全软件、数据安全软件、网络与边界安全软件、专用安全软件、安全测试评估软件、安全应用软件、安全支撑软件、安全管理软件、其他信息安全软件。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复印机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全市集中带量采购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100万元以下通过“阳光直采”平台采购。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A020202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不包括用于测量、测绘等专用投影仪。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A020204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多功能一体机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包括具有多种办公功能的设备，如带有打印功能的复印机等。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A020207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LED显示屏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包括单基色显示屏、双基色显示屏、全彩色显示屏等。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A020208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触控一体机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A02021101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碎纸机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全市集中带量采购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100万元以下通过“阳光直采”平台采购。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A020305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乘用车（轿车）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包括驾驶员座位在内不超过（含）9个座位的轿车、越野车、商务车、其他乘用车（轿车），含新能源汽车。100万元以下实行全省联动协议供货，100万元（含）以上实行政府集中采购。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A02030501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轿车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A02030502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越野车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A02030503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商务车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A020306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客车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小型客车（除驾驶员座位外，座位数超过9座但不超过（含）16座）、大中型客车（除驾驶员座位外，座位数超过16座），含新能源汽车。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A02030601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小型客车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A02030602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大中型客车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A02051228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电梯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A02061504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不间断电源（UPS）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A0206180203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空调机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2022年8月“阳光直采”平台合同到期后，执行全省联动协议供货；空调类额定制冷量14000W及以下入此，不含多联式空调组。100万元（含）以上实行政府集中采购。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A020808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视频会议系统设备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家具用具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床类</w:t>
            </w:r>
            <w:proofErr w:type="gram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台、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桌类</w:t>
            </w:r>
            <w:proofErr w:type="gram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市区联动协议供货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涉及协议供货内办公桌、茶几，100万元以下实行协议供货，100万元（含）以上实行政府集中采购；辖市可参照。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椅凳类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市区联动协议供货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涉及协议供货内办公，100万元以下实行协议供货，100万元（含）以上实行政府集中采购；辖市可参照。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沙发类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市区联动协议供货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涉及协议供货内沙发，100万元以下实行协议供货，100万元（含）以上实行政府集中采购；辖市可参照。</w:t>
            </w:r>
          </w:p>
        </w:tc>
      </w:tr>
      <w:tr w:rsidR="00811D0D" w:rsidTr="006B6222">
        <w:trPr>
          <w:trHeight w:val="219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柜类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156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A0606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架类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197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屏风类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352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厨卫用具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20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A0699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其他家具用具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A090101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复印纸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全市集中带量采购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A3、A4复印纸阳光直采。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服务类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采购预算30万元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科学研究和试验开发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0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软件开发服务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pacing w:val="-6"/>
                <w:kern w:val="0"/>
                <w:sz w:val="22"/>
                <w:szCs w:val="22"/>
              </w:rPr>
              <w:t>指为用户提供开发、应用信息技术的服务，以及以信息技术为手段支持用户业务活动的服务。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C0202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rightChars="-25" w:right="-80" w:firstLineChars="0" w:firstLine="0"/>
              <w:jc w:val="left"/>
              <w:rPr>
                <w:rFonts w:hAnsi="宋体" w:cs="宋体" w:hint="eastAsia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信息系统集成实施服务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指通过结构化的综合布线系统和计算机网络技术，将各个分享的设备、功能和信息等集成到相互关联的、统一协调的系统之中的服务。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C0206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运行维护服务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指为满足信息系统正常运行及优化改进的要求，对用户信息系统的基础环境、硬件、软件及安排等提供的各种技术支持和管理服务。</w:t>
            </w:r>
          </w:p>
        </w:tc>
      </w:tr>
      <w:tr w:rsidR="00811D0D" w:rsidTr="006B6222">
        <w:trPr>
          <w:trHeight w:val="303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C030102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互联网接入服务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C0403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车辆及其他运输机械租赁服务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市区联动协议供货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指配备驾驶员的乘用车租赁服务。100万以下实行协议供货，100万元（含）以上实行政府集中采购；辖市可参照。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C050301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车辆维修和保养服务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市区联动协议供货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100万以下实行协议供货，100万元（含）以上实行政府集中采购；辖市可参照。</w:t>
            </w:r>
          </w:p>
        </w:tc>
      </w:tr>
      <w:tr w:rsidR="00811D0D" w:rsidTr="006B6222">
        <w:trPr>
          <w:trHeight w:val="380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C050302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车辆加油服务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C0601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会议服务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100万以下实行协议供货，100万元（含）以上实行政府集中采购。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C060101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大型会议服务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100万以下实行协议供货，100万元（含）以上实行政府集中采购。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C060102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一般会议服务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100万以下实行协议供货，100万元（含）以上实行政府集中采购。</w:t>
            </w:r>
          </w:p>
        </w:tc>
      </w:tr>
      <w:tr w:rsidR="00811D0D" w:rsidTr="006B6222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C0801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法律服务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192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C0803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审计服务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C081401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印刷服务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指本单位不能承担的票据、证书、证件、期刊、文件、公文用纸、资料汇编、信封等印刷业务，不包括出版服务。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C1204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物业管理服务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市区联动协议供货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200万以下实行协议供货，200万元（含）以上实行政府集中采购，辖市可参照。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C15040201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机动车保险服务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全省联动协议供货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包括机动车交通事故责任强制保险服务和机动车辆保险服务等。100万元以下实行全省联动协议供货，100万元（含）以上实行政府集中采购。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C0399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包括云主机、块存储、对象存储等，系统集成项目除外。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部门集中采购目录（市教育局）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M03701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教育技术装备（教学专用）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采购预算30万元（含）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限额标准以下优先实行网上商城采购。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M0370101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校园网系统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包括校园网络环境系统（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含中心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机房、综合布线、网络设备）、广播及教室扩声系统、信息发布系统、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电子班牌系统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卡通系统（含消费系统、通道系统、门禁系统等）、安防系统（含视频监控、车辆管理、周界系统）、数字录播系统、多媒体教学系统、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报告厅扩声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、灯光及舞台机械系统等。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M0370102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教学用图书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M0370103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教学用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家俱</w:t>
            </w:r>
            <w:proofErr w:type="gramEnd"/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包括教学用黑板、专用教室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家俱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、宿舍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家俱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、相关场馆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家俱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等。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M0370104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实验、实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训设备</w:t>
            </w:r>
            <w:proofErr w:type="gramEnd"/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中小学理科、文科、音体美等专用教室设备、职业学校实训设备。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M0370105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教育软件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spacing w:val="-5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pacing w:val="-5"/>
                <w:kern w:val="0"/>
                <w:sz w:val="22"/>
                <w:szCs w:val="22"/>
              </w:rPr>
              <w:t>教育管理软件、课堂教学软件、比赛专用软件等。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M03702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校舍装修、修缮工程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400万（含）以上执行《招标投标法》及实施条例。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M03703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教育服务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包括教育软件开发、课程开发、视频制作、教育培训、教育设备及平台租赁服务等。</w:t>
            </w:r>
          </w:p>
        </w:tc>
      </w:tr>
      <w:tr w:rsidR="00811D0D" w:rsidTr="006B6222">
        <w:trPr>
          <w:trHeight w:val="454"/>
          <w:jc w:val="center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部门集中采购目录（市公安局）</w:t>
            </w:r>
          </w:p>
        </w:tc>
      </w:tr>
      <w:tr w:rsidR="00811D0D" w:rsidTr="006B6222">
        <w:trPr>
          <w:trHeight w:val="394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M00201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警用设备和用品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采购预算30万元（含）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70"/>
          <w:jc w:val="center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M00202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公安专用自助机具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firstLineChars="0" w:firstLine="0"/>
              <w:jc w:val="left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11D0D" w:rsidTr="006B6222">
        <w:trPr>
          <w:trHeight w:val="454"/>
          <w:jc w:val="center"/>
        </w:trPr>
        <w:tc>
          <w:tcPr>
            <w:tcW w:w="10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注：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因全省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预算一体化系统升级调整，“阳光直采”平台暂无法关联采购实施计划，在购买上述货物时，通过预算一体化国库集中支付系统自行支付。</w:t>
            </w:r>
          </w:p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811D0D" w:rsidRDefault="00811D0D" w:rsidP="006B6222">
            <w:pPr>
              <w:widowControl/>
              <w:spacing w:line="280" w:lineRule="exact"/>
              <w:ind w:leftChars="-25" w:left="-80" w:rightChars="-25" w:right="-80" w:firstLineChars="0" w:firstLine="0"/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702B7E" w:rsidRPr="00811D0D" w:rsidRDefault="00702B7E" w:rsidP="00811D0D">
      <w:pPr>
        <w:ind w:firstLine="640"/>
      </w:pPr>
    </w:p>
    <w:sectPr w:rsidR="00702B7E" w:rsidRPr="00811D0D" w:rsidSect="0070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D0D"/>
    <w:rsid w:val="00702B7E"/>
    <w:rsid w:val="0081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0D"/>
    <w:pPr>
      <w:widowControl w:val="0"/>
      <w:spacing w:line="57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811D0D"/>
    <w:pPr>
      <w:spacing w:line="700" w:lineRule="exact"/>
      <w:ind w:firstLineChars="0" w:firstLine="0"/>
      <w:jc w:val="center"/>
      <w:outlineLvl w:val="0"/>
    </w:pPr>
    <w:rPr>
      <w:rFonts w:ascii="方正小标宋简体" w:eastAsia="方正小标宋简体" w:hAnsi="Cambria"/>
      <w:bCs/>
      <w:sz w:val="44"/>
      <w:szCs w:val="32"/>
      <w:lang/>
    </w:rPr>
  </w:style>
  <w:style w:type="character" w:customStyle="1" w:styleId="Char">
    <w:name w:val="标题 Char"/>
    <w:basedOn w:val="a0"/>
    <w:link w:val="a3"/>
    <w:rsid w:val="00811D0D"/>
    <w:rPr>
      <w:rFonts w:ascii="方正小标宋简体" w:eastAsia="方正小标宋简体" w:hAnsi="Cambria" w:cs="Times New Roman"/>
      <w:bCs/>
      <w:sz w:val="44"/>
      <w:szCs w:val="32"/>
      <w:lang/>
    </w:rPr>
  </w:style>
  <w:style w:type="paragraph" w:customStyle="1" w:styleId="a4">
    <w:name w:val="一、"/>
    <w:basedOn w:val="a"/>
    <w:link w:val="Char0"/>
    <w:qFormat/>
    <w:rsid w:val="00811D0D"/>
    <w:pPr>
      <w:ind w:firstLine="640"/>
    </w:pPr>
    <w:rPr>
      <w:rFonts w:ascii="黑体" w:eastAsia="黑体" w:hAnsi="黑体"/>
      <w:szCs w:val="32"/>
      <w:lang/>
    </w:rPr>
  </w:style>
  <w:style w:type="character" w:customStyle="1" w:styleId="Char0">
    <w:name w:val="一、 Char"/>
    <w:link w:val="a4"/>
    <w:rsid w:val="00811D0D"/>
    <w:rPr>
      <w:rFonts w:ascii="黑体" w:eastAsia="黑体" w:hAnsi="黑体" w:cs="Times New Roman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Company>Organization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</dc:creator>
  <cp:lastModifiedBy>常州市</cp:lastModifiedBy>
  <cp:revision>1</cp:revision>
  <dcterms:created xsi:type="dcterms:W3CDTF">2021-12-31T03:11:00Z</dcterms:created>
  <dcterms:modified xsi:type="dcterms:W3CDTF">2021-12-31T03:11:00Z</dcterms:modified>
</cp:coreProperties>
</file>