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78E" w:rsidRDefault="00CA230E">
      <w:pPr>
        <w:autoSpaceDE w:val="0"/>
        <w:autoSpaceDN w:val="0"/>
        <w:adjustRightInd w:val="0"/>
        <w:spacing w:line="600" w:lineRule="exact"/>
        <w:jc w:val="center"/>
        <w:rPr>
          <w:rFonts w:ascii="仿宋_GB2312" w:eastAsia="仿宋_GB2312" w:hAnsi="仿宋_GB2312" w:cs="仿宋_GB2312"/>
          <w:snapToGrid w:val="0"/>
          <w:color w:val="000000"/>
          <w:kern w:val="0"/>
          <w:sz w:val="44"/>
          <w:szCs w:val="44"/>
        </w:rPr>
      </w:pPr>
      <w:bookmarkStart w:id="0" w:name="_GoBack"/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44"/>
          <w:szCs w:val="44"/>
        </w:rPr>
        <w:t>常州市新北区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44"/>
          <w:szCs w:val="44"/>
        </w:rPr>
        <w:t>2021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44"/>
          <w:szCs w:val="44"/>
        </w:rPr>
        <w:t>年财政预算执行情况</w:t>
      </w:r>
    </w:p>
    <w:p w:rsidR="00F2278E" w:rsidRDefault="00CA230E">
      <w:pPr>
        <w:autoSpaceDE w:val="0"/>
        <w:autoSpaceDN w:val="0"/>
        <w:adjustRightInd w:val="0"/>
        <w:spacing w:line="600" w:lineRule="exact"/>
        <w:jc w:val="center"/>
        <w:rPr>
          <w:rFonts w:ascii="仿宋_GB2312" w:eastAsia="仿宋_GB2312" w:hAnsi="仿宋_GB2312" w:cs="仿宋_GB2312"/>
          <w:snapToGrid w:val="0"/>
          <w:color w:val="000000"/>
          <w:kern w:val="0"/>
          <w:sz w:val="44"/>
          <w:szCs w:val="44"/>
        </w:rPr>
      </w:pP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44"/>
          <w:szCs w:val="44"/>
        </w:rPr>
        <w:t>与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44"/>
          <w:szCs w:val="44"/>
        </w:rPr>
        <w:t>2022</w:t>
      </w:r>
      <w:r>
        <w:rPr>
          <w:rFonts w:ascii="仿宋_GB2312" w:eastAsia="仿宋_GB2312" w:hAnsi="仿宋_GB2312" w:cs="仿宋_GB2312" w:hint="eastAsia"/>
          <w:snapToGrid w:val="0"/>
          <w:color w:val="000000"/>
          <w:kern w:val="0"/>
          <w:sz w:val="44"/>
          <w:szCs w:val="44"/>
        </w:rPr>
        <w:t>年财政预算草案的报告</w:t>
      </w:r>
    </w:p>
    <w:bookmarkEnd w:id="0"/>
    <w:p w:rsidR="00F2278E" w:rsidRDefault="00CA230E">
      <w:pPr>
        <w:tabs>
          <w:tab w:val="left" w:pos="142"/>
        </w:tabs>
        <w:autoSpaceDE w:val="0"/>
        <w:autoSpaceDN w:val="0"/>
        <w:adjustRightInd w:val="0"/>
        <w:spacing w:line="600" w:lineRule="exact"/>
        <w:jc w:val="center"/>
        <w:rPr>
          <w:rFonts w:ascii="仿宋" w:eastAsia="仿宋" w:hAnsi="仿宋"/>
          <w:snapToGrid w:val="0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spacing w:val="-8"/>
          <w:kern w:val="0"/>
          <w:sz w:val="32"/>
          <w:szCs w:val="32"/>
        </w:rPr>
        <w:t>——</w:t>
      </w:r>
      <w:r>
        <w:rPr>
          <w:rFonts w:ascii="仿宋" w:eastAsia="仿宋" w:hAnsi="仿宋" w:hint="eastAsia"/>
          <w:snapToGrid w:val="0"/>
          <w:color w:val="000000"/>
          <w:kern w:val="0"/>
          <w:sz w:val="32"/>
          <w:szCs w:val="32"/>
        </w:rPr>
        <w:t>2022</w:t>
      </w:r>
      <w:r>
        <w:rPr>
          <w:rFonts w:ascii="仿宋" w:eastAsia="仿宋" w:hAnsi="仿宋" w:hint="eastAsia"/>
          <w:snapToGrid w:val="0"/>
          <w:color w:val="000000"/>
          <w:kern w:val="0"/>
          <w:sz w:val="32"/>
          <w:szCs w:val="32"/>
        </w:rPr>
        <w:t>年</w:t>
      </w:r>
      <w:r>
        <w:rPr>
          <w:rFonts w:ascii="仿宋" w:eastAsia="仿宋" w:hAnsi="仿宋" w:hint="eastAsia"/>
          <w:snapToGrid w:val="0"/>
          <w:color w:val="000000"/>
          <w:kern w:val="0"/>
          <w:sz w:val="32"/>
          <w:szCs w:val="32"/>
        </w:rPr>
        <w:t>1</w:t>
      </w:r>
      <w:r>
        <w:rPr>
          <w:rFonts w:ascii="仿宋" w:eastAsia="仿宋" w:hAnsi="仿宋" w:hint="eastAsia"/>
          <w:snapToGrid w:val="0"/>
          <w:color w:val="000000"/>
          <w:kern w:val="0"/>
          <w:sz w:val="32"/>
          <w:szCs w:val="32"/>
        </w:rPr>
        <w:t>月</w:t>
      </w:r>
      <w:r>
        <w:rPr>
          <w:rFonts w:ascii="仿宋" w:eastAsia="仿宋" w:hAnsi="仿宋" w:hint="eastAsia"/>
          <w:snapToGrid w:val="0"/>
          <w:color w:val="000000"/>
          <w:kern w:val="0"/>
          <w:sz w:val="32"/>
          <w:szCs w:val="32"/>
        </w:rPr>
        <w:t>5</w:t>
      </w:r>
      <w:r>
        <w:rPr>
          <w:rFonts w:ascii="仿宋" w:eastAsia="仿宋" w:hAnsi="仿宋" w:hint="eastAsia"/>
          <w:snapToGrid w:val="0"/>
          <w:color w:val="000000"/>
          <w:kern w:val="0"/>
          <w:sz w:val="32"/>
          <w:szCs w:val="32"/>
        </w:rPr>
        <w:t>日在常州市新北区</w:t>
      </w:r>
    </w:p>
    <w:p w:rsidR="00F2278E" w:rsidRDefault="00CA230E">
      <w:pPr>
        <w:tabs>
          <w:tab w:val="left" w:pos="142"/>
        </w:tabs>
        <w:autoSpaceDE w:val="0"/>
        <w:autoSpaceDN w:val="0"/>
        <w:adjustRightInd w:val="0"/>
        <w:spacing w:line="600" w:lineRule="exact"/>
        <w:jc w:val="center"/>
        <w:rPr>
          <w:rFonts w:ascii="仿宋" w:eastAsia="仿宋" w:hAnsi="仿宋"/>
          <w:snapToGrid w:val="0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color w:val="000000"/>
          <w:kern w:val="0"/>
          <w:sz w:val="32"/>
          <w:szCs w:val="32"/>
        </w:rPr>
        <w:t>第五届人民代表大会第一次会议上</w:t>
      </w:r>
    </w:p>
    <w:p w:rsidR="00F2278E" w:rsidRDefault="00CA230E">
      <w:pPr>
        <w:tabs>
          <w:tab w:val="left" w:pos="142"/>
        </w:tabs>
        <w:autoSpaceDE w:val="0"/>
        <w:autoSpaceDN w:val="0"/>
        <w:adjustRightInd w:val="0"/>
        <w:spacing w:line="600" w:lineRule="exact"/>
        <w:jc w:val="center"/>
        <w:rPr>
          <w:rFonts w:ascii="仿宋" w:eastAsia="仿宋" w:hAnsi="仿宋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王建军</w:t>
      </w:r>
    </w:p>
    <w:p w:rsidR="00F2278E" w:rsidRDefault="00F2278E">
      <w:pPr>
        <w:tabs>
          <w:tab w:val="left" w:pos="142"/>
        </w:tabs>
        <w:autoSpaceDE w:val="0"/>
        <w:autoSpaceDN w:val="0"/>
        <w:adjustRightInd w:val="0"/>
        <w:spacing w:line="560" w:lineRule="exact"/>
        <w:jc w:val="center"/>
        <w:rPr>
          <w:rFonts w:ascii="楷体_GB2312" w:eastAsia="楷体_GB2312" w:hAnsi="仿宋"/>
          <w:color w:val="000000"/>
          <w:kern w:val="0"/>
          <w:sz w:val="32"/>
          <w:szCs w:val="32"/>
        </w:rPr>
      </w:pPr>
    </w:p>
    <w:p w:rsidR="00F2278E" w:rsidRDefault="00CA230E">
      <w:pPr>
        <w:adjustRightInd w:val="0"/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各位代表、同志们：</w:t>
      </w:r>
    </w:p>
    <w:p w:rsidR="00F2278E" w:rsidRDefault="00CA230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我受区政府委托，向大会书面报告我区</w:t>
      </w:r>
      <w:r>
        <w:rPr>
          <w:rFonts w:ascii="仿宋_GB2312" w:eastAsia="仿宋_GB2312" w:hAnsi="仿宋" w:hint="eastAsia"/>
          <w:sz w:val="32"/>
          <w:szCs w:val="32"/>
        </w:rPr>
        <w:t>2021</w:t>
      </w:r>
      <w:r>
        <w:rPr>
          <w:rFonts w:ascii="仿宋_GB2312" w:eastAsia="仿宋_GB2312" w:hAnsi="仿宋" w:hint="eastAsia"/>
          <w:sz w:val="32"/>
          <w:szCs w:val="32"/>
        </w:rPr>
        <w:t>年财政预算执行情况与</w:t>
      </w:r>
      <w:r>
        <w:rPr>
          <w:rFonts w:ascii="仿宋_GB2312" w:eastAsia="仿宋_GB2312" w:hAnsi="仿宋" w:hint="eastAsia"/>
          <w:sz w:val="32"/>
          <w:szCs w:val="32"/>
        </w:rPr>
        <w:t>2022</w:t>
      </w:r>
      <w:r>
        <w:rPr>
          <w:rFonts w:ascii="仿宋_GB2312" w:eastAsia="仿宋_GB2312" w:hAnsi="仿宋" w:hint="eastAsia"/>
          <w:sz w:val="32"/>
          <w:szCs w:val="32"/>
        </w:rPr>
        <w:t>年财政预算草案，请予审议，并请各位政协委员和其他列席会议的同志提出意见和建议。</w:t>
      </w:r>
    </w:p>
    <w:p w:rsidR="00F2278E" w:rsidRDefault="00CA230E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一、</w:t>
      </w:r>
      <w:r>
        <w:rPr>
          <w:rFonts w:ascii="黑体" w:eastAsia="黑体" w:hAnsi="黑体" w:hint="eastAsia"/>
          <w:color w:val="000000"/>
          <w:sz w:val="32"/>
          <w:szCs w:val="32"/>
        </w:rPr>
        <w:t>2021</w:t>
      </w:r>
      <w:r>
        <w:rPr>
          <w:rFonts w:ascii="黑体" w:eastAsia="黑体" w:hAnsi="黑体" w:hint="eastAsia"/>
          <w:color w:val="000000"/>
          <w:sz w:val="32"/>
          <w:szCs w:val="32"/>
        </w:rPr>
        <w:t>年财政预算执行情况</w:t>
      </w:r>
    </w:p>
    <w:p w:rsidR="00F2278E" w:rsidRDefault="00CA230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2021</w:t>
      </w:r>
      <w:r>
        <w:rPr>
          <w:rFonts w:ascii="仿宋_GB2312" w:eastAsia="仿宋_GB2312" w:hAnsi="仿宋" w:hint="eastAsia"/>
          <w:sz w:val="32"/>
          <w:szCs w:val="32"/>
        </w:rPr>
        <w:t>年，全区财政部门在区委、区政府的正确领导下，在区人大、政协的监督支持下，以习近平新时代中国特色社会主义思想为指导，</w:t>
      </w:r>
      <w:r>
        <w:rPr>
          <w:rFonts w:ascii="仿宋_GB2312" w:eastAsia="仿宋_GB2312" w:hint="eastAsia"/>
          <w:kern w:val="0"/>
          <w:sz w:val="32"/>
          <w:szCs w:val="32"/>
        </w:rPr>
        <w:t>立足新发展阶段，贯彻新发展理念，构建新发展格局，持续巩固拓展疫情防控和经济社会发展成果，</w:t>
      </w:r>
      <w:r>
        <w:rPr>
          <w:rFonts w:ascii="仿宋_GB2312" w:eastAsia="仿宋_GB2312" w:hint="eastAsia"/>
          <w:sz w:val="32"/>
          <w:szCs w:val="32"/>
        </w:rPr>
        <w:t>立足当前、着眼长远，精准施策，</w:t>
      </w:r>
      <w:r>
        <w:rPr>
          <w:rFonts w:ascii="仿宋_GB2312" w:eastAsia="仿宋_GB2312" w:hint="eastAsia"/>
          <w:kern w:val="0"/>
          <w:sz w:val="32"/>
          <w:szCs w:val="32"/>
        </w:rPr>
        <w:t>推动全区经济社会高质量</w:t>
      </w:r>
      <w:r>
        <w:rPr>
          <w:rFonts w:ascii="仿宋_GB2312" w:eastAsia="仿宋_GB2312" w:hint="eastAsia"/>
          <w:sz w:val="32"/>
          <w:szCs w:val="32"/>
        </w:rPr>
        <w:t>发展，“十四五”实现良好开局迈出坚实步伐。</w:t>
      </w:r>
    </w:p>
    <w:p w:rsidR="00F2278E" w:rsidRDefault="00CA230E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Theme="minorEastAsia"/>
          <w:b/>
          <w:color w:val="000000" w:themeColor="text1"/>
          <w:sz w:val="32"/>
          <w:szCs w:val="32"/>
        </w:rPr>
      </w:pPr>
      <w:r>
        <w:rPr>
          <w:rFonts w:ascii="仿宋_GB2312" w:eastAsia="仿宋_GB2312" w:hAnsiTheme="minorEastAsia" w:hint="eastAsia"/>
          <w:b/>
          <w:color w:val="000000" w:themeColor="text1"/>
          <w:sz w:val="32"/>
          <w:szCs w:val="32"/>
        </w:rPr>
        <w:t>（一）一般公共预算执行情况</w:t>
      </w:r>
    </w:p>
    <w:p w:rsidR="00F2278E" w:rsidRDefault="00CA230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2021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年全区一般公共预算收入完成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141.5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亿元，完成预算的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100.5%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，较上年实绩增长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6.5%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，增收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8.7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亿元。其中税收收入完成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118.3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亿元，较上年实绩增长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4.12%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，增收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4.68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亿元。</w:t>
      </w:r>
    </w:p>
    <w:p w:rsidR="00F2278E" w:rsidRDefault="00CA230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全区一般公共预算支出完成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86.58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亿元，同比增长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6.12%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，增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lastRenderedPageBreak/>
        <w:t>支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4.99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亿元，其中区本级一般公共预算支出完成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57.82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亿元，同比增长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6.64%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，增支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3.6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亿元。</w:t>
      </w:r>
    </w:p>
    <w:p w:rsidR="00F2278E" w:rsidRDefault="00CA230E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"/>
          <w:b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（二）政府性基金预算执行情况</w:t>
      </w:r>
    </w:p>
    <w:p w:rsidR="00F2278E" w:rsidRDefault="00CA230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2021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年全区政府性基金预算收入完成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170.5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亿元，较上年实绩增长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21.01%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，增收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29.6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亿元。其中区本级政府性基金预算收入完成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142.85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亿元，较上年实绩增长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46.22%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，增收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45.15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亿元。</w:t>
      </w:r>
    </w:p>
    <w:p w:rsidR="00F2278E" w:rsidRDefault="00CA230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全区政府性基金预算支出完成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183.22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亿元，同比增长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9.69%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，增支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16.18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亿元。其中区本级政府性基金预算支出完成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155.57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亿元，同比增长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25.7%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，增支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31.8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亿元。</w:t>
      </w:r>
    </w:p>
    <w:p w:rsidR="00F2278E" w:rsidRDefault="00CA230E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"/>
          <w:b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（三）国有资本经营预算执行情况</w:t>
      </w:r>
    </w:p>
    <w:p w:rsidR="00F2278E" w:rsidRDefault="00CA230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2021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年全区国有资本经营预算收入完成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4.26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亿元，国有资本经营预算支出完成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3.8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亿元。其中区本级国有资本经营预算收入完成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4.26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亿元，国有资本经营预算支出完成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3.8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亿元。</w:t>
      </w:r>
    </w:p>
    <w:p w:rsidR="00F2278E" w:rsidRDefault="00CA230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以上预算执行情况为预计数，目前财政决算正在编制中，待财政决算正式编制完成后，再报请区人大常委会审查批准。</w:t>
      </w:r>
    </w:p>
    <w:p w:rsidR="00F2278E" w:rsidRDefault="00CA230E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（四）</w:t>
      </w:r>
      <w:r>
        <w:rPr>
          <w:rFonts w:ascii="仿宋_GB2312" w:eastAsia="仿宋_GB2312" w:hAnsi="黑体" w:hint="eastAsia"/>
          <w:b/>
          <w:sz w:val="32"/>
          <w:szCs w:val="32"/>
        </w:rPr>
        <w:t>2021</w:t>
      </w:r>
      <w:r>
        <w:rPr>
          <w:rFonts w:ascii="仿宋_GB2312" w:eastAsia="仿宋_GB2312" w:hAnsi="黑体" w:hint="eastAsia"/>
          <w:b/>
          <w:sz w:val="32"/>
          <w:szCs w:val="32"/>
        </w:rPr>
        <w:t>年财政主要工作情况</w:t>
      </w:r>
    </w:p>
    <w:p w:rsidR="00F2278E" w:rsidRDefault="00CA230E">
      <w:pPr>
        <w:spacing w:line="560" w:lineRule="exact"/>
        <w:ind w:firstLineChars="200" w:firstLine="643"/>
        <w:rPr>
          <w:rFonts w:ascii="仿宋_GB2312" w:eastAsia="仿宋_GB2312" w:hAnsi="楷体_GB2312" w:cs="楷体_GB2312"/>
          <w:b/>
          <w:bCs/>
          <w:color w:val="212121"/>
          <w:sz w:val="32"/>
          <w:szCs w:val="32"/>
          <w:shd w:val="clear" w:color="auto" w:fill="FFFFFF"/>
        </w:rPr>
      </w:pPr>
      <w:bookmarkStart w:id="1" w:name="_Toc535509726"/>
      <w:r>
        <w:rPr>
          <w:rFonts w:ascii="仿宋_GB2312" w:eastAsia="仿宋_GB2312" w:hAnsi="楷体_GB2312" w:cs="楷体_GB2312" w:hint="eastAsia"/>
          <w:b/>
          <w:bCs/>
          <w:color w:val="212121"/>
          <w:sz w:val="32"/>
          <w:szCs w:val="32"/>
          <w:shd w:val="clear" w:color="auto" w:fill="FFFFFF"/>
        </w:rPr>
        <w:t xml:space="preserve"> 1.</w:t>
      </w:r>
      <w:r>
        <w:rPr>
          <w:rFonts w:ascii="仿宋_GB2312" w:eastAsia="仿宋_GB2312" w:hAnsi="楷体_GB2312" w:cs="楷体_GB2312" w:hint="eastAsia"/>
          <w:b/>
          <w:bCs/>
          <w:color w:val="212121"/>
          <w:sz w:val="32"/>
          <w:szCs w:val="32"/>
          <w:shd w:val="clear" w:color="auto" w:fill="FFFFFF"/>
        </w:rPr>
        <w:t>聚财增收，推动财政稳健运行</w:t>
      </w:r>
    </w:p>
    <w:p w:rsidR="00F2278E" w:rsidRDefault="00CA230E">
      <w:pPr>
        <w:spacing w:line="560" w:lineRule="exact"/>
        <w:ind w:firstLineChars="227" w:firstLine="726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一是加强收入征管。强化对财税形势和政策的分析研究，抓好主体税种、重点税源、重点行业、重点企业、重点项目及一次性税源的动态跟踪管理，加大税收挖潜堵漏工作力度，确保应收尽收，提高收入质量。二是完善协税护税体系。进一步理顺区协税办的管理体制机制，加强部门间的沟通与协调，确保全区协税</w:t>
      </w:r>
      <w:r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护税工作有效开展。三是强化对中央直达资金和省转移支付资金的监管。依托监控系统全程监控资金使用情况，建立常态化监督和预警机制，确保资金第一时间直达基层、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惠企利民，全年累计分配中央直达资金和省转移支付资金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3.5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亿元。四是积极服务企业发展。全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年拨付工业、现代服务业、科技、领军人才等各级各类专项扶持资金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13.5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亿元。</w:t>
      </w:r>
    </w:p>
    <w:bookmarkEnd w:id="1"/>
    <w:p w:rsidR="00F2278E" w:rsidRDefault="00CA230E">
      <w:pPr>
        <w:tabs>
          <w:tab w:val="left" w:pos="1276"/>
        </w:tabs>
        <w:spacing w:line="560" w:lineRule="exact"/>
        <w:ind w:firstLineChars="200" w:firstLine="643"/>
        <w:outlineLvl w:val="1"/>
        <w:rPr>
          <w:rFonts w:ascii="仿宋_GB2312" w:eastAsia="仿宋_GB2312" w:hAnsi="黑体"/>
          <w:b/>
          <w:bCs/>
          <w:color w:val="212121"/>
          <w:sz w:val="32"/>
          <w:szCs w:val="32"/>
          <w:shd w:val="clear" w:color="auto" w:fill="FFFFFF"/>
        </w:rPr>
      </w:pPr>
      <w:r>
        <w:rPr>
          <w:rFonts w:ascii="仿宋_GB2312" w:eastAsia="仿宋_GB2312" w:hAnsi="黑体" w:cs="Times New Roman" w:hint="eastAsia"/>
          <w:b/>
          <w:bCs/>
          <w:color w:val="212121"/>
          <w:sz w:val="32"/>
          <w:szCs w:val="32"/>
          <w:shd w:val="clear" w:color="auto" w:fill="FFFFFF"/>
        </w:rPr>
        <w:t>2.</w:t>
      </w:r>
      <w:r>
        <w:rPr>
          <w:rFonts w:ascii="仿宋_GB2312" w:eastAsia="仿宋_GB2312" w:hAnsi="黑体" w:cs="Times New Roman" w:hint="eastAsia"/>
          <w:b/>
          <w:bCs/>
          <w:color w:val="212121"/>
          <w:sz w:val="32"/>
          <w:szCs w:val="32"/>
          <w:shd w:val="clear" w:color="auto" w:fill="FFFFFF"/>
        </w:rPr>
        <w:t>优化结构，民生保障稳步提标</w:t>
      </w:r>
    </w:p>
    <w:p w:rsidR="00F2278E" w:rsidRDefault="00CA230E">
      <w:pPr>
        <w:snapToGrid w:val="0"/>
        <w:spacing w:line="560" w:lineRule="exact"/>
        <w:ind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一是完善城乡社会保障制度，</w:t>
      </w:r>
      <w:r>
        <w:rPr>
          <w:rFonts w:ascii="仿宋_GB2312" w:eastAsia="仿宋_GB2312" w:hAnsi="Times New Roman" w:cs="Times New Roman" w:hint="eastAsia"/>
          <w:sz w:val="32"/>
          <w:szCs w:val="32"/>
        </w:rPr>
        <w:t>2021</w:t>
      </w:r>
      <w:r>
        <w:rPr>
          <w:rFonts w:ascii="仿宋_GB2312" w:eastAsia="仿宋_GB2312" w:hAnsi="Times New Roman" w:cs="Times New Roman" w:hint="eastAsia"/>
          <w:sz w:val="32"/>
          <w:szCs w:val="32"/>
        </w:rPr>
        <w:t>年城乡居民基本养老保险基础养老金由每月</w:t>
      </w:r>
      <w:r>
        <w:rPr>
          <w:rFonts w:ascii="仿宋_GB2312" w:eastAsia="仿宋_GB2312" w:hAnsi="Times New Roman" w:cs="Times New Roman" w:hint="eastAsia"/>
          <w:sz w:val="32"/>
          <w:szCs w:val="32"/>
        </w:rPr>
        <w:t>300</w:t>
      </w:r>
      <w:r>
        <w:rPr>
          <w:rFonts w:ascii="仿宋_GB2312" w:eastAsia="仿宋_GB2312" w:hAnsi="Times New Roman" w:cs="Times New Roman" w:hint="eastAsia"/>
          <w:sz w:val="32"/>
          <w:szCs w:val="32"/>
        </w:rPr>
        <w:t>元提高到</w:t>
      </w:r>
      <w:r>
        <w:rPr>
          <w:rFonts w:ascii="仿宋_GB2312" w:eastAsia="仿宋_GB2312" w:hAnsi="Times New Roman" w:cs="Times New Roman" w:hint="eastAsia"/>
          <w:sz w:val="32"/>
          <w:szCs w:val="32"/>
        </w:rPr>
        <w:t>350</w:t>
      </w:r>
      <w:r>
        <w:rPr>
          <w:rFonts w:ascii="仿宋_GB2312" w:eastAsia="仿宋_GB2312" w:hAnsi="Times New Roman" w:cs="Times New Roman" w:hint="eastAsia"/>
          <w:sz w:val="32"/>
          <w:szCs w:val="32"/>
        </w:rPr>
        <w:t>元，居民医疗保险财政补助经费由人均</w:t>
      </w:r>
      <w:r>
        <w:rPr>
          <w:rFonts w:ascii="仿宋_GB2312" w:eastAsia="仿宋_GB2312" w:hAnsi="Times New Roman" w:cs="Times New Roman" w:hint="eastAsia"/>
          <w:sz w:val="32"/>
          <w:szCs w:val="32"/>
        </w:rPr>
        <w:t>890</w:t>
      </w:r>
      <w:r>
        <w:rPr>
          <w:rFonts w:ascii="仿宋_GB2312" w:eastAsia="仿宋_GB2312" w:hAnsi="Times New Roman" w:cs="Times New Roman" w:hint="eastAsia"/>
          <w:sz w:val="32"/>
          <w:szCs w:val="32"/>
        </w:rPr>
        <w:t>元提高至</w:t>
      </w:r>
      <w:r>
        <w:rPr>
          <w:rFonts w:ascii="仿宋_GB2312" w:eastAsia="仿宋_GB2312" w:hAnsi="Times New Roman" w:cs="Times New Roman" w:hint="eastAsia"/>
          <w:sz w:val="32"/>
          <w:szCs w:val="32"/>
        </w:rPr>
        <w:t>930</w:t>
      </w:r>
      <w:r>
        <w:rPr>
          <w:rFonts w:ascii="仿宋_GB2312" w:eastAsia="仿宋_GB2312" w:hAnsi="Times New Roman" w:cs="Times New Roman" w:hint="eastAsia"/>
          <w:sz w:val="32"/>
          <w:szCs w:val="32"/>
        </w:rPr>
        <w:t>元。继续做好被征地农民社会保障工作，制定出台</w:t>
      </w:r>
      <w:r>
        <w:rPr>
          <w:rFonts w:ascii="仿宋_GB2312" w:eastAsia="仿宋_GB2312" w:hAnsi="Times New Roman" w:cs="Times New Roman" w:hint="eastAsia"/>
          <w:sz w:val="32"/>
          <w:szCs w:val="32"/>
        </w:rPr>
        <w:t>2020</w:t>
      </w:r>
      <w:r>
        <w:rPr>
          <w:rFonts w:ascii="仿宋_GB2312" w:eastAsia="仿宋_GB2312" w:hAnsi="Times New Roman" w:cs="Times New Roman" w:hint="eastAsia"/>
          <w:sz w:val="32"/>
          <w:szCs w:val="32"/>
        </w:rPr>
        <w:t>年后新征地被征地农民保障规程，更好维护被征地农民的权益。二是精准支持乡村振兴战略。持续加大财政支农力度，相继出台支持农业生态补偿、农村一二三产融合发展，农业保险高质量发展等综合奖补政策，全年统筹安排各类涉农资金</w:t>
      </w:r>
      <w:r>
        <w:rPr>
          <w:rFonts w:ascii="仿宋_GB2312" w:eastAsia="仿宋_GB2312" w:hAnsi="Times New Roman" w:cs="Times New Roman" w:hint="eastAsia"/>
          <w:sz w:val="32"/>
          <w:szCs w:val="32"/>
        </w:rPr>
        <w:t>3.2</w:t>
      </w:r>
      <w:r>
        <w:rPr>
          <w:rFonts w:ascii="仿宋_GB2312" w:eastAsia="仿宋_GB2312" w:hAnsi="Times New Roman" w:cs="Times New Roman" w:hint="eastAsia"/>
          <w:sz w:val="32"/>
          <w:szCs w:val="32"/>
        </w:rPr>
        <w:t>亿元，推进农业产业融合发展，保障粮食安全；财政金融五位一体协同支持乡村振兴取得显著成效，撬动金融社</w:t>
      </w:r>
      <w:r>
        <w:rPr>
          <w:rFonts w:ascii="仿宋_GB2312" w:eastAsia="仿宋_GB2312" w:hAnsi="Times New Roman" w:cs="Times New Roman" w:hint="eastAsia"/>
          <w:sz w:val="32"/>
          <w:szCs w:val="32"/>
        </w:rPr>
        <w:t>会资本投向农村基础设施、现代农业产业发展以及农业科技等领域。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三是加力保障疫情常态化防控。全年安排防疫经费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1.5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亿元，做好</w:t>
      </w:r>
      <w:r>
        <w:rPr>
          <w:rFonts w:ascii="仿宋_GB2312" w:eastAsia="仿宋_GB2312" w:hAnsi="Times New Roman" w:cs="Times New Roman" w:hint="eastAsia"/>
          <w:sz w:val="32"/>
          <w:szCs w:val="32"/>
        </w:rPr>
        <w:t>疫情常态化防控、“火眼”核酸实验室建设以及一线防疫人员的待遇发放等保障工作。四是完善财政教育经费投入机制，制定《中小学校预算管理办法》，明晰教育事权和财政支出责任，着力支持我区教育布局优化，重点支持龙城初中、新龙实验、泰山实验</w:t>
      </w:r>
      <w:r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等学校开工建设。五是聚力保障重大项目建设。多渠道筹措资金，通过财政加大投入、金融机构大力支持、社会资本积极参与等方式</w:t>
      </w:r>
      <w:r>
        <w:rPr>
          <w:rFonts w:ascii="仿宋_GB2312" w:eastAsia="仿宋_GB2312" w:cs="Times New Roman" w:hint="eastAsia"/>
          <w:sz w:val="32"/>
          <w:szCs w:val="32"/>
        </w:rPr>
        <w:t>累计</w:t>
      </w:r>
      <w:r>
        <w:rPr>
          <w:rFonts w:ascii="仿宋_GB2312" w:eastAsia="仿宋_GB2312" w:hAnsi="Times New Roman" w:cs="Times New Roman" w:hint="eastAsia"/>
          <w:sz w:val="32"/>
          <w:szCs w:val="32"/>
        </w:rPr>
        <w:t>筹集超过</w:t>
      </w:r>
      <w:r>
        <w:rPr>
          <w:rFonts w:ascii="仿宋_GB2312" w:eastAsia="仿宋_GB2312" w:hAnsi="Times New Roman" w:cs="Times New Roman" w:hint="eastAsia"/>
          <w:sz w:val="32"/>
          <w:szCs w:val="32"/>
        </w:rPr>
        <w:t>100</w:t>
      </w:r>
      <w:r>
        <w:rPr>
          <w:rFonts w:ascii="仿宋_GB2312" w:eastAsia="仿宋_GB2312" w:hAnsi="Times New Roman" w:cs="Times New Roman" w:hint="eastAsia"/>
          <w:sz w:val="32"/>
          <w:szCs w:val="32"/>
        </w:rPr>
        <w:t>亿元资金支持长江大保护、高铁新城</w:t>
      </w:r>
      <w:r>
        <w:rPr>
          <w:rFonts w:ascii="仿宋_GB2312" w:eastAsia="仿宋_GB2312" w:hAnsi="Times New Roman" w:cs="Times New Roman" w:hint="eastAsia"/>
          <w:sz w:val="32"/>
          <w:szCs w:val="32"/>
        </w:rPr>
        <w:t>建设、新孟河延伸拓浚等</w:t>
      </w:r>
      <w:r>
        <w:rPr>
          <w:rFonts w:ascii="仿宋_GB2312" w:eastAsia="仿宋_GB2312" w:hAnsi="Times New Roman" w:cs="Times New Roman"/>
          <w:sz w:val="32"/>
          <w:szCs w:val="32"/>
        </w:rPr>
        <w:t>重点</w:t>
      </w:r>
      <w:r>
        <w:rPr>
          <w:rFonts w:ascii="仿宋_GB2312" w:eastAsia="仿宋_GB2312" w:hAnsi="Times New Roman" w:cs="Times New Roman" w:hint="eastAsia"/>
          <w:sz w:val="32"/>
          <w:szCs w:val="32"/>
        </w:rPr>
        <w:t>项目建设，提升我区基础设施供给质量。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全年民生类支出完成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70.13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亿元，占全区一般公共预算支出比重保持在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80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％以上。</w:t>
      </w:r>
    </w:p>
    <w:p w:rsidR="00F2278E" w:rsidRDefault="00CA230E">
      <w:pPr>
        <w:tabs>
          <w:tab w:val="left" w:pos="1276"/>
        </w:tabs>
        <w:spacing w:line="560" w:lineRule="exact"/>
        <w:ind w:firstLineChars="200" w:firstLine="643"/>
        <w:outlineLvl w:val="1"/>
        <w:rPr>
          <w:rFonts w:ascii="仿宋_GB2312" w:eastAsia="仿宋_GB2312" w:hAnsi="黑体"/>
          <w:bCs/>
          <w:color w:val="212121"/>
          <w:sz w:val="32"/>
          <w:szCs w:val="32"/>
          <w:shd w:val="clear" w:color="auto" w:fill="FFFFFF"/>
        </w:rPr>
      </w:pPr>
      <w:r>
        <w:rPr>
          <w:rFonts w:ascii="仿宋_GB2312" w:eastAsia="仿宋_GB2312" w:hAnsi="黑体" w:cs="Times New Roman" w:hint="eastAsia"/>
          <w:b/>
          <w:bCs/>
          <w:color w:val="212121"/>
          <w:sz w:val="32"/>
          <w:szCs w:val="32"/>
          <w:shd w:val="clear" w:color="auto" w:fill="FFFFFF"/>
        </w:rPr>
        <w:t>3.</w:t>
      </w:r>
      <w:r>
        <w:rPr>
          <w:rFonts w:ascii="仿宋_GB2312" w:eastAsia="仿宋_GB2312" w:hAnsi="黑体" w:cs="Times New Roman" w:hint="eastAsia"/>
          <w:b/>
          <w:bCs/>
          <w:color w:val="212121"/>
          <w:sz w:val="32"/>
          <w:szCs w:val="32"/>
          <w:shd w:val="clear" w:color="auto" w:fill="FFFFFF"/>
        </w:rPr>
        <w:t>改革创新，体制机制日益完善</w:t>
      </w:r>
    </w:p>
    <w:p w:rsidR="00F2278E" w:rsidRDefault="00CA230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一是深入推进预算制度改革。扎实推进预算管理一体化系统建设，持续推进非税收入收缴电子化改革工作，在去年成功试点上线的基础上进行扩面。二是全面实施预算绩效管理，强化绩效管理制度体系建设，对薛家镇政府、西夏墅镇政府开展基层财政运行综合绩效评价试点工作。三是推进政府采购制度改革。规范政府采购预算执行，制定政府购买服务实施细则，调整政府集中采购目</w:t>
      </w:r>
      <w:r>
        <w:rPr>
          <w:rFonts w:ascii="仿宋_GB2312" w:eastAsia="仿宋_GB2312" w:hAnsi="Times New Roman" w:cs="Times New Roman" w:hint="eastAsia"/>
          <w:sz w:val="32"/>
          <w:szCs w:val="32"/>
        </w:rPr>
        <w:t>录及标准，发布“政府采购意向公开”规范，优化政府采购领域营商环境。四是规范</w:t>
      </w:r>
      <w:r>
        <w:rPr>
          <w:rFonts w:ascii="仿宋_GB2312" w:eastAsia="仿宋_GB2312" w:hAnsi="Times New Roman" w:cs="Times New Roman" w:hint="eastAsia"/>
          <w:sz w:val="32"/>
          <w:szCs w:val="32"/>
        </w:rPr>
        <w:t>PPP</w:t>
      </w:r>
      <w:r>
        <w:rPr>
          <w:rFonts w:ascii="仿宋_GB2312" w:eastAsia="仿宋_GB2312" w:hAnsi="Times New Roman" w:cs="Times New Roman" w:hint="eastAsia"/>
          <w:sz w:val="32"/>
          <w:szCs w:val="32"/>
        </w:rPr>
        <w:t>项目</w:t>
      </w:r>
      <w:r>
        <w:rPr>
          <w:rFonts w:ascii="仿宋_GB2312" w:eastAsia="仿宋_GB2312" w:hAnsi="Times New Roman" w:cs="Times New Roman" w:hint="eastAsia"/>
          <w:sz w:val="32"/>
          <w:szCs w:val="32"/>
        </w:rPr>
        <w:t>实施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。全力推动农村污水治理、厨余垃圾综合利用项目入库，加强</w:t>
      </w:r>
      <w:r>
        <w:rPr>
          <w:rFonts w:ascii="仿宋_GB2312" w:eastAsia="仿宋_GB2312" w:hAnsi="Times New Roman" w:cs="Times New Roman" w:hint="eastAsia"/>
          <w:sz w:val="32"/>
          <w:szCs w:val="32"/>
        </w:rPr>
        <w:t>PPP</w:t>
      </w:r>
      <w:r>
        <w:rPr>
          <w:rFonts w:ascii="仿宋_GB2312" w:eastAsia="仿宋_GB2312" w:hAnsi="Times New Roman" w:cs="Times New Roman" w:hint="eastAsia"/>
          <w:sz w:val="32"/>
          <w:szCs w:val="32"/>
        </w:rPr>
        <w:t>项目财政管理，完善财政支出责任台账。五是深入推进国资国企改革。强化规划引领，出台《国有企业改革发展三年行动计划（</w:t>
      </w:r>
      <w:r>
        <w:rPr>
          <w:rFonts w:ascii="仿宋_GB2312" w:eastAsia="仿宋_GB2312" w:hAnsi="Times New Roman" w:cs="Times New Roman" w:hint="eastAsia"/>
          <w:sz w:val="32"/>
          <w:szCs w:val="32"/>
        </w:rPr>
        <w:t>2021-2023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）》，指导区属企业完成战略规划编制；推动黑牡丹集团在全市率先实施国有控股上市公司股权激励计划；加强国资监管制度体系建设，出台《关于进一步明确区级镇属公司监管要求》等管理制度，进一步明确区属国企在资产管理、资产负债约束、风险防控等方面要</w:t>
      </w:r>
      <w:r>
        <w:rPr>
          <w:rFonts w:ascii="仿宋_GB2312" w:eastAsia="仿宋_GB2312" w:hAnsi="Times New Roman" w:cs="Times New Roman" w:hint="eastAsia"/>
          <w:sz w:val="32"/>
          <w:szCs w:val="32"/>
        </w:rPr>
        <w:t>求，</w:t>
      </w:r>
      <w:r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有效防范各项风险。</w:t>
      </w:r>
    </w:p>
    <w:p w:rsidR="00F2278E" w:rsidRDefault="00CA230E">
      <w:pPr>
        <w:tabs>
          <w:tab w:val="left" w:pos="1276"/>
        </w:tabs>
        <w:spacing w:line="560" w:lineRule="exact"/>
        <w:ind w:firstLineChars="200" w:firstLine="643"/>
        <w:outlineLvl w:val="1"/>
        <w:rPr>
          <w:rFonts w:ascii="仿宋_GB2312" w:eastAsia="仿宋_GB2312" w:hAnsi="黑体"/>
          <w:b/>
          <w:bCs/>
          <w:color w:val="212121"/>
          <w:sz w:val="32"/>
          <w:szCs w:val="32"/>
          <w:shd w:val="clear" w:color="auto" w:fill="FFFFFF"/>
        </w:rPr>
      </w:pPr>
      <w:r>
        <w:rPr>
          <w:rFonts w:ascii="仿宋_GB2312" w:eastAsia="仿宋_GB2312" w:hAnsi="黑体" w:cs="Times New Roman" w:hint="eastAsia"/>
          <w:b/>
          <w:bCs/>
          <w:color w:val="212121"/>
          <w:sz w:val="32"/>
          <w:szCs w:val="32"/>
          <w:shd w:val="clear" w:color="auto" w:fill="FFFFFF"/>
        </w:rPr>
        <w:t>4.</w:t>
      </w:r>
      <w:r>
        <w:rPr>
          <w:rFonts w:ascii="仿宋_GB2312" w:eastAsia="仿宋_GB2312" w:hAnsi="黑体" w:cs="Times New Roman" w:hint="eastAsia"/>
          <w:b/>
          <w:bCs/>
          <w:color w:val="212121"/>
          <w:sz w:val="32"/>
          <w:szCs w:val="32"/>
          <w:shd w:val="clear" w:color="auto" w:fill="FFFFFF"/>
        </w:rPr>
        <w:t>多措并举，防范化解债务风险</w:t>
      </w:r>
    </w:p>
    <w:p w:rsidR="00F2278E" w:rsidRDefault="00CA230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一是落实化债责任。全面下达严控债务增长、压降债务成本及债务风险化解的各项债务管控目标，从严管控政府性债务风险。二是加强融资管控。对融资平台公司举债融资行为实行负面清单管理，全面排查、及时改正不规范融资行为，坚决杜绝新发生违法违规融资行为。三是强化风险监测。充分运用财政部债务监测平台及省纪委债务综合监管平台，加强对重点地区、重点公司债务运行情况的跟踪监测、研究分析和有效指导，及时关注债务风险隐患，做好应对预案。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四</w:t>
      </w:r>
      <w:r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>是严格限额管理。根据市财政局下达我区债务限</w:t>
      </w:r>
      <w:r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>额，在确保经济发展与风险控制相匹配的基础上，有效控制政府债务规模，严格做到在限额内举借债务。</w:t>
      </w:r>
      <w:r>
        <w:rPr>
          <w:rFonts w:ascii="仿宋_GB2312" w:eastAsia="仿宋_GB2312" w:hAnsiTheme="minorHAnsi" w:cstheme="minorBidi"/>
          <w:color w:val="000000" w:themeColor="text1"/>
          <w:sz w:val="32"/>
          <w:szCs w:val="32"/>
        </w:rPr>
        <w:t>截止到</w:t>
      </w:r>
      <w:r>
        <w:rPr>
          <w:rFonts w:ascii="仿宋_GB2312" w:eastAsia="仿宋_GB2312" w:hAnsiTheme="minorHAnsi" w:cstheme="minorBidi"/>
          <w:color w:val="000000" w:themeColor="text1"/>
          <w:sz w:val="32"/>
          <w:szCs w:val="32"/>
        </w:rPr>
        <w:t>202</w:t>
      </w:r>
      <w:r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hAnsiTheme="minorHAnsi" w:cstheme="minorBidi"/>
          <w:color w:val="000000" w:themeColor="text1"/>
          <w:sz w:val="32"/>
          <w:szCs w:val="32"/>
        </w:rPr>
        <w:t>年末，我区政府债务余额</w:t>
      </w:r>
      <w:r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>116.15</w:t>
      </w:r>
      <w:r>
        <w:rPr>
          <w:rFonts w:ascii="仿宋_GB2312" w:eastAsia="仿宋_GB2312" w:hAnsiTheme="minorHAnsi" w:cstheme="minorBidi"/>
          <w:color w:val="000000" w:themeColor="text1"/>
          <w:sz w:val="32"/>
          <w:szCs w:val="32"/>
        </w:rPr>
        <w:t>亿元，其中一般债务余额</w:t>
      </w:r>
      <w:r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>19.13</w:t>
      </w:r>
      <w:r>
        <w:rPr>
          <w:rFonts w:ascii="仿宋_GB2312" w:eastAsia="仿宋_GB2312" w:hAnsiTheme="minorHAnsi" w:cstheme="minorBidi"/>
          <w:color w:val="000000" w:themeColor="text1"/>
          <w:sz w:val="32"/>
          <w:szCs w:val="32"/>
        </w:rPr>
        <w:t>亿元，专项债务余额</w:t>
      </w:r>
      <w:r>
        <w:rPr>
          <w:rFonts w:ascii="仿宋_GB2312" w:eastAsia="仿宋_GB2312" w:hAnsiTheme="minorHAnsi" w:cstheme="minorBidi" w:hint="eastAsia"/>
          <w:color w:val="000000" w:themeColor="text1"/>
          <w:sz w:val="32"/>
          <w:szCs w:val="32"/>
        </w:rPr>
        <w:t>97.02</w:t>
      </w:r>
      <w:r>
        <w:rPr>
          <w:rFonts w:ascii="仿宋_GB2312" w:eastAsia="仿宋_GB2312" w:hAnsiTheme="minorHAnsi" w:cstheme="minorBidi"/>
          <w:color w:val="000000" w:themeColor="text1"/>
          <w:sz w:val="32"/>
          <w:szCs w:val="32"/>
        </w:rPr>
        <w:t>亿元。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五是有序化解债务。统筹把握全年化债节奏，依法依规稳妥化解隐性债务，预计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2021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年末我区政府性债务风险等级降为黄色。</w:t>
      </w:r>
    </w:p>
    <w:p w:rsidR="00F2278E" w:rsidRDefault="00CA230E">
      <w:pPr>
        <w:spacing w:line="560" w:lineRule="exact"/>
        <w:ind w:firstLineChars="227" w:firstLine="729"/>
        <w:rPr>
          <w:rFonts w:ascii="仿宋_GB2312" w:eastAsia="仿宋_GB2312" w:hAnsi="黑体"/>
          <w:b/>
          <w:bCs/>
          <w:color w:val="212121"/>
          <w:sz w:val="32"/>
          <w:szCs w:val="32"/>
          <w:shd w:val="clear" w:color="auto" w:fill="FFFFFF"/>
        </w:rPr>
      </w:pPr>
      <w:r>
        <w:rPr>
          <w:rFonts w:ascii="仿宋_GB2312" w:eastAsia="仿宋_GB2312" w:hAnsi="黑体" w:cs="Times New Roman" w:hint="eastAsia"/>
          <w:b/>
          <w:bCs/>
          <w:color w:val="212121"/>
          <w:sz w:val="32"/>
          <w:szCs w:val="32"/>
          <w:shd w:val="clear" w:color="auto" w:fill="FFFFFF"/>
        </w:rPr>
        <w:t>5.</w:t>
      </w:r>
      <w:r>
        <w:rPr>
          <w:rFonts w:ascii="仿宋_GB2312" w:eastAsia="仿宋_GB2312" w:hAnsi="黑体" w:cs="Times New Roman" w:hint="eastAsia"/>
          <w:b/>
          <w:bCs/>
          <w:color w:val="212121"/>
          <w:sz w:val="32"/>
          <w:szCs w:val="32"/>
          <w:shd w:val="clear" w:color="auto" w:fill="FFFFFF"/>
        </w:rPr>
        <w:t>规范管理，提升资金使用效益</w:t>
      </w:r>
    </w:p>
    <w:p w:rsidR="00F2278E" w:rsidRDefault="00CA230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一是加强财政监督管理。加强对重点专项资金、国有资产、政府采购等方面的监督，对部分镇（街道）财政分局开展内部控制制度执行情况专项检查，配合派驻纪检</w:t>
      </w:r>
      <w:r>
        <w:rPr>
          <w:rFonts w:ascii="仿宋_GB2312" w:eastAsia="仿宋_GB2312" w:hAnsi="Times New Roman" w:cs="Times New Roman" w:hint="eastAsia"/>
          <w:sz w:val="32"/>
          <w:szCs w:val="32"/>
        </w:rPr>
        <w:t>监察</w:t>
      </w:r>
      <w:r>
        <w:rPr>
          <w:rFonts w:ascii="仿宋_GB2312" w:eastAsia="仿宋_GB2312" w:hAnsi="Times New Roman" w:cs="Times New Roman" w:hint="eastAsia"/>
          <w:sz w:val="32"/>
          <w:szCs w:val="32"/>
        </w:rPr>
        <w:t>组开展作风建设检查。二是加强项目监督。对新孟河延伸拓浚工程、高铁新城</w:t>
      </w:r>
      <w:r>
        <w:rPr>
          <w:rFonts w:ascii="仿宋_GB2312" w:eastAsia="仿宋_GB2312" w:hAnsi="Times New Roman" w:cs="Times New Roman" w:hint="eastAsia"/>
          <w:sz w:val="32"/>
          <w:szCs w:val="32"/>
        </w:rPr>
        <w:t>片区征收动迁</w:t>
      </w:r>
      <w:r>
        <w:rPr>
          <w:rFonts w:ascii="仿宋_GB2312" w:eastAsia="仿宋_GB2312" w:hAnsi="Times New Roman" w:cs="Times New Roman" w:hint="eastAsia"/>
          <w:sz w:val="32"/>
          <w:szCs w:val="32"/>
        </w:rPr>
        <w:t>等重大项目开展全过程跟踪审查。三是持续推进基层财</w:t>
      </w:r>
      <w:r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政内部管理暨公共服务标准化建设，发布《标准化管理规范》，完成部门预算管理、财政票据管理等六个模块标准发布，区镇联动开展政府采购模块贯标活动，高分通过全省标准化试点统一验收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。</w:t>
      </w:r>
    </w:p>
    <w:p w:rsidR="00F2278E" w:rsidRDefault="00CA230E">
      <w:pPr>
        <w:spacing w:line="560" w:lineRule="exact"/>
        <w:ind w:firstLineChars="200" w:firstLine="640"/>
        <w:rPr>
          <w:rFonts w:ascii="仿宋_GB2312" w:eastAsia="仿宋_GB2312" w:hAnsi="宋体"/>
          <w:bCs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各位代表、同志们，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2021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年财政预算执行情况总体平稳，财政工作也取得了一定成绩。成绩的取得得益于</w:t>
      </w:r>
      <w:bookmarkStart w:id="2" w:name="baidusnap6"/>
      <w:bookmarkEnd w:id="2"/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区委、区政府的科学决策、坚强领导，离不开区人大、区政协的有效监督、鼎力支持。但也必须清醒地看到，当前财政运行和预算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执行中也存在一些问题，主要是：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一是世界经济低迷和全球化逆流加大了经济发展的风险，加上新冠肺炎疫情巨大变量和减税降费等政策性减收因素，财政收入持续较快增长面临较大不确定性。二是进入“十四五”，开启新征程需要新保障，区委区政府要干的大事要事很多，建设发展任务很重，民生保障</w:t>
      </w:r>
      <w:r>
        <w:rPr>
          <w:rFonts w:eastAsia="仿宋_GB2312" w:cs="Times New Roman" w:hint="eastAsia"/>
          <w:sz w:val="32"/>
          <w:szCs w:val="32"/>
        </w:rPr>
        <w:t>提质增效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对资金的需求刚性增长，财政紧平衡成为常态。三是当前防范化解地方政府隐性债务风险进入攻坚期，债务规模偏大、化债渠道单一、园区、镇（街道）风险偏高等问题不容忽视，平稳做好债务化解工作仍任重道远。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对于这些问题，我们将高度重视，积极采取措施逐步加以解决。</w:t>
      </w:r>
    </w:p>
    <w:p w:rsidR="00F2278E" w:rsidRDefault="00CA230E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二、</w:t>
      </w:r>
      <w:r>
        <w:rPr>
          <w:rFonts w:ascii="黑体" w:eastAsia="黑体" w:hAnsi="黑体" w:hint="eastAsia"/>
          <w:color w:val="000000"/>
          <w:sz w:val="32"/>
          <w:szCs w:val="32"/>
        </w:rPr>
        <w:t>2022</w:t>
      </w:r>
      <w:r>
        <w:rPr>
          <w:rFonts w:ascii="黑体" w:eastAsia="黑体" w:hAnsi="黑体" w:hint="eastAsia"/>
          <w:color w:val="000000"/>
          <w:sz w:val="32"/>
          <w:szCs w:val="32"/>
        </w:rPr>
        <w:t>年财政预算草案</w:t>
      </w:r>
    </w:p>
    <w:p w:rsidR="00F2278E" w:rsidRDefault="00CA230E">
      <w:pPr>
        <w:autoSpaceDE w:val="0"/>
        <w:autoSpaceDN w:val="0"/>
        <w:adjustRightInd w:val="0"/>
        <w:snapToGrid w:val="0"/>
        <w:spacing w:line="560" w:lineRule="exact"/>
        <w:ind w:firstLine="640"/>
        <w:rPr>
          <w:rFonts w:ascii="仿宋_GB2312" w:eastAsia="仿宋_GB2312" w:hAnsi="华文仿宋"/>
          <w:color w:val="000000"/>
          <w:kern w:val="0"/>
          <w:sz w:val="32"/>
          <w:szCs w:val="32"/>
        </w:rPr>
      </w:pPr>
      <w:r>
        <w:rPr>
          <w:rFonts w:ascii="仿宋_GB2312" w:eastAsia="仿宋_GB2312" w:hAnsi="华文楷体" w:hint="eastAsia"/>
          <w:b/>
          <w:sz w:val="32"/>
          <w:szCs w:val="32"/>
        </w:rPr>
        <w:t>2022</w:t>
      </w:r>
      <w:r>
        <w:rPr>
          <w:rFonts w:ascii="仿宋_GB2312" w:eastAsia="仿宋_GB2312" w:hAnsi="华文楷体" w:hint="eastAsia"/>
          <w:b/>
          <w:sz w:val="32"/>
          <w:szCs w:val="32"/>
        </w:rPr>
        <w:t>年财政预算安排和财政工作总体思路是</w:t>
      </w:r>
      <w:r>
        <w:rPr>
          <w:rFonts w:ascii="仿宋_GB2312" w:eastAsia="仿宋_GB2312" w:hAnsi="华文楷体" w:hint="eastAsia"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坚持以习近平新时代中国特色社会主义思想为指导，全面贯彻党的十九大和十九届历次全会精神，紧扣区委区政府决策部署，坚持稳中求进工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作总基调，聚焦“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532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发展战略，加强财政资源统筹，大力优化支出结构，动态调整财政政策，深入推进改革创新，防范化解重大风险，更好发挥财政在资源配置、财力保障方面的基础作用，为推动我区社会主义现代化建设贡献财政力量。</w:t>
      </w:r>
    </w:p>
    <w:p w:rsidR="00F2278E" w:rsidRDefault="00CA230E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 xml:space="preserve">    2022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年财政预算安排的原则：一是</w:t>
      </w:r>
      <w:r>
        <w:rPr>
          <w:rFonts w:ascii="仿宋_GB2312" w:eastAsia="仿宋_GB2312" w:hAnsi="宋体" w:hint="eastAsia"/>
          <w:b/>
          <w:color w:val="000000" w:themeColor="text1"/>
          <w:kern w:val="0"/>
          <w:sz w:val="32"/>
          <w:szCs w:val="32"/>
        </w:rPr>
        <w:t>坚持预算法定。</w:t>
      </w:r>
      <w:r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增强法治观念，严肃财经纪律，提升制度</w:t>
      </w:r>
      <w:r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的</w:t>
      </w:r>
      <w:r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执行力和刚性约束力。明确部门的主体责任，切实强化预算约束，加强对权力运行的制约和监督。</w:t>
      </w:r>
      <w:r>
        <w:rPr>
          <w:rFonts w:ascii="仿宋_GB2312" w:eastAsia="仿宋_GB2312" w:hAnsi="宋体" w:hint="eastAsia"/>
          <w:b/>
          <w:color w:val="000000" w:themeColor="text1"/>
          <w:kern w:val="0"/>
          <w:sz w:val="32"/>
          <w:szCs w:val="32"/>
        </w:rPr>
        <w:t>二是</w:t>
      </w:r>
      <w:r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坚持收支平衡。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充分考虑减税降费政策、经济社会发展等因素，实事求是、科学预测编制收入预算。量力而行编制支出预算，既体现实际需要，又兼顾财力可能，确保收支平衡。</w:t>
      </w:r>
      <w:r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三是坚持有保有压。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健全厉行节约长效机制，更加牢固树立政府带头过“紧日子”的思想，严控一般性支出。完善集中财力办大事保障机制，坚持把做好“六稳”工作、落实“六保”任务放在财政支出的优先保障位置，加大对区委、区政府重大改革、重要政策和重点项目的保障力度。</w:t>
      </w:r>
      <w:r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四是坚持统筹兼顾。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统筹做好政府“三本预算”联动安排，坚持盘活部门存量资金与年度预算编制相衔接、坚持部门预算执行进度与年度预算编制相衔接，切实做到盘活存量、用好增量，提高财政资金使用效益。</w:t>
      </w:r>
      <w:r>
        <w:rPr>
          <w:rFonts w:ascii="仿宋_GB2312" w:eastAsia="仿宋_GB2312" w:hAnsi="仿宋" w:hint="eastAsia"/>
          <w:b/>
          <w:color w:val="000000" w:themeColor="text1"/>
          <w:sz w:val="32"/>
          <w:szCs w:val="32"/>
        </w:rPr>
        <w:t>五是坚持全面绩效。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完善绩效评价机制，加强评价结果应用，推进绩效结果公开，将绩效理念融入预算管理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全过程，以绩效为导向，优化财政资源配置和支出结构，推动财政资金实现更高水平的聚力提效。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六是</w:t>
      </w:r>
      <w:r>
        <w:rPr>
          <w:rFonts w:ascii="仿宋_GB2312" w:eastAsia="仿宋_GB2312" w:hAnsi="宋体" w:hint="eastAsia"/>
          <w:b/>
          <w:color w:val="000000" w:themeColor="text1"/>
          <w:kern w:val="0"/>
          <w:sz w:val="32"/>
          <w:szCs w:val="32"/>
        </w:rPr>
        <w:t>坚持底线思维。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把防风险摆在更加突出的位置，统筹发展和安全、</w:t>
      </w: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lastRenderedPageBreak/>
        <w:t>当前和长远，杜绝脱离实际的过高承诺，形成稳定合理的社会预期。加强政府债务和中长期支出事项管理，牢牢守住不发生系统性风险的底线。</w:t>
      </w:r>
    </w:p>
    <w:p w:rsidR="00F2278E" w:rsidRDefault="00CA230E">
      <w:pPr>
        <w:adjustRightInd w:val="0"/>
        <w:snapToGrid w:val="0"/>
        <w:spacing w:line="560" w:lineRule="exact"/>
        <w:ind w:firstLine="645"/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（一）一般公共预算草案</w:t>
      </w:r>
    </w:p>
    <w:p w:rsidR="00F2278E" w:rsidRDefault="00CA230E">
      <w:pPr>
        <w:adjustRightInd w:val="0"/>
        <w:snapToGrid w:val="0"/>
        <w:spacing w:line="560" w:lineRule="exact"/>
        <w:ind w:firstLineChars="196" w:firstLine="630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1.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一般公共预算收入预算草案</w:t>
      </w:r>
    </w:p>
    <w:p w:rsidR="00F2278E" w:rsidRDefault="00CA230E">
      <w:pPr>
        <w:spacing w:line="560" w:lineRule="exact"/>
        <w:ind w:firstLine="645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022</w:t>
      </w:r>
      <w:r>
        <w:rPr>
          <w:rFonts w:ascii="仿宋" w:eastAsia="仿宋" w:hAnsi="仿宋" w:hint="eastAsia"/>
          <w:sz w:val="32"/>
          <w:szCs w:val="32"/>
        </w:rPr>
        <w:t>年全区</w:t>
      </w:r>
      <w:r>
        <w:rPr>
          <w:rFonts w:ascii="仿宋" w:eastAsia="仿宋" w:hAnsi="仿宋" w:hint="eastAsia"/>
          <w:color w:val="000000"/>
          <w:sz w:val="32"/>
          <w:szCs w:val="32"/>
        </w:rPr>
        <w:t>一般公共预算收入预算在上年实绩基础上增长</w:t>
      </w:r>
      <w:r>
        <w:rPr>
          <w:rFonts w:ascii="仿宋" w:eastAsia="仿宋" w:hAnsi="仿宋" w:hint="eastAsia"/>
          <w:color w:val="000000"/>
          <w:sz w:val="32"/>
          <w:szCs w:val="32"/>
        </w:rPr>
        <w:t>6%</w:t>
      </w:r>
      <w:r>
        <w:rPr>
          <w:rFonts w:ascii="仿宋" w:eastAsia="仿宋" w:hAnsi="仿宋" w:hint="eastAsia"/>
          <w:color w:val="000000"/>
          <w:sz w:val="32"/>
          <w:szCs w:val="32"/>
        </w:rPr>
        <w:t>左右。</w:t>
      </w:r>
    </w:p>
    <w:p w:rsidR="00F2278E" w:rsidRDefault="00CA230E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2.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一般公共预算支出预算草案</w:t>
      </w:r>
    </w:p>
    <w:p w:rsidR="00F2278E" w:rsidRDefault="00CA230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Tahoma"/>
          <w:sz w:val="32"/>
          <w:szCs w:val="32"/>
        </w:rPr>
      </w:pPr>
      <w:r>
        <w:rPr>
          <w:rFonts w:ascii="仿宋_GB2312" w:eastAsia="仿宋_GB2312" w:hAnsi="仿宋" w:cs="Tahoma" w:hint="eastAsia"/>
          <w:sz w:val="32"/>
          <w:szCs w:val="32"/>
        </w:rPr>
        <w:t>2022</w:t>
      </w:r>
      <w:r>
        <w:rPr>
          <w:rFonts w:ascii="仿宋_GB2312" w:eastAsia="仿宋_GB2312" w:hAnsi="仿宋" w:cs="Tahoma" w:hint="eastAsia"/>
          <w:sz w:val="32"/>
          <w:szCs w:val="32"/>
        </w:rPr>
        <w:t>年全区一般公共预算支出预算为</w:t>
      </w:r>
      <w:r>
        <w:rPr>
          <w:rFonts w:ascii="仿宋_GB2312" w:eastAsia="仿宋_GB2312" w:hAnsi="仿宋" w:cs="Tahoma" w:hint="eastAsia"/>
          <w:sz w:val="32"/>
          <w:szCs w:val="32"/>
        </w:rPr>
        <w:t>78.58</w:t>
      </w:r>
      <w:r>
        <w:rPr>
          <w:rFonts w:ascii="仿宋_GB2312" w:eastAsia="仿宋_GB2312" w:hAnsi="仿宋" w:cs="Tahoma" w:hint="eastAsia"/>
          <w:sz w:val="32"/>
          <w:szCs w:val="32"/>
        </w:rPr>
        <w:t>亿元，同口径增长</w:t>
      </w:r>
      <w:r>
        <w:rPr>
          <w:rFonts w:ascii="仿宋_GB2312" w:eastAsia="仿宋_GB2312" w:hAnsi="仿宋" w:cs="Tahoma" w:hint="eastAsia"/>
          <w:sz w:val="32"/>
          <w:szCs w:val="32"/>
        </w:rPr>
        <w:t>15.82%</w:t>
      </w:r>
      <w:r>
        <w:rPr>
          <w:rFonts w:ascii="仿宋_GB2312" w:eastAsia="仿宋_GB2312" w:hAnsi="仿宋" w:cs="Tahoma" w:hint="eastAsia"/>
          <w:sz w:val="32"/>
          <w:szCs w:val="32"/>
        </w:rPr>
        <w:t>。其中区本级一般公共预算支出预算</w:t>
      </w:r>
      <w:r>
        <w:rPr>
          <w:rFonts w:ascii="仿宋_GB2312" w:eastAsia="仿宋_GB2312" w:hAnsi="仿宋" w:cs="Tahoma" w:hint="eastAsia"/>
          <w:sz w:val="32"/>
          <w:szCs w:val="32"/>
        </w:rPr>
        <w:t>48.25</w:t>
      </w:r>
      <w:r>
        <w:rPr>
          <w:rFonts w:ascii="仿宋_GB2312" w:eastAsia="仿宋_GB2312" w:hAnsi="仿宋" w:cs="Tahoma" w:hint="eastAsia"/>
          <w:sz w:val="32"/>
          <w:szCs w:val="32"/>
        </w:rPr>
        <w:t>亿元，同口径增长</w:t>
      </w:r>
      <w:r>
        <w:rPr>
          <w:rFonts w:ascii="仿宋_GB2312" w:eastAsia="仿宋_GB2312" w:hAnsi="仿宋" w:cs="Tahoma" w:hint="eastAsia"/>
          <w:sz w:val="32"/>
          <w:szCs w:val="32"/>
        </w:rPr>
        <w:t>20%</w:t>
      </w:r>
      <w:r>
        <w:rPr>
          <w:rFonts w:ascii="仿宋_GB2312" w:eastAsia="仿宋_GB2312" w:hAnsi="仿宋" w:cs="Tahoma" w:hint="eastAsia"/>
          <w:sz w:val="32"/>
          <w:szCs w:val="32"/>
        </w:rPr>
        <w:t>。</w:t>
      </w:r>
    </w:p>
    <w:p w:rsidR="00F2278E" w:rsidRDefault="00CA230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Tahoma"/>
          <w:sz w:val="32"/>
          <w:szCs w:val="32"/>
        </w:rPr>
      </w:pPr>
      <w:r>
        <w:rPr>
          <w:rFonts w:ascii="仿宋_GB2312" w:eastAsia="仿宋_GB2312" w:hAnsi="仿宋" w:cs="Tahoma" w:hint="eastAsia"/>
          <w:sz w:val="32"/>
          <w:szCs w:val="32"/>
        </w:rPr>
        <w:t>主要重点专项支出安排情况如下：</w:t>
      </w:r>
    </w:p>
    <w:p w:rsidR="00F2278E" w:rsidRDefault="00CA230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Tahoma"/>
          <w:sz w:val="32"/>
          <w:szCs w:val="32"/>
        </w:rPr>
      </w:pPr>
      <w:r>
        <w:rPr>
          <w:rFonts w:ascii="仿宋_GB2312" w:eastAsia="仿宋_GB2312" w:hAnsi="仿宋" w:cs="Tahoma" w:hint="eastAsia"/>
          <w:sz w:val="32"/>
          <w:szCs w:val="32"/>
        </w:rPr>
        <w:t>（</w:t>
      </w:r>
      <w:r>
        <w:rPr>
          <w:rFonts w:ascii="仿宋_GB2312" w:eastAsia="仿宋_GB2312" w:hAnsi="仿宋" w:cs="Tahoma" w:hint="eastAsia"/>
          <w:sz w:val="32"/>
          <w:szCs w:val="32"/>
        </w:rPr>
        <w:t>1</w:t>
      </w:r>
      <w:r>
        <w:rPr>
          <w:rFonts w:ascii="仿宋_GB2312" w:eastAsia="仿宋_GB2312" w:hAnsi="仿宋" w:cs="Tahoma" w:hint="eastAsia"/>
          <w:sz w:val="32"/>
          <w:szCs w:val="32"/>
        </w:rPr>
        <w:t>）安排教育方面支出</w:t>
      </w:r>
      <w:r>
        <w:rPr>
          <w:rFonts w:ascii="仿宋_GB2312" w:eastAsia="仿宋_GB2312" w:hAnsi="仿宋" w:cs="Tahoma" w:hint="eastAsia"/>
          <w:sz w:val="32"/>
          <w:szCs w:val="32"/>
        </w:rPr>
        <w:t>86842</w:t>
      </w:r>
      <w:r>
        <w:rPr>
          <w:rFonts w:ascii="仿宋_GB2312" w:eastAsia="仿宋_GB2312" w:hAnsi="仿宋" w:cs="Tahoma" w:hint="eastAsia"/>
          <w:sz w:val="32"/>
          <w:szCs w:val="32"/>
        </w:rPr>
        <w:t>万元，同口径增长</w:t>
      </w:r>
      <w:r>
        <w:rPr>
          <w:rFonts w:ascii="仿宋_GB2312" w:eastAsia="仿宋_GB2312" w:hAnsi="仿宋" w:cs="Tahoma" w:hint="eastAsia"/>
          <w:sz w:val="32"/>
          <w:szCs w:val="32"/>
        </w:rPr>
        <w:t>11.72%</w:t>
      </w:r>
      <w:r>
        <w:rPr>
          <w:rFonts w:ascii="仿宋_GB2312" w:eastAsia="仿宋_GB2312" w:hAnsi="仿宋" w:cs="Tahoma" w:hint="eastAsia"/>
          <w:sz w:val="32"/>
          <w:szCs w:val="32"/>
        </w:rPr>
        <w:t>；</w:t>
      </w:r>
    </w:p>
    <w:p w:rsidR="00F2278E" w:rsidRDefault="00CA230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Tahoma"/>
          <w:sz w:val="32"/>
          <w:szCs w:val="32"/>
        </w:rPr>
      </w:pPr>
      <w:r>
        <w:rPr>
          <w:rFonts w:ascii="仿宋_GB2312" w:eastAsia="仿宋_GB2312" w:hAnsi="仿宋" w:cs="Tahoma" w:hint="eastAsia"/>
          <w:sz w:val="32"/>
          <w:szCs w:val="32"/>
        </w:rPr>
        <w:t>（</w:t>
      </w:r>
      <w:r>
        <w:rPr>
          <w:rFonts w:ascii="仿宋_GB2312" w:eastAsia="仿宋_GB2312" w:hAnsi="仿宋" w:cs="Tahoma" w:hint="eastAsia"/>
          <w:sz w:val="32"/>
          <w:szCs w:val="32"/>
        </w:rPr>
        <w:t>2</w:t>
      </w:r>
      <w:r>
        <w:rPr>
          <w:rFonts w:ascii="仿宋_GB2312" w:eastAsia="仿宋_GB2312" w:hAnsi="仿宋" w:cs="Tahoma" w:hint="eastAsia"/>
          <w:sz w:val="32"/>
          <w:szCs w:val="32"/>
        </w:rPr>
        <w:t>）安排医疗卫生方面支出</w:t>
      </w:r>
      <w:r>
        <w:rPr>
          <w:rFonts w:ascii="仿宋_GB2312" w:eastAsia="仿宋_GB2312" w:hAnsi="仿宋" w:cs="Tahoma" w:hint="eastAsia"/>
          <w:sz w:val="32"/>
          <w:szCs w:val="32"/>
        </w:rPr>
        <w:t>23833</w:t>
      </w:r>
      <w:r>
        <w:rPr>
          <w:rFonts w:ascii="仿宋_GB2312" w:eastAsia="仿宋_GB2312" w:hAnsi="仿宋" w:cs="Tahoma" w:hint="eastAsia"/>
          <w:sz w:val="32"/>
          <w:szCs w:val="32"/>
        </w:rPr>
        <w:t>万元，同比增长</w:t>
      </w:r>
      <w:r>
        <w:rPr>
          <w:rFonts w:ascii="仿宋_GB2312" w:eastAsia="仿宋_GB2312" w:hAnsi="仿宋" w:cs="Tahoma" w:hint="eastAsia"/>
          <w:sz w:val="32"/>
          <w:szCs w:val="32"/>
        </w:rPr>
        <w:t>10.27%</w:t>
      </w:r>
      <w:r>
        <w:rPr>
          <w:rFonts w:ascii="仿宋_GB2312" w:eastAsia="仿宋_GB2312" w:hAnsi="仿宋" w:cs="Tahoma" w:hint="eastAsia"/>
          <w:sz w:val="32"/>
          <w:szCs w:val="32"/>
        </w:rPr>
        <w:t>；</w:t>
      </w:r>
    </w:p>
    <w:p w:rsidR="00F2278E" w:rsidRDefault="00CA230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Tahoma"/>
          <w:sz w:val="32"/>
          <w:szCs w:val="32"/>
        </w:rPr>
      </w:pPr>
      <w:r>
        <w:rPr>
          <w:rFonts w:ascii="仿宋_GB2312" w:eastAsia="仿宋_GB2312" w:hAnsi="仿宋" w:cs="Tahoma" w:hint="eastAsia"/>
          <w:sz w:val="32"/>
          <w:szCs w:val="32"/>
        </w:rPr>
        <w:t>（</w:t>
      </w:r>
      <w:r>
        <w:rPr>
          <w:rFonts w:ascii="仿宋_GB2312" w:eastAsia="仿宋_GB2312" w:hAnsi="仿宋" w:cs="Tahoma" w:hint="eastAsia"/>
          <w:sz w:val="32"/>
          <w:szCs w:val="32"/>
        </w:rPr>
        <w:t>3</w:t>
      </w:r>
      <w:r>
        <w:rPr>
          <w:rFonts w:ascii="仿宋_GB2312" w:eastAsia="仿宋_GB2312" w:hAnsi="仿宋" w:cs="Tahoma" w:hint="eastAsia"/>
          <w:sz w:val="32"/>
          <w:szCs w:val="32"/>
        </w:rPr>
        <w:t>）安排文化体育方面支出</w:t>
      </w:r>
      <w:r>
        <w:rPr>
          <w:rFonts w:ascii="仿宋_GB2312" w:eastAsia="仿宋_GB2312" w:hAnsi="仿宋" w:cs="Tahoma" w:hint="eastAsia"/>
          <w:sz w:val="32"/>
          <w:szCs w:val="32"/>
        </w:rPr>
        <w:t>5974</w:t>
      </w:r>
      <w:r>
        <w:rPr>
          <w:rFonts w:ascii="仿宋_GB2312" w:eastAsia="仿宋_GB2312" w:hAnsi="仿宋" w:cs="Tahoma" w:hint="eastAsia"/>
          <w:sz w:val="32"/>
          <w:szCs w:val="32"/>
        </w:rPr>
        <w:t>万元，同比增长</w:t>
      </w:r>
      <w:r>
        <w:rPr>
          <w:rFonts w:ascii="仿宋_GB2312" w:eastAsia="仿宋_GB2312" w:hAnsi="仿宋" w:cs="Tahoma" w:hint="eastAsia"/>
          <w:sz w:val="32"/>
          <w:szCs w:val="32"/>
        </w:rPr>
        <w:t>25.35%</w:t>
      </w:r>
      <w:r>
        <w:rPr>
          <w:rFonts w:ascii="仿宋_GB2312" w:eastAsia="仿宋_GB2312" w:hAnsi="仿宋" w:cs="Tahoma" w:hint="eastAsia"/>
          <w:sz w:val="32"/>
          <w:szCs w:val="32"/>
        </w:rPr>
        <w:t>；</w:t>
      </w:r>
    </w:p>
    <w:p w:rsidR="00F2278E" w:rsidRDefault="00CA230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Tahoma"/>
          <w:sz w:val="32"/>
          <w:szCs w:val="32"/>
        </w:rPr>
      </w:pPr>
      <w:r>
        <w:rPr>
          <w:rFonts w:ascii="仿宋_GB2312" w:eastAsia="仿宋_GB2312" w:hAnsi="仿宋" w:cs="Tahoma" w:hint="eastAsia"/>
          <w:sz w:val="32"/>
          <w:szCs w:val="32"/>
        </w:rPr>
        <w:t>（</w:t>
      </w:r>
      <w:r>
        <w:rPr>
          <w:rFonts w:ascii="仿宋_GB2312" w:eastAsia="仿宋_GB2312" w:hAnsi="仿宋" w:cs="Tahoma" w:hint="eastAsia"/>
          <w:sz w:val="32"/>
          <w:szCs w:val="32"/>
        </w:rPr>
        <w:t>4</w:t>
      </w:r>
      <w:r>
        <w:rPr>
          <w:rFonts w:ascii="仿宋_GB2312" w:eastAsia="仿宋_GB2312" w:hAnsi="仿宋" w:cs="Tahoma" w:hint="eastAsia"/>
          <w:sz w:val="32"/>
          <w:szCs w:val="32"/>
        </w:rPr>
        <w:t>）安排社会保障和就业方面支出</w:t>
      </w:r>
      <w:r>
        <w:rPr>
          <w:rFonts w:ascii="仿宋_GB2312" w:eastAsia="仿宋_GB2312" w:hAnsi="仿宋" w:cs="Tahoma" w:hint="eastAsia"/>
          <w:sz w:val="32"/>
          <w:szCs w:val="32"/>
        </w:rPr>
        <w:t>28685</w:t>
      </w:r>
      <w:r>
        <w:rPr>
          <w:rFonts w:ascii="仿宋_GB2312" w:eastAsia="仿宋_GB2312" w:hAnsi="仿宋" w:cs="Tahoma" w:hint="eastAsia"/>
          <w:sz w:val="32"/>
          <w:szCs w:val="32"/>
        </w:rPr>
        <w:t>万元，同比增长</w:t>
      </w:r>
      <w:r>
        <w:rPr>
          <w:rFonts w:ascii="仿宋_GB2312" w:eastAsia="仿宋_GB2312" w:hAnsi="仿宋" w:cs="Tahoma" w:hint="eastAsia"/>
          <w:sz w:val="32"/>
          <w:szCs w:val="32"/>
        </w:rPr>
        <w:t>24.22%</w:t>
      </w:r>
      <w:r>
        <w:rPr>
          <w:rFonts w:ascii="仿宋_GB2312" w:eastAsia="仿宋_GB2312" w:hAnsi="仿宋" w:cs="Tahoma" w:hint="eastAsia"/>
          <w:sz w:val="32"/>
          <w:szCs w:val="32"/>
        </w:rPr>
        <w:t>；</w:t>
      </w:r>
    </w:p>
    <w:p w:rsidR="00F2278E" w:rsidRDefault="00CA230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Tahoma"/>
          <w:sz w:val="32"/>
          <w:szCs w:val="32"/>
        </w:rPr>
      </w:pPr>
      <w:r>
        <w:rPr>
          <w:rFonts w:ascii="仿宋_GB2312" w:eastAsia="仿宋_GB2312" w:hAnsi="仿宋" w:cs="Tahoma" w:hint="eastAsia"/>
          <w:sz w:val="32"/>
          <w:szCs w:val="32"/>
        </w:rPr>
        <w:t>（</w:t>
      </w:r>
      <w:r>
        <w:rPr>
          <w:rFonts w:ascii="仿宋_GB2312" w:eastAsia="仿宋_GB2312" w:hAnsi="仿宋" w:cs="Tahoma" w:hint="eastAsia"/>
          <w:sz w:val="32"/>
          <w:szCs w:val="32"/>
        </w:rPr>
        <w:t>5</w:t>
      </w:r>
      <w:r>
        <w:rPr>
          <w:rFonts w:ascii="仿宋_GB2312" w:eastAsia="仿宋_GB2312" w:hAnsi="仿宋" w:cs="Tahoma" w:hint="eastAsia"/>
          <w:sz w:val="32"/>
          <w:szCs w:val="32"/>
        </w:rPr>
        <w:t>）安排公共安全方面支出</w:t>
      </w:r>
      <w:r>
        <w:rPr>
          <w:rFonts w:ascii="仿宋_GB2312" w:eastAsia="仿宋_GB2312" w:hAnsi="仿宋" w:cs="Tahoma" w:hint="eastAsia"/>
          <w:sz w:val="32"/>
          <w:szCs w:val="32"/>
        </w:rPr>
        <w:t>9905</w:t>
      </w:r>
      <w:r>
        <w:rPr>
          <w:rFonts w:ascii="仿宋_GB2312" w:eastAsia="仿宋_GB2312" w:hAnsi="仿宋" w:cs="Tahoma" w:hint="eastAsia"/>
          <w:sz w:val="32"/>
          <w:szCs w:val="32"/>
        </w:rPr>
        <w:t>万元，同比增长</w:t>
      </w:r>
      <w:r>
        <w:rPr>
          <w:rFonts w:ascii="仿宋_GB2312" w:eastAsia="仿宋_GB2312" w:hAnsi="仿宋" w:cs="Tahoma" w:hint="eastAsia"/>
          <w:sz w:val="32"/>
          <w:szCs w:val="32"/>
        </w:rPr>
        <w:t>13.77%</w:t>
      </w:r>
      <w:r>
        <w:rPr>
          <w:rFonts w:ascii="仿宋_GB2312" w:eastAsia="仿宋_GB2312" w:hAnsi="仿宋" w:cs="Tahoma" w:hint="eastAsia"/>
          <w:sz w:val="32"/>
          <w:szCs w:val="32"/>
        </w:rPr>
        <w:t>；</w:t>
      </w:r>
    </w:p>
    <w:p w:rsidR="00F2278E" w:rsidRDefault="00CA230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Tahoma"/>
          <w:sz w:val="32"/>
          <w:szCs w:val="32"/>
        </w:rPr>
      </w:pPr>
      <w:r>
        <w:rPr>
          <w:rFonts w:ascii="仿宋_GB2312" w:eastAsia="仿宋_GB2312" w:hAnsi="仿宋" w:cs="Tahoma" w:hint="eastAsia"/>
          <w:sz w:val="32"/>
          <w:szCs w:val="32"/>
        </w:rPr>
        <w:t>（</w:t>
      </w:r>
      <w:r>
        <w:rPr>
          <w:rFonts w:ascii="仿宋_GB2312" w:eastAsia="仿宋_GB2312" w:hAnsi="仿宋" w:cs="Tahoma" w:hint="eastAsia"/>
          <w:sz w:val="32"/>
          <w:szCs w:val="32"/>
        </w:rPr>
        <w:t>6</w:t>
      </w:r>
      <w:r>
        <w:rPr>
          <w:rFonts w:ascii="仿宋_GB2312" w:eastAsia="仿宋_GB2312" w:hAnsi="仿宋" w:cs="Tahoma" w:hint="eastAsia"/>
          <w:sz w:val="32"/>
          <w:szCs w:val="32"/>
        </w:rPr>
        <w:t>）安</w:t>
      </w:r>
      <w:r>
        <w:rPr>
          <w:rFonts w:ascii="仿宋_GB2312" w:eastAsia="仿宋_GB2312" w:hAnsi="仿宋" w:cs="Tahoma" w:hint="eastAsia"/>
          <w:sz w:val="32"/>
          <w:szCs w:val="32"/>
        </w:rPr>
        <w:t>排科技创新、转型升级、人才引进等促进经济高质量发展方面支出</w:t>
      </w:r>
      <w:r>
        <w:rPr>
          <w:rFonts w:ascii="仿宋_GB2312" w:eastAsia="仿宋_GB2312" w:hAnsi="仿宋" w:cs="Tahoma" w:hint="eastAsia"/>
          <w:sz w:val="32"/>
          <w:szCs w:val="32"/>
        </w:rPr>
        <w:t>83275</w:t>
      </w:r>
      <w:r>
        <w:rPr>
          <w:rFonts w:ascii="仿宋_GB2312" w:eastAsia="仿宋_GB2312" w:hAnsi="仿宋" w:cs="Tahoma" w:hint="eastAsia"/>
          <w:sz w:val="32"/>
          <w:szCs w:val="32"/>
        </w:rPr>
        <w:t>万元，同比增长</w:t>
      </w:r>
      <w:r>
        <w:rPr>
          <w:rFonts w:ascii="仿宋_GB2312" w:eastAsia="仿宋_GB2312" w:hAnsi="仿宋" w:cs="Tahoma" w:hint="eastAsia"/>
          <w:sz w:val="32"/>
          <w:szCs w:val="32"/>
        </w:rPr>
        <w:t>8.68%</w:t>
      </w:r>
      <w:r>
        <w:rPr>
          <w:rFonts w:ascii="仿宋_GB2312" w:eastAsia="仿宋_GB2312" w:hAnsi="仿宋" w:cs="Tahoma" w:hint="eastAsia"/>
          <w:sz w:val="32"/>
          <w:szCs w:val="32"/>
        </w:rPr>
        <w:t>；</w:t>
      </w:r>
    </w:p>
    <w:p w:rsidR="00F2278E" w:rsidRDefault="00CA230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Tahoma"/>
          <w:sz w:val="32"/>
          <w:szCs w:val="32"/>
        </w:rPr>
      </w:pPr>
      <w:r>
        <w:rPr>
          <w:rFonts w:ascii="仿宋_GB2312" w:eastAsia="仿宋_GB2312" w:hAnsi="仿宋" w:cs="Tahoma" w:hint="eastAsia"/>
          <w:sz w:val="32"/>
          <w:szCs w:val="32"/>
        </w:rPr>
        <w:t>（</w:t>
      </w:r>
      <w:r>
        <w:rPr>
          <w:rFonts w:ascii="仿宋_GB2312" w:eastAsia="仿宋_GB2312" w:hAnsi="仿宋" w:cs="Tahoma" w:hint="eastAsia"/>
          <w:sz w:val="32"/>
          <w:szCs w:val="32"/>
        </w:rPr>
        <w:t>7</w:t>
      </w:r>
      <w:r>
        <w:rPr>
          <w:rFonts w:ascii="仿宋_GB2312" w:eastAsia="仿宋_GB2312" w:hAnsi="仿宋" w:cs="Tahoma" w:hint="eastAsia"/>
          <w:sz w:val="32"/>
          <w:szCs w:val="32"/>
        </w:rPr>
        <w:t>）安排城市长效管理及环境保护等生态建设方面支出</w:t>
      </w:r>
      <w:r>
        <w:rPr>
          <w:rFonts w:ascii="仿宋_GB2312" w:eastAsia="仿宋_GB2312" w:hAnsi="仿宋" w:cs="Tahoma" w:hint="eastAsia"/>
          <w:sz w:val="32"/>
          <w:szCs w:val="32"/>
        </w:rPr>
        <w:t>54495</w:t>
      </w:r>
      <w:r>
        <w:rPr>
          <w:rFonts w:ascii="仿宋_GB2312" w:eastAsia="仿宋_GB2312" w:hAnsi="仿宋" w:cs="Tahoma" w:hint="eastAsia"/>
          <w:sz w:val="32"/>
          <w:szCs w:val="32"/>
        </w:rPr>
        <w:t>万元，同口径增长</w:t>
      </w:r>
      <w:r>
        <w:rPr>
          <w:rFonts w:ascii="仿宋_GB2312" w:eastAsia="仿宋_GB2312" w:hAnsi="仿宋" w:cs="Tahoma" w:hint="eastAsia"/>
          <w:sz w:val="32"/>
          <w:szCs w:val="32"/>
        </w:rPr>
        <w:t>22.77%</w:t>
      </w:r>
      <w:r>
        <w:rPr>
          <w:rFonts w:ascii="仿宋_GB2312" w:eastAsia="仿宋_GB2312" w:hAnsi="仿宋" w:cs="Tahoma" w:hint="eastAsia"/>
          <w:sz w:val="32"/>
          <w:szCs w:val="32"/>
        </w:rPr>
        <w:t>；</w:t>
      </w:r>
    </w:p>
    <w:p w:rsidR="00F2278E" w:rsidRDefault="00CA230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Tahoma"/>
          <w:sz w:val="32"/>
          <w:szCs w:val="32"/>
        </w:rPr>
      </w:pPr>
      <w:r>
        <w:rPr>
          <w:rFonts w:ascii="仿宋_GB2312" w:eastAsia="仿宋_GB2312" w:hAnsi="仿宋" w:cs="Tahoma" w:hint="eastAsia"/>
          <w:sz w:val="32"/>
          <w:szCs w:val="32"/>
        </w:rPr>
        <w:lastRenderedPageBreak/>
        <w:t>（</w:t>
      </w:r>
      <w:r>
        <w:rPr>
          <w:rFonts w:ascii="仿宋_GB2312" w:eastAsia="仿宋_GB2312" w:hAnsi="仿宋" w:cs="Tahoma" w:hint="eastAsia"/>
          <w:sz w:val="32"/>
          <w:szCs w:val="32"/>
        </w:rPr>
        <w:t>8</w:t>
      </w:r>
      <w:r>
        <w:rPr>
          <w:rFonts w:ascii="仿宋_GB2312" w:eastAsia="仿宋_GB2312" w:hAnsi="仿宋" w:cs="Tahoma" w:hint="eastAsia"/>
          <w:sz w:val="32"/>
          <w:szCs w:val="32"/>
        </w:rPr>
        <w:t>）安排农田水利、促进村级集体经济增收等乡村振兴方面支出</w:t>
      </w:r>
      <w:r>
        <w:rPr>
          <w:rFonts w:ascii="仿宋_GB2312" w:eastAsia="仿宋_GB2312" w:hAnsi="仿宋" w:cs="Tahoma" w:hint="eastAsia"/>
          <w:sz w:val="32"/>
          <w:szCs w:val="32"/>
        </w:rPr>
        <w:t>19074</w:t>
      </w:r>
      <w:r>
        <w:rPr>
          <w:rFonts w:ascii="仿宋_GB2312" w:eastAsia="仿宋_GB2312" w:hAnsi="仿宋" w:cs="Tahoma" w:hint="eastAsia"/>
          <w:sz w:val="32"/>
          <w:szCs w:val="32"/>
        </w:rPr>
        <w:t>万元，同口径增长</w:t>
      </w:r>
      <w:r>
        <w:rPr>
          <w:rFonts w:ascii="仿宋_GB2312" w:eastAsia="仿宋_GB2312" w:hAnsi="仿宋" w:cs="Tahoma" w:hint="eastAsia"/>
          <w:sz w:val="32"/>
          <w:szCs w:val="32"/>
        </w:rPr>
        <w:t>3.37%</w:t>
      </w:r>
      <w:r>
        <w:rPr>
          <w:rFonts w:ascii="仿宋_GB2312" w:eastAsia="仿宋_GB2312" w:hAnsi="仿宋" w:cs="Tahoma" w:hint="eastAsia"/>
          <w:sz w:val="32"/>
          <w:szCs w:val="32"/>
        </w:rPr>
        <w:t>；</w:t>
      </w:r>
    </w:p>
    <w:p w:rsidR="00F2278E" w:rsidRDefault="00CA230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Tahoma"/>
          <w:sz w:val="32"/>
          <w:szCs w:val="32"/>
        </w:rPr>
      </w:pPr>
      <w:r>
        <w:rPr>
          <w:rFonts w:ascii="仿宋_GB2312" w:eastAsia="仿宋_GB2312" w:hAnsi="仿宋" w:cs="Tahoma" w:hint="eastAsia"/>
          <w:sz w:val="32"/>
          <w:szCs w:val="32"/>
        </w:rPr>
        <w:t>（</w:t>
      </w:r>
      <w:r>
        <w:rPr>
          <w:rFonts w:ascii="仿宋_GB2312" w:eastAsia="仿宋_GB2312" w:hAnsi="仿宋" w:cs="Tahoma" w:hint="eastAsia"/>
          <w:sz w:val="32"/>
          <w:szCs w:val="32"/>
        </w:rPr>
        <w:t>9</w:t>
      </w:r>
      <w:r>
        <w:rPr>
          <w:rFonts w:ascii="仿宋_GB2312" w:eastAsia="仿宋_GB2312" w:hAnsi="仿宋" w:cs="Tahoma" w:hint="eastAsia"/>
          <w:sz w:val="32"/>
          <w:szCs w:val="32"/>
        </w:rPr>
        <w:t>）安排为民办实事方面支出</w:t>
      </w:r>
      <w:r>
        <w:rPr>
          <w:rFonts w:ascii="仿宋_GB2312" w:eastAsia="仿宋_GB2312" w:hAnsi="仿宋" w:cs="Tahoma" w:hint="eastAsia"/>
          <w:sz w:val="32"/>
          <w:szCs w:val="32"/>
        </w:rPr>
        <w:t>3500</w:t>
      </w:r>
      <w:r>
        <w:rPr>
          <w:rFonts w:ascii="仿宋_GB2312" w:eastAsia="仿宋_GB2312" w:hAnsi="仿宋" w:cs="Tahoma" w:hint="eastAsia"/>
          <w:sz w:val="32"/>
          <w:szCs w:val="32"/>
        </w:rPr>
        <w:t>万元，同比增长</w:t>
      </w:r>
      <w:r>
        <w:rPr>
          <w:rFonts w:ascii="仿宋_GB2312" w:eastAsia="仿宋_GB2312" w:hAnsi="仿宋" w:cs="Tahoma" w:hint="eastAsia"/>
          <w:sz w:val="32"/>
          <w:szCs w:val="32"/>
        </w:rPr>
        <w:t>6.06%</w:t>
      </w:r>
      <w:r>
        <w:rPr>
          <w:rFonts w:ascii="仿宋_GB2312" w:eastAsia="仿宋_GB2312" w:hAnsi="仿宋" w:cs="Tahoma" w:hint="eastAsia"/>
          <w:sz w:val="32"/>
          <w:szCs w:val="32"/>
        </w:rPr>
        <w:t>；</w:t>
      </w:r>
    </w:p>
    <w:p w:rsidR="00F2278E" w:rsidRDefault="00CA230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Tahoma"/>
          <w:sz w:val="32"/>
          <w:szCs w:val="32"/>
        </w:rPr>
      </w:pPr>
      <w:r>
        <w:rPr>
          <w:rFonts w:ascii="仿宋_GB2312" w:eastAsia="仿宋_GB2312" w:hAnsi="仿宋" w:cs="Tahoma" w:hint="eastAsia"/>
          <w:sz w:val="32"/>
          <w:szCs w:val="32"/>
        </w:rPr>
        <w:t>（</w:t>
      </w:r>
      <w:r>
        <w:rPr>
          <w:rFonts w:ascii="仿宋_GB2312" w:eastAsia="仿宋_GB2312" w:hAnsi="仿宋" w:cs="Tahoma" w:hint="eastAsia"/>
          <w:sz w:val="32"/>
          <w:szCs w:val="32"/>
        </w:rPr>
        <w:t>10</w:t>
      </w:r>
      <w:r>
        <w:rPr>
          <w:rFonts w:ascii="仿宋_GB2312" w:eastAsia="仿宋_GB2312" w:hAnsi="仿宋" w:cs="Tahoma" w:hint="eastAsia"/>
          <w:sz w:val="32"/>
          <w:szCs w:val="32"/>
        </w:rPr>
        <w:t>）安排对外援助方面支出</w:t>
      </w:r>
      <w:r>
        <w:rPr>
          <w:rFonts w:ascii="仿宋_GB2312" w:eastAsia="仿宋_GB2312" w:hAnsi="仿宋" w:cs="Tahoma" w:hint="eastAsia"/>
          <w:sz w:val="32"/>
          <w:szCs w:val="32"/>
        </w:rPr>
        <w:t>4858</w:t>
      </w:r>
      <w:r>
        <w:rPr>
          <w:rFonts w:ascii="仿宋_GB2312" w:eastAsia="仿宋_GB2312" w:hAnsi="仿宋" w:cs="Tahoma" w:hint="eastAsia"/>
          <w:sz w:val="32"/>
          <w:szCs w:val="32"/>
        </w:rPr>
        <w:t>万元，同比增长</w:t>
      </w:r>
      <w:r>
        <w:rPr>
          <w:rFonts w:ascii="仿宋_GB2312" w:eastAsia="仿宋_GB2312" w:hAnsi="仿宋" w:cs="Tahoma" w:hint="eastAsia"/>
          <w:sz w:val="32"/>
          <w:szCs w:val="32"/>
        </w:rPr>
        <w:t>1.45%</w:t>
      </w:r>
      <w:r>
        <w:rPr>
          <w:rFonts w:ascii="仿宋_GB2312" w:eastAsia="仿宋_GB2312" w:hAnsi="仿宋" w:cs="Tahoma" w:hint="eastAsia"/>
          <w:sz w:val="32"/>
          <w:szCs w:val="32"/>
        </w:rPr>
        <w:t>；</w:t>
      </w:r>
    </w:p>
    <w:p w:rsidR="00F2278E" w:rsidRDefault="00CA230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Tahoma"/>
          <w:sz w:val="32"/>
          <w:szCs w:val="32"/>
        </w:rPr>
      </w:pPr>
      <w:r>
        <w:rPr>
          <w:rFonts w:ascii="仿宋_GB2312" w:eastAsia="仿宋_GB2312" w:hAnsi="仿宋" w:cs="Tahoma" w:hint="eastAsia"/>
          <w:sz w:val="32"/>
          <w:szCs w:val="32"/>
        </w:rPr>
        <w:t>（</w:t>
      </w:r>
      <w:r>
        <w:rPr>
          <w:rFonts w:ascii="仿宋_GB2312" w:eastAsia="仿宋_GB2312" w:hAnsi="仿宋" w:cs="Tahoma" w:hint="eastAsia"/>
          <w:sz w:val="32"/>
          <w:szCs w:val="32"/>
        </w:rPr>
        <w:t>11</w:t>
      </w:r>
      <w:r>
        <w:rPr>
          <w:rFonts w:ascii="仿宋_GB2312" w:eastAsia="仿宋_GB2312" w:hAnsi="仿宋" w:cs="Tahoma" w:hint="eastAsia"/>
          <w:sz w:val="32"/>
          <w:szCs w:val="32"/>
        </w:rPr>
        <w:t>）安排政府</w:t>
      </w:r>
      <w:r>
        <w:rPr>
          <w:rFonts w:ascii="仿宋_GB2312" w:eastAsia="仿宋_GB2312" w:hAnsi="仿宋" w:cs="Tahoma" w:hint="eastAsia"/>
          <w:sz w:val="32"/>
          <w:szCs w:val="32"/>
        </w:rPr>
        <w:t>性</w:t>
      </w:r>
      <w:r>
        <w:rPr>
          <w:rFonts w:ascii="仿宋_GB2312" w:eastAsia="仿宋_GB2312" w:hAnsi="仿宋" w:cs="Tahoma" w:hint="eastAsia"/>
          <w:sz w:val="32"/>
          <w:szCs w:val="32"/>
        </w:rPr>
        <w:t>债务还本付息支出</w:t>
      </w:r>
      <w:r>
        <w:rPr>
          <w:rFonts w:ascii="仿宋_GB2312" w:eastAsia="仿宋_GB2312" w:hAnsi="仿宋" w:cs="Tahoma" w:hint="eastAsia"/>
          <w:sz w:val="32"/>
          <w:szCs w:val="32"/>
        </w:rPr>
        <w:t>57337</w:t>
      </w:r>
      <w:r>
        <w:rPr>
          <w:rFonts w:ascii="仿宋_GB2312" w:eastAsia="仿宋_GB2312" w:hAnsi="仿宋" w:cs="Tahoma" w:hint="eastAsia"/>
          <w:sz w:val="32"/>
          <w:szCs w:val="32"/>
        </w:rPr>
        <w:t>万元，同比增长</w:t>
      </w:r>
      <w:r>
        <w:rPr>
          <w:rFonts w:ascii="仿宋_GB2312" w:eastAsia="仿宋_GB2312" w:hAnsi="仿宋" w:cs="Tahoma" w:hint="eastAsia"/>
          <w:sz w:val="32"/>
          <w:szCs w:val="32"/>
        </w:rPr>
        <w:t>251.78%</w:t>
      </w:r>
      <w:r>
        <w:rPr>
          <w:rFonts w:ascii="仿宋_GB2312" w:eastAsia="仿宋_GB2312" w:hAnsi="仿宋" w:cs="Tahoma" w:hint="eastAsia"/>
          <w:sz w:val="32"/>
          <w:szCs w:val="32"/>
        </w:rPr>
        <w:t>，其中安排</w:t>
      </w:r>
      <w:r>
        <w:rPr>
          <w:rFonts w:ascii="仿宋_GB2312" w:eastAsia="仿宋_GB2312" w:hAnsi="仿宋" w:cs="Tahoma" w:hint="eastAsia"/>
          <w:sz w:val="32"/>
          <w:szCs w:val="32"/>
        </w:rPr>
        <w:t>50000</w:t>
      </w:r>
      <w:r>
        <w:rPr>
          <w:rFonts w:ascii="仿宋_GB2312" w:eastAsia="仿宋_GB2312" w:hAnsi="仿宋" w:cs="Tahoma" w:hint="eastAsia"/>
          <w:sz w:val="32"/>
          <w:szCs w:val="32"/>
        </w:rPr>
        <w:t>万元用</w:t>
      </w:r>
      <w:r>
        <w:rPr>
          <w:rFonts w:ascii="仿宋_GB2312" w:eastAsia="仿宋_GB2312" w:hAnsi="仿宋" w:cs="Tahoma" w:hint="eastAsia"/>
          <w:sz w:val="32"/>
          <w:szCs w:val="32"/>
        </w:rPr>
        <w:t>于化解政府隐性债务。</w:t>
      </w:r>
    </w:p>
    <w:p w:rsidR="00F2278E" w:rsidRDefault="00CA230E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（二）政府性基金预算草案</w:t>
      </w:r>
    </w:p>
    <w:p w:rsidR="00F2278E" w:rsidRDefault="00CA230E">
      <w:pPr>
        <w:widowControl/>
        <w:adjustRightInd w:val="0"/>
        <w:snapToGrid w:val="0"/>
        <w:spacing w:line="560" w:lineRule="exact"/>
        <w:ind w:firstLine="630"/>
        <w:jc w:val="left"/>
        <w:rPr>
          <w:rFonts w:ascii="仿宋_GB2312" w:eastAsia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snapToGrid w:val="0"/>
          <w:kern w:val="0"/>
          <w:sz w:val="32"/>
          <w:szCs w:val="32"/>
        </w:rPr>
        <w:t>2022</w:t>
      </w:r>
      <w:r>
        <w:rPr>
          <w:rFonts w:ascii="仿宋_GB2312" w:eastAsia="仿宋_GB2312" w:cs="仿宋_GB2312" w:hint="eastAsia"/>
          <w:snapToGrid w:val="0"/>
          <w:kern w:val="0"/>
          <w:sz w:val="32"/>
          <w:szCs w:val="32"/>
        </w:rPr>
        <w:t>年全区政府性基金预算收入预算为</w:t>
      </w:r>
      <w:r>
        <w:rPr>
          <w:rFonts w:ascii="仿宋_GB2312" w:eastAsia="仿宋_GB2312" w:cs="仿宋_GB2312" w:hint="eastAsia"/>
          <w:snapToGrid w:val="0"/>
          <w:kern w:val="0"/>
          <w:sz w:val="32"/>
          <w:szCs w:val="32"/>
        </w:rPr>
        <w:t>122</w:t>
      </w:r>
      <w:r>
        <w:rPr>
          <w:rFonts w:ascii="仿宋_GB2312" w:eastAsia="仿宋_GB2312" w:cs="仿宋_GB2312" w:hint="eastAsia"/>
          <w:snapToGrid w:val="0"/>
          <w:kern w:val="0"/>
          <w:sz w:val="32"/>
          <w:szCs w:val="32"/>
        </w:rPr>
        <w:t>亿元（其中土地出让金收入为</w:t>
      </w:r>
      <w:r>
        <w:rPr>
          <w:rFonts w:ascii="仿宋_GB2312" w:eastAsia="仿宋_GB2312" w:cs="仿宋_GB2312" w:hint="eastAsia"/>
          <w:snapToGrid w:val="0"/>
          <w:kern w:val="0"/>
          <w:sz w:val="32"/>
          <w:szCs w:val="32"/>
        </w:rPr>
        <w:t>120</w:t>
      </w:r>
      <w:r>
        <w:rPr>
          <w:rFonts w:ascii="仿宋_GB2312" w:eastAsia="仿宋_GB2312" w:cs="仿宋_GB2312" w:hint="eastAsia"/>
          <w:snapToGrid w:val="0"/>
          <w:kern w:val="0"/>
          <w:sz w:val="32"/>
          <w:szCs w:val="32"/>
        </w:rPr>
        <w:t>亿元）；全区</w:t>
      </w:r>
      <w:r>
        <w:rPr>
          <w:rFonts w:ascii="仿宋_GB2312" w:eastAsia="仿宋_GB2312" w:hAnsi="仿宋" w:hint="eastAsia"/>
          <w:sz w:val="32"/>
          <w:szCs w:val="32"/>
        </w:rPr>
        <w:t>政府性基金支出预算为</w:t>
      </w:r>
      <w:r>
        <w:rPr>
          <w:rFonts w:ascii="仿宋_GB2312" w:eastAsia="仿宋_GB2312" w:hAnsi="仿宋" w:hint="eastAsia"/>
          <w:sz w:val="32"/>
          <w:szCs w:val="32"/>
        </w:rPr>
        <w:t>122</w:t>
      </w:r>
      <w:r>
        <w:rPr>
          <w:rFonts w:ascii="仿宋_GB2312" w:eastAsia="仿宋_GB2312" w:hAnsi="仿宋" w:hint="eastAsia"/>
          <w:sz w:val="32"/>
          <w:szCs w:val="32"/>
        </w:rPr>
        <w:t>亿元。</w:t>
      </w:r>
      <w:r>
        <w:rPr>
          <w:rFonts w:ascii="仿宋_GB2312" w:eastAsia="仿宋_GB2312" w:cs="仿宋_GB2312" w:hint="eastAsia"/>
          <w:snapToGrid w:val="0"/>
          <w:kern w:val="0"/>
          <w:sz w:val="32"/>
          <w:szCs w:val="32"/>
        </w:rPr>
        <w:t>其中区本级政府性基金预算收入安排</w:t>
      </w:r>
      <w:r>
        <w:rPr>
          <w:rFonts w:ascii="仿宋_GB2312" w:eastAsia="仿宋_GB2312" w:cs="仿宋_GB2312" w:hint="eastAsia"/>
          <w:snapToGrid w:val="0"/>
          <w:kern w:val="0"/>
          <w:sz w:val="32"/>
          <w:szCs w:val="32"/>
        </w:rPr>
        <w:t>102</w:t>
      </w:r>
      <w:r>
        <w:rPr>
          <w:rFonts w:ascii="仿宋_GB2312" w:eastAsia="仿宋_GB2312" w:cs="仿宋_GB2312" w:hint="eastAsia"/>
          <w:snapToGrid w:val="0"/>
          <w:kern w:val="0"/>
          <w:sz w:val="32"/>
          <w:szCs w:val="32"/>
        </w:rPr>
        <w:t>亿元，</w:t>
      </w:r>
      <w:r>
        <w:rPr>
          <w:rFonts w:ascii="仿宋_GB2312" w:eastAsia="仿宋_GB2312" w:hAnsi="仿宋" w:hint="eastAsia"/>
          <w:sz w:val="32"/>
          <w:szCs w:val="32"/>
        </w:rPr>
        <w:t>政府性基金支出预算为</w:t>
      </w:r>
      <w:r>
        <w:rPr>
          <w:rFonts w:ascii="仿宋_GB2312" w:eastAsia="仿宋_GB2312" w:hAnsi="仿宋" w:hint="eastAsia"/>
          <w:sz w:val="32"/>
          <w:szCs w:val="32"/>
        </w:rPr>
        <w:t>102</w:t>
      </w:r>
      <w:r>
        <w:rPr>
          <w:rFonts w:ascii="仿宋_GB2312" w:eastAsia="仿宋_GB2312" w:hAnsi="仿宋" w:hint="eastAsia"/>
          <w:sz w:val="32"/>
          <w:szCs w:val="32"/>
        </w:rPr>
        <w:t>亿元。</w:t>
      </w:r>
    </w:p>
    <w:p w:rsidR="00F2278E" w:rsidRDefault="00CA230E">
      <w:pPr>
        <w:adjustRightInd w:val="0"/>
        <w:snapToGrid w:val="0"/>
        <w:spacing w:line="560" w:lineRule="exact"/>
        <w:ind w:firstLineChars="196" w:firstLine="630"/>
        <w:rPr>
          <w:rFonts w:ascii="仿宋_GB2312" w:eastAsia="仿宋_GB2312" w:hAnsiTheme="majorEastAsia"/>
          <w:b/>
          <w:sz w:val="32"/>
          <w:szCs w:val="32"/>
        </w:rPr>
      </w:pPr>
      <w:r>
        <w:rPr>
          <w:rFonts w:ascii="仿宋_GB2312" w:eastAsia="仿宋_GB2312" w:hAnsiTheme="majorEastAsia" w:hint="eastAsia"/>
          <w:b/>
          <w:sz w:val="32"/>
          <w:szCs w:val="32"/>
        </w:rPr>
        <w:t>（三）</w:t>
      </w:r>
      <w:r>
        <w:rPr>
          <w:rFonts w:ascii="仿宋_GB2312" w:eastAsia="仿宋_GB2312" w:hAnsiTheme="majorEastAsia" w:hint="eastAsia"/>
          <w:b/>
          <w:bCs/>
          <w:color w:val="000000"/>
          <w:kern w:val="0"/>
          <w:sz w:val="32"/>
          <w:szCs w:val="32"/>
        </w:rPr>
        <w:t>国有资本经营预算草案</w:t>
      </w:r>
    </w:p>
    <w:p w:rsidR="00F2278E" w:rsidRDefault="00CA230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Tahoma"/>
          <w:sz w:val="32"/>
          <w:szCs w:val="32"/>
        </w:rPr>
      </w:pPr>
      <w:r>
        <w:rPr>
          <w:rFonts w:ascii="仿宋_GB2312" w:eastAsia="仿宋_GB2312" w:hAnsi="仿宋" w:cs="Tahoma" w:hint="eastAsia"/>
          <w:sz w:val="32"/>
          <w:szCs w:val="32"/>
        </w:rPr>
        <w:t>2022</w:t>
      </w:r>
      <w:r>
        <w:rPr>
          <w:rFonts w:ascii="仿宋_GB2312" w:eastAsia="仿宋_GB2312" w:hAnsi="仿宋" w:cs="Tahoma" w:hint="eastAsia"/>
          <w:sz w:val="32"/>
          <w:szCs w:val="32"/>
        </w:rPr>
        <w:t>年区级国有资本经营收入预算为</w:t>
      </w:r>
      <w:r>
        <w:rPr>
          <w:rFonts w:ascii="仿宋_GB2312" w:eastAsia="仿宋_GB2312" w:hAnsi="仿宋" w:cs="Tahoma" w:hint="eastAsia"/>
          <w:sz w:val="32"/>
          <w:szCs w:val="32"/>
        </w:rPr>
        <w:t>0.25</w:t>
      </w:r>
      <w:r>
        <w:rPr>
          <w:rFonts w:ascii="仿宋_GB2312" w:eastAsia="仿宋_GB2312" w:hAnsi="仿宋" w:cs="Tahoma" w:hint="eastAsia"/>
          <w:sz w:val="32"/>
          <w:szCs w:val="32"/>
        </w:rPr>
        <w:t>亿元，按规定</w:t>
      </w:r>
      <w:r>
        <w:rPr>
          <w:rFonts w:ascii="仿宋_GB2312" w:eastAsia="仿宋_GB2312" w:hAnsi="仿宋" w:cs="Tahoma" w:hint="eastAsia"/>
          <w:sz w:val="32"/>
          <w:szCs w:val="32"/>
        </w:rPr>
        <w:t>40%</w:t>
      </w:r>
      <w:r>
        <w:rPr>
          <w:rFonts w:ascii="仿宋_GB2312" w:eastAsia="仿宋_GB2312" w:hAnsi="仿宋" w:cs="Tahoma" w:hint="eastAsia"/>
          <w:sz w:val="32"/>
          <w:szCs w:val="32"/>
        </w:rPr>
        <w:t>部分即</w:t>
      </w:r>
      <w:r>
        <w:rPr>
          <w:rFonts w:ascii="仿宋_GB2312" w:eastAsia="仿宋_GB2312" w:hAnsi="仿宋" w:cs="Tahoma" w:hint="eastAsia"/>
          <w:sz w:val="32"/>
          <w:szCs w:val="32"/>
        </w:rPr>
        <w:t>0.1</w:t>
      </w:r>
      <w:r>
        <w:rPr>
          <w:rFonts w:ascii="仿宋_GB2312" w:eastAsia="仿宋_GB2312" w:hAnsi="仿宋" w:cs="Tahoma" w:hint="eastAsia"/>
          <w:sz w:val="32"/>
          <w:szCs w:val="32"/>
        </w:rPr>
        <w:t>亿元调出至一般公共预算统筹使用，其余用于区属国有企业改革性支出、政策性补贴等。</w:t>
      </w:r>
    </w:p>
    <w:p w:rsidR="00F2278E" w:rsidRDefault="00CA230E">
      <w:pPr>
        <w:adjustRightInd w:val="0"/>
        <w:snapToGrid w:val="0"/>
        <w:spacing w:line="56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kern w:val="0"/>
          <w:sz w:val="32"/>
          <w:szCs w:val="32"/>
        </w:rPr>
        <w:t>三</w:t>
      </w:r>
      <w:r>
        <w:rPr>
          <w:rFonts w:ascii="黑体" w:eastAsia="黑体" w:hAnsi="黑体" w:hint="eastAsia"/>
          <w:b/>
          <w:sz w:val="32"/>
          <w:szCs w:val="32"/>
        </w:rPr>
        <w:t>、完成</w:t>
      </w:r>
      <w:r>
        <w:rPr>
          <w:rFonts w:ascii="黑体" w:eastAsia="黑体" w:hAnsi="黑体" w:hint="eastAsia"/>
          <w:b/>
          <w:sz w:val="32"/>
          <w:szCs w:val="32"/>
        </w:rPr>
        <w:t>2022</w:t>
      </w:r>
      <w:r>
        <w:rPr>
          <w:rFonts w:ascii="黑体" w:eastAsia="黑体" w:hAnsi="黑体" w:hint="eastAsia"/>
          <w:b/>
          <w:sz w:val="32"/>
          <w:szCs w:val="32"/>
        </w:rPr>
        <w:t>年财政预算的主要措施</w:t>
      </w:r>
    </w:p>
    <w:p w:rsidR="00F2278E" w:rsidRDefault="00CA230E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楷体_GB2312" w:cs="楷体_GB2312" w:hint="eastAsia"/>
          <w:b/>
          <w:bCs/>
          <w:color w:val="212121"/>
          <w:sz w:val="32"/>
          <w:szCs w:val="32"/>
          <w:shd w:val="clear" w:color="auto" w:fill="FFFFFF"/>
        </w:rPr>
        <w:t>（一）以增收节支为重点，</w:t>
      </w:r>
      <w:r>
        <w:rPr>
          <w:rFonts w:ascii="仿宋_GB2312" w:eastAsia="仿宋_GB2312" w:hint="eastAsia"/>
          <w:b/>
          <w:sz w:val="32"/>
          <w:szCs w:val="32"/>
        </w:rPr>
        <w:t>努力实现财政运行稳定</w:t>
      </w:r>
      <w:bookmarkStart w:id="3" w:name="_Toc535509720"/>
      <w:bookmarkEnd w:id="3"/>
    </w:p>
    <w:p w:rsidR="00F2278E" w:rsidRDefault="00CA230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Tahoma"/>
          <w:sz w:val="32"/>
          <w:szCs w:val="32"/>
        </w:rPr>
      </w:pPr>
      <w:r>
        <w:rPr>
          <w:rFonts w:ascii="仿宋_GB2312" w:eastAsia="仿宋_GB2312" w:hAnsi="仿宋" w:cs="Tahoma" w:hint="eastAsia"/>
          <w:sz w:val="32"/>
          <w:szCs w:val="32"/>
        </w:rPr>
        <w:t>一是注重税源培育。完善财源培植体系，拓宽招商引税渠道，做好财源税源谋划，加强重大项目财税预测分析，为财政增收提供源头活水。二是加强收入组织。密切关注宏观形势变化对财政政策和财政收支的影响，加强财税运行情况监测分析，持续完善税收保障机制与协税护税体系建设，抓好重点行业和重点企业税</w:t>
      </w:r>
      <w:r>
        <w:rPr>
          <w:rFonts w:ascii="仿宋_GB2312" w:eastAsia="仿宋_GB2312" w:hAnsi="仿宋" w:cs="Tahoma" w:hint="eastAsia"/>
          <w:sz w:val="32"/>
          <w:szCs w:val="32"/>
        </w:rPr>
        <w:lastRenderedPageBreak/>
        <w:t>收征管，做到依法征收、应收尽收。全力抓实土地收入，统筹土地供应规模、结构和时序，加快重点地块出让。三是优化支出结构。更加突出“以收定支”，落实政府过紧日子要求，做到有保有压、有促有控，把宝贵的财政资金更多用于为发展添后劲、为民生雪中送</w:t>
      </w:r>
      <w:r>
        <w:rPr>
          <w:rFonts w:ascii="仿宋_GB2312" w:eastAsia="仿宋_GB2312" w:hAnsi="仿宋" w:cs="Tahoma" w:hint="eastAsia"/>
          <w:sz w:val="32"/>
          <w:szCs w:val="32"/>
        </w:rPr>
        <w:t>炭。密切关注板块“三保”支出风险，兜牢兜实“三保”底线，努力实现财政收支平衡。四是硬化预算执行约束。强化部门预算支出管理，严控预算调整和调剂事项。综合运用人大预算联网监督系统，加强预算执行动态监控。强化财政库款管理，提高财政库款保障水平，确保库款运行安全。</w:t>
      </w:r>
      <w:bookmarkStart w:id="4" w:name="_Toc535509725"/>
      <w:bookmarkEnd w:id="4"/>
    </w:p>
    <w:p w:rsidR="00F2278E" w:rsidRDefault="00CA230E">
      <w:pPr>
        <w:widowControl/>
        <w:spacing w:line="560" w:lineRule="exact"/>
        <w:ind w:firstLineChars="200" w:firstLine="643"/>
        <w:rPr>
          <w:rFonts w:ascii="仿宋_GB2312" w:eastAsia="仿宋_GB2312" w:hAnsi="楷体_GB2312" w:cs="楷体_GB2312"/>
          <w:b/>
          <w:bCs/>
          <w:sz w:val="32"/>
          <w:szCs w:val="32"/>
        </w:rPr>
      </w:pPr>
      <w:r>
        <w:rPr>
          <w:rFonts w:ascii="仿宋_GB2312" w:eastAsia="仿宋_GB2312" w:hAnsi="楷体_GB2312" w:cs="楷体_GB2312" w:hint="eastAsia"/>
          <w:b/>
          <w:bCs/>
          <w:sz w:val="32"/>
          <w:szCs w:val="32"/>
        </w:rPr>
        <w:t>（二）</w:t>
      </w:r>
      <w:r>
        <w:rPr>
          <w:rFonts w:ascii="仿宋_GB2312" w:eastAsia="仿宋_GB2312" w:hAnsi="宋体" w:cs="KTJ-PK74820000008-Identity-H" w:hint="eastAsia"/>
          <w:b/>
          <w:kern w:val="0"/>
          <w:sz w:val="32"/>
          <w:szCs w:val="32"/>
        </w:rPr>
        <w:t>以服务发展为根本</w:t>
      </w:r>
      <w:r>
        <w:rPr>
          <w:rFonts w:ascii="仿宋_GB2312" w:eastAsia="仿宋_GB2312" w:hAnsi="楷体_GB2312" w:cs="楷体_GB2312" w:hint="eastAsia"/>
          <w:b/>
          <w:bCs/>
          <w:sz w:val="32"/>
          <w:szCs w:val="32"/>
        </w:rPr>
        <w:t>，助力经济发展迈上新水平</w:t>
      </w:r>
    </w:p>
    <w:p w:rsidR="00F2278E" w:rsidRDefault="00CA230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Tahoma"/>
          <w:sz w:val="32"/>
          <w:szCs w:val="32"/>
        </w:rPr>
      </w:pPr>
      <w:r>
        <w:rPr>
          <w:rFonts w:ascii="仿宋_GB2312" w:eastAsia="仿宋_GB2312" w:hAnsi="仿宋" w:cs="Tahoma" w:hint="eastAsia"/>
          <w:sz w:val="32"/>
          <w:szCs w:val="32"/>
        </w:rPr>
        <w:t>一要持续推进减税降费。巩固和拓</w:t>
      </w:r>
      <w:r>
        <w:rPr>
          <w:rFonts w:ascii="仿宋_GB2312" w:eastAsia="仿宋_GB2312" w:hAnsi="仿宋" w:cs="Tahoma" w:hint="eastAsia"/>
          <w:sz w:val="32"/>
          <w:szCs w:val="32"/>
        </w:rPr>
        <w:t>展</w:t>
      </w:r>
      <w:r>
        <w:rPr>
          <w:rFonts w:ascii="仿宋_GB2312" w:eastAsia="仿宋_GB2312" w:hAnsi="仿宋" w:cs="Tahoma" w:hint="eastAsia"/>
          <w:sz w:val="32"/>
          <w:szCs w:val="32"/>
        </w:rPr>
        <w:t>减税降费成效，把该减的税减到位，把该降的费降到位，助力企业轻装上阵、更好发展，激发市场主体活力。二是着力增强经济发展动能。全力保障重大项目实施，深入推进苏南国家自主创新示范区建设、“两特三新一智能”产业和“十大人才工程”项目实施，促进新产业、新模式、新业态加快发展。三是完善财政政策体系。持续优化财政支持科技创新、经济转型升级、人才创新创业、乡村振兴、文化发展等政策体系，提高财政政策的针对性和有效性。四是创新财政支持方式。充分发挥财政资金杠杆作用，打好财政金融组合拳，综合运用贴息、以奖代补、担保补贴、风险补偿</w:t>
      </w:r>
      <w:r>
        <w:rPr>
          <w:rFonts w:ascii="仿宋_GB2312" w:eastAsia="仿宋_GB2312" w:hAnsi="仿宋" w:cs="Tahoma" w:hint="eastAsia"/>
          <w:sz w:val="32"/>
          <w:szCs w:val="32"/>
        </w:rPr>
        <w:t>等方式，撬动金融和社会资本服务实体经济。优化科创基金运作管理方式，引导科创基金加快投资，更好发挥科创基金对实体经济、科技创新、</w:t>
      </w:r>
      <w:r>
        <w:rPr>
          <w:rFonts w:ascii="仿宋_GB2312" w:eastAsia="仿宋_GB2312" w:hAnsi="仿宋" w:cs="Tahoma" w:hint="eastAsia"/>
          <w:sz w:val="32"/>
          <w:szCs w:val="32"/>
        </w:rPr>
        <w:lastRenderedPageBreak/>
        <w:t>重大战略实施的撬动作用。</w:t>
      </w:r>
    </w:p>
    <w:p w:rsidR="00F2278E" w:rsidRDefault="00CA230E">
      <w:pPr>
        <w:widowControl/>
        <w:spacing w:line="560" w:lineRule="exact"/>
        <w:rPr>
          <w:rFonts w:ascii="仿宋_GB2312" w:eastAsia="仿宋_GB2312" w:hAnsi="楷体_GB2312" w:cs="楷体_GB2312"/>
          <w:b/>
          <w:bCs/>
          <w:sz w:val="32"/>
          <w:szCs w:val="32"/>
        </w:rPr>
      </w:pPr>
      <w:r>
        <w:rPr>
          <w:rFonts w:ascii="仿宋_GB2312" w:eastAsia="仿宋_GB2312" w:hAnsi="楷体_GB2312" w:cs="楷体_GB2312" w:hint="eastAsia"/>
          <w:b/>
          <w:bCs/>
          <w:sz w:val="32"/>
          <w:szCs w:val="32"/>
        </w:rPr>
        <w:t>（三）以富民惠民为己任，切实保障改善社会民生</w:t>
      </w:r>
    </w:p>
    <w:p w:rsidR="00F2278E" w:rsidRDefault="00CA230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Tahoma"/>
          <w:sz w:val="32"/>
          <w:szCs w:val="32"/>
        </w:rPr>
      </w:pPr>
      <w:r>
        <w:rPr>
          <w:rFonts w:ascii="仿宋_GB2312" w:eastAsia="仿宋_GB2312" w:hAnsi="仿宋" w:cs="Tahoma" w:hint="eastAsia"/>
          <w:sz w:val="32"/>
          <w:szCs w:val="32"/>
        </w:rPr>
        <w:t>一是持续加大财政教育投入，根据创建教育现代化的总体要求，积极做好资金统筹协调和管理，支持各类学校新建、改扩建，推动城乡教育统筹发展。二是支持推进健康新北建设。完善卫生经费保障机制，支持常态化做好疫情防控工作，支持区疾控中心等项目建成投用，推动医疗资源布局优化、能力提档。三是着力支持乡村振兴战略实施。突出精准发力，</w:t>
      </w:r>
      <w:r>
        <w:rPr>
          <w:rFonts w:ascii="仿宋_GB2312" w:eastAsia="仿宋_GB2312" w:hAnsi="仿宋" w:cs="Tahoma" w:hint="eastAsia"/>
          <w:sz w:val="32"/>
          <w:szCs w:val="32"/>
        </w:rPr>
        <w:t>持续加大财政“三农”投入，积极争取上级各类专项扶持资金，充分发挥财政支农资金“保障、引领、撬动”作用，研究财政支农扶持政策精准投向，着力支持美丽乡村建设、农村人居环境整治、粮食安全、农业产业现代化、乡村治理等重点领域，全面提升我区农业现代化发展水平。四是聚力办好“民生实事”。聚焦民生重点，加快补齐民生领域突出短板，统筹安排资金支持为民办实事项目实施，重点支持农房改造、老旧小区整治提升、人才公寓建设等惠民工程。严格落实各类优抚对象的财政补贴政策，继续做好被征地农民社保资金保障后续工作。五是持续支持美丽新北建设</w:t>
      </w:r>
      <w:r>
        <w:rPr>
          <w:rFonts w:ascii="仿宋_GB2312" w:eastAsia="仿宋_GB2312" w:hAnsi="仿宋" w:cs="Tahoma" w:hint="eastAsia"/>
          <w:sz w:val="32"/>
          <w:szCs w:val="32"/>
        </w:rPr>
        <w:t>。围绕环境整治和生态建设的重点领域、关键环节，做好资金保障工作，多渠道筹措资金支持创建长江生态优先发展绿色示范区。六是全力保障社会安全稳定。切实履行财政职能，足额安排资金，支持我区综合治理能力提升。</w:t>
      </w:r>
    </w:p>
    <w:p w:rsidR="00F2278E" w:rsidRDefault="00CA230E">
      <w:pPr>
        <w:widowControl/>
        <w:spacing w:line="560" w:lineRule="exact"/>
        <w:ind w:firstLineChars="200" w:firstLine="643"/>
        <w:rPr>
          <w:rFonts w:ascii="仿宋_GB2312" w:eastAsia="仿宋_GB2312" w:hAnsi="楷体_GB2312" w:cs="楷体_GB2312"/>
          <w:b/>
          <w:bCs/>
          <w:sz w:val="32"/>
          <w:szCs w:val="32"/>
        </w:rPr>
      </w:pPr>
      <w:r>
        <w:rPr>
          <w:rFonts w:ascii="仿宋_GB2312" w:eastAsia="仿宋_GB2312" w:hAnsi="楷体_GB2312" w:cs="楷体_GB2312" w:hint="eastAsia"/>
          <w:b/>
          <w:bCs/>
          <w:sz w:val="32"/>
          <w:szCs w:val="32"/>
        </w:rPr>
        <w:t>（四）以深化改革为动力，不断优化体制机制建设</w:t>
      </w:r>
    </w:p>
    <w:p w:rsidR="00F2278E" w:rsidRDefault="00CA230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Tahoma"/>
          <w:sz w:val="32"/>
          <w:szCs w:val="32"/>
        </w:rPr>
      </w:pPr>
      <w:r>
        <w:rPr>
          <w:rFonts w:ascii="仿宋_GB2312" w:eastAsia="仿宋_GB2312" w:hAnsi="仿宋" w:cs="Tahoma" w:hint="eastAsia"/>
          <w:sz w:val="32"/>
          <w:szCs w:val="32"/>
        </w:rPr>
        <w:lastRenderedPageBreak/>
        <w:t>一是优化调整财政体制。根据上级财政部门工作部署，做好新一轮体制调整调研，理顺区与园区、镇（街道）财政关系，科学谋划新一轮财政管理体制。二是继续深化预算管理改革。完善政府预算体系，加强三本预算统筹衔接。探索公共服务领域支出标准化建设。根据省、市要求，做好预算管理一体化</w:t>
      </w:r>
      <w:r>
        <w:rPr>
          <w:rFonts w:ascii="仿宋_GB2312" w:eastAsia="仿宋_GB2312" w:hAnsi="仿宋" w:cs="Tahoma" w:hint="eastAsia"/>
          <w:sz w:val="32"/>
          <w:szCs w:val="32"/>
        </w:rPr>
        <w:t>系统建设运行工作。三是高水平推进预算绩效管理，扩大绩效管理范围，建立财政运行综合绩效管理机制，实施全口径政府预算绩效管理，推动预算和绩效管理一体化，强化绩效目标对预算编制的指导作用。四是持续推进非税收入收缴电子化改革，逐步将区级行政事业单位全面纳入电子票据使用范围，稳步推进园区、镇（街道）开展电子票据试点工作。五是深化国资国企改革。以新一轮国企改革发展三年行动计划实施为契机，围绕服务全区发展战略，进一步明确企业发展战略和发展方向，推动同类平台公司兼并重组，深化混合所有制改革，实施区镇企业联动改革，推行经理层</w:t>
      </w:r>
      <w:r>
        <w:rPr>
          <w:rFonts w:ascii="仿宋_GB2312" w:eastAsia="仿宋_GB2312" w:hAnsi="仿宋" w:cs="Tahoma" w:hint="eastAsia"/>
          <w:sz w:val="32"/>
          <w:szCs w:val="32"/>
        </w:rPr>
        <w:t>成员任期制和契约化管理，持续优化国资监管方式。六是深化政府采购制度改革。完善采购人主体责任，强化政府采购支持企业政策功能，健全完善支持科技创新、中小微企业发展、节能环保、贫困地区农产品等方面的采购政策，夯实政府采购信息化支撑，优化</w:t>
      </w:r>
      <w:r>
        <w:rPr>
          <w:rFonts w:ascii="仿宋_GB2312" w:eastAsia="仿宋_GB2312" w:hAnsi="仿宋" w:cs="Tahoma" w:hint="eastAsia"/>
          <w:sz w:val="32"/>
          <w:szCs w:val="32"/>
        </w:rPr>
        <w:t>政府</w:t>
      </w:r>
      <w:r>
        <w:rPr>
          <w:rFonts w:ascii="仿宋_GB2312" w:eastAsia="仿宋_GB2312" w:hAnsi="仿宋" w:cs="Tahoma" w:hint="eastAsia"/>
          <w:sz w:val="32"/>
          <w:szCs w:val="32"/>
        </w:rPr>
        <w:t>采购营商环境。</w:t>
      </w:r>
    </w:p>
    <w:p w:rsidR="00F2278E" w:rsidRDefault="00CA230E">
      <w:pPr>
        <w:widowControl/>
        <w:spacing w:line="560" w:lineRule="exact"/>
        <w:ind w:firstLineChars="200" w:firstLine="643"/>
        <w:rPr>
          <w:rFonts w:ascii="仿宋_GB2312" w:eastAsia="仿宋_GB2312" w:hAnsi="楷体_GB2312" w:cs="楷体_GB2312"/>
          <w:b/>
          <w:bCs/>
          <w:sz w:val="32"/>
          <w:szCs w:val="32"/>
        </w:rPr>
      </w:pPr>
      <w:r>
        <w:rPr>
          <w:rFonts w:ascii="仿宋_GB2312" w:eastAsia="仿宋_GB2312" w:hAnsi="楷体_GB2312" w:cs="楷体_GB2312" w:hint="eastAsia"/>
          <w:b/>
          <w:bCs/>
          <w:sz w:val="32"/>
          <w:szCs w:val="32"/>
        </w:rPr>
        <w:t>（五）以标本兼治为导向，防范化解政府债务风险</w:t>
      </w:r>
    </w:p>
    <w:p w:rsidR="00F2278E" w:rsidRDefault="00CA230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Tahoma"/>
          <w:sz w:val="32"/>
          <w:szCs w:val="32"/>
        </w:rPr>
      </w:pPr>
      <w:r>
        <w:rPr>
          <w:rFonts w:ascii="仿宋_GB2312" w:eastAsia="仿宋_GB2312" w:hAnsi="仿宋" w:cs="Tahoma" w:hint="eastAsia"/>
          <w:sz w:val="32"/>
          <w:szCs w:val="32"/>
        </w:rPr>
        <w:t>一是抓实隐性债务化解。加大财政资金统筹力度，优化化债方案，坚决落实一般公共预算收入用于化债资金比例要求，确保</w:t>
      </w:r>
      <w:r>
        <w:rPr>
          <w:rFonts w:ascii="仿宋_GB2312" w:eastAsia="仿宋_GB2312" w:hAnsi="仿宋" w:cs="Tahoma" w:hint="eastAsia"/>
          <w:sz w:val="32"/>
          <w:szCs w:val="32"/>
        </w:rPr>
        <w:lastRenderedPageBreak/>
        <w:t>债务风险指标值稳步下降。二是严格控制债务总量。着力抓好平台公司经营性债务风险管控工作，推动平台公司市场化转型</w:t>
      </w:r>
      <w:r>
        <w:rPr>
          <w:rFonts w:ascii="仿宋_GB2312" w:eastAsia="仿宋_GB2312" w:hAnsi="仿宋" w:cs="Tahoma" w:hint="eastAsia"/>
          <w:sz w:val="32"/>
          <w:szCs w:val="32"/>
        </w:rPr>
        <w:t>，进一步厘清政府与平台的关系，规范平台公司投融资行为。严把政府投资项目决策和审批关，严防新增隐性债务风险。三是做好融资成本“削峰”工作。以“挖潜减支，降本增效”为目标，稳妥出清高成本融资工具，严格限定信托、融资租赁等非标类融资工具使用范围和总量规模。用好用足现有政策空间，持续优化债务结构，落实省政府“短变长、高变低”要求。四是强化政府债券管理工作。建立政府专项债券项目储备库，加强项目审核把关，力求精准申报、合理申报、高效申报。加强债券资金支出管理，督促资金使用单位加快项目推进，防止债券资金沉淀在部门单位。五</w:t>
      </w:r>
      <w:r>
        <w:rPr>
          <w:rFonts w:ascii="仿宋_GB2312" w:eastAsia="仿宋_GB2312" w:hAnsi="仿宋" w:cs="Tahoma" w:hint="eastAsia"/>
          <w:sz w:val="32"/>
          <w:szCs w:val="32"/>
        </w:rPr>
        <w:t>是多措并举落实监管责任。利用债务监管平台，加强对债务规模、结构、成本动态监控，发现隐患及时进行预警提示。强化“红线”思维，完善政府性债务管理考核办法，持续开展督导检查，</w:t>
      </w:r>
      <w:r>
        <w:rPr>
          <w:rFonts w:ascii="仿宋_GB2312" w:eastAsia="仿宋_GB2312" w:hAnsi="仿宋" w:cs="Tahoma" w:hint="eastAsia"/>
          <w:sz w:val="32"/>
          <w:szCs w:val="32"/>
        </w:rPr>
        <w:t>压</w:t>
      </w:r>
      <w:r>
        <w:rPr>
          <w:rFonts w:ascii="仿宋_GB2312" w:eastAsia="仿宋_GB2312" w:hAnsi="仿宋" w:cs="Tahoma" w:hint="eastAsia"/>
          <w:sz w:val="32"/>
          <w:szCs w:val="32"/>
        </w:rPr>
        <w:t>实各板块政府性债务管理主体责任，严防变相新增隐性债务。</w:t>
      </w:r>
    </w:p>
    <w:p w:rsidR="00F2278E" w:rsidRDefault="00CA230E">
      <w:pPr>
        <w:widowControl/>
        <w:spacing w:line="560" w:lineRule="exact"/>
        <w:ind w:firstLineChars="200" w:firstLine="643"/>
        <w:rPr>
          <w:rFonts w:ascii="仿宋_GB2312" w:eastAsia="仿宋_GB2312" w:hAnsi="楷体_GB2312" w:cs="楷体_GB2312"/>
          <w:b/>
          <w:bCs/>
          <w:sz w:val="32"/>
          <w:szCs w:val="32"/>
        </w:rPr>
      </w:pPr>
      <w:r>
        <w:rPr>
          <w:rFonts w:ascii="仿宋_GB2312" w:eastAsia="仿宋_GB2312" w:hAnsi="楷体_GB2312" w:cs="楷体_GB2312" w:hint="eastAsia"/>
          <w:b/>
          <w:bCs/>
          <w:sz w:val="32"/>
          <w:szCs w:val="32"/>
        </w:rPr>
        <w:t>（六）以监督管理为抓手，确保财政资金安全高效</w:t>
      </w:r>
    </w:p>
    <w:p w:rsidR="00F2278E" w:rsidRDefault="00CA230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Tahoma"/>
          <w:sz w:val="32"/>
          <w:szCs w:val="32"/>
        </w:rPr>
      </w:pPr>
      <w:r>
        <w:rPr>
          <w:rFonts w:ascii="仿宋_GB2312" w:eastAsia="仿宋_GB2312" w:hAnsi="仿宋" w:cs="Tahoma" w:hint="eastAsia"/>
          <w:sz w:val="32"/>
          <w:szCs w:val="32"/>
        </w:rPr>
        <w:t>一是加快法治财政建设。牢固树立法治理念，健全依法决策机制，完善部门制度体系建设。强化权力运行和制度监督，推动政务公开规范化、常态化、制度化。二是强化财政监督职能。切实加强对重点专项资金、重大建设项目、重大政府采购项目、重要政策措施等方面的监</w:t>
      </w:r>
      <w:r>
        <w:rPr>
          <w:rFonts w:ascii="仿宋_GB2312" w:eastAsia="仿宋_GB2312" w:hAnsi="仿宋" w:cs="Tahoma" w:hint="eastAsia"/>
          <w:sz w:val="32"/>
          <w:szCs w:val="32"/>
        </w:rPr>
        <w:t>督检查，科学制定实施年度监督检查计划，拓展监督范围，改进监督方式。三是管好用好直达资金，加快推</w:t>
      </w:r>
      <w:r>
        <w:rPr>
          <w:rFonts w:ascii="仿宋_GB2312" w:eastAsia="仿宋_GB2312" w:hAnsi="仿宋" w:cs="Tahoma" w:hint="eastAsia"/>
          <w:sz w:val="32"/>
          <w:szCs w:val="32"/>
        </w:rPr>
        <w:lastRenderedPageBreak/>
        <w:t>进直达资金指标分配下达和资金支出进度，建立完善全覆盖、全链条转移支付资金监控机制，强化直达资金监控监管，确保第一时间将资金直达基层、惠企利民。四是加强国有资产管理。完善资产配置标准，积极探索资产调剂和共享共用，严格各类资产登记和核算，确保资产安全完整，高效利用。规范运作企业国有资本，保障国有资产安全，做好年度国有资产管理情况综合报告工作。五是夯实财政管理基础。进一步梳理部门、岗位工作职责，科学确定责任边界，优化财政</w:t>
      </w:r>
      <w:r>
        <w:rPr>
          <w:rFonts w:ascii="仿宋_GB2312" w:eastAsia="仿宋_GB2312" w:hAnsi="仿宋" w:cs="Tahoma" w:hint="eastAsia"/>
          <w:sz w:val="32"/>
          <w:szCs w:val="32"/>
        </w:rPr>
        <w:t>业务流程，完善内部控制制度，加强对基层财政分局指导，提升财政部门工作效能、管理能力与服务水平。六是推进财政信息化建设。完善政府投资项目与资金管理、政府采购管理、预算绩效管理、国有资产管理等系统建设，构建业务规范、运行高效的财政管理与服务新模式。</w:t>
      </w:r>
    </w:p>
    <w:p w:rsidR="00F2278E" w:rsidRDefault="00CA230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Tahoma" w:hint="eastAsia"/>
          <w:sz w:val="32"/>
          <w:szCs w:val="32"/>
        </w:rPr>
      </w:pPr>
      <w:r>
        <w:rPr>
          <w:rFonts w:ascii="仿宋_GB2312" w:eastAsia="仿宋_GB2312" w:hAnsi="仿宋" w:cs="Tahoma" w:hint="eastAsia"/>
          <w:sz w:val="32"/>
          <w:szCs w:val="32"/>
        </w:rPr>
        <w:t>各位代表、同志们，做好</w:t>
      </w:r>
      <w:r>
        <w:rPr>
          <w:rFonts w:ascii="仿宋_GB2312" w:eastAsia="仿宋_GB2312" w:hAnsi="仿宋" w:cs="Tahoma" w:hint="eastAsia"/>
          <w:sz w:val="32"/>
          <w:szCs w:val="32"/>
        </w:rPr>
        <w:t>2022</w:t>
      </w:r>
      <w:r>
        <w:rPr>
          <w:rFonts w:ascii="仿宋_GB2312" w:eastAsia="仿宋_GB2312" w:hAnsi="仿宋" w:cs="Tahoma" w:hint="eastAsia"/>
          <w:sz w:val="32"/>
          <w:szCs w:val="32"/>
        </w:rPr>
        <w:t>年财政工作意义重大，我们将在区委、区政府的坚强领导下，在区人大、区政协的监督指导下，自觉接受人大代表监督，虚心听取政协委员意见和建议，认真落实本次大会决议，强化政治担当，砥砺奋进，主动作为，扎实做好财政各项工作，以优异成绩迎接党的二十大</w:t>
      </w:r>
      <w:r>
        <w:rPr>
          <w:rFonts w:ascii="仿宋_GB2312" w:eastAsia="仿宋_GB2312" w:hAnsi="仿宋" w:cs="Tahoma" w:hint="eastAsia"/>
          <w:sz w:val="32"/>
          <w:szCs w:val="32"/>
        </w:rPr>
        <w:t>胜利召开！</w:t>
      </w:r>
    </w:p>
    <w:p w:rsidR="0050193D" w:rsidRDefault="0050193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Tahoma" w:hint="eastAsia"/>
          <w:sz w:val="32"/>
          <w:szCs w:val="32"/>
        </w:rPr>
      </w:pPr>
    </w:p>
    <w:p w:rsidR="0050193D" w:rsidRDefault="0050193D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Tahoma"/>
          <w:sz w:val="32"/>
          <w:szCs w:val="32"/>
        </w:rPr>
      </w:pPr>
      <w:r>
        <w:rPr>
          <w:rFonts w:ascii="仿宋_GB2312" w:eastAsia="仿宋_GB2312" w:hAnsi="仿宋" w:cs="Tahoma" w:hint="eastAsia"/>
          <w:sz w:val="32"/>
          <w:szCs w:val="32"/>
        </w:rPr>
        <w:t>（此件公开发布）</w:t>
      </w:r>
    </w:p>
    <w:sectPr w:rsidR="0050193D" w:rsidSect="00F2278E">
      <w:footerReference w:type="default" r:id="rId9"/>
      <w:pgSz w:w="11907" w:h="16840"/>
      <w:pgMar w:top="1928" w:right="1418" w:bottom="2155" w:left="1418" w:header="851" w:footer="1701" w:gutter="0"/>
      <w:pgNumType w:fmt="numberInDash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30E" w:rsidRDefault="00CA230E" w:rsidP="00F2278E">
      <w:r>
        <w:separator/>
      </w:r>
    </w:p>
  </w:endnote>
  <w:endnote w:type="continuationSeparator" w:id="1">
    <w:p w:rsidR="00CA230E" w:rsidRDefault="00CA230E" w:rsidP="00F227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KTJ-PK74820000008-Identity-H">
    <w:altName w:val="宋体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7542"/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F2278E" w:rsidRDefault="00F2278E">
        <w:pPr>
          <w:pStyle w:val="a4"/>
          <w:jc w:val="center"/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CA230E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CC025D" w:rsidRPr="00CC025D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CC025D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30E" w:rsidRDefault="00CA230E" w:rsidP="00F2278E">
      <w:r>
        <w:separator/>
      </w:r>
    </w:p>
  </w:footnote>
  <w:footnote w:type="continuationSeparator" w:id="1">
    <w:p w:rsidR="00CA230E" w:rsidRDefault="00CA230E" w:rsidP="00F227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234E6"/>
    <w:multiLevelType w:val="multilevel"/>
    <w:tmpl w:val="47B234E6"/>
    <w:lvl w:ilvl="0">
      <w:start w:val="1"/>
      <w:numFmt w:val="chineseCountingThousand"/>
      <w:pStyle w:val="1"/>
      <w:lvlText w:val="第%1部分"/>
      <w:lvlJc w:val="center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>
      <w:start w:val="1"/>
      <w:numFmt w:val="chineseCountingThousand"/>
      <w:pStyle w:val="2"/>
      <w:lvlText w:val="%2、"/>
      <w:lvlJc w:val="left"/>
      <w:pPr>
        <w:ind w:left="1135" w:firstLine="0"/>
      </w:pPr>
      <w:rPr>
        <w:rFonts w:ascii="黑体" w:eastAsia="黑体" w:hAnsi="黑体" w:hint="eastAsia"/>
        <w:b w:val="0"/>
        <w:i w:val="0"/>
        <w:sz w:val="32"/>
      </w:rPr>
    </w:lvl>
    <w:lvl w:ilvl="2">
      <w:start w:val="1"/>
      <w:numFmt w:val="chineseCountingThousand"/>
      <w:lvlText w:val="（%3）"/>
      <w:lvlJc w:val="left"/>
      <w:pPr>
        <w:ind w:left="0" w:firstLine="0"/>
      </w:pPr>
      <w:rPr>
        <w:rFonts w:eastAsia="仿宋_GB2312" w:hint="eastAsia"/>
        <w:b/>
        <w:i w:val="0"/>
        <w:sz w:val="32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6F39C0"/>
    <w:rsid w:val="00001048"/>
    <w:rsid w:val="00001246"/>
    <w:rsid w:val="000015B2"/>
    <w:rsid w:val="00002246"/>
    <w:rsid w:val="000025C0"/>
    <w:rsid w:val="0000265A"/>
    <w:rsid w:val="000027A8"/>
    <w:rsid w:val="00002865"/>
    <w:rsid w:val="00003692"/>
    <w:rsid w:val="00004BCF"/>
    <w:rsid w:val="0000577F"/>
    <w:rsid w:val="00010A54"/>
    <w:rsid w:val="0001157A"/>
    <w:rsid w:val="00011E8D"/>
    <w:rsid w:val="00012536"/>
    <w:rsid w:val="00015838"/>
    <w:rsid w:val="000166AA"/>
    <w:rsid w:val="00017440"/>
    <w:rsid w:val="000206F1"/>
    <w:rsid w:val="00022AA5"/>
    <w:rsid w:val="000246A4"/>
    <w:rsid w:val="00024FF7"/>
    <w:rsid w:val="00025A59"/>
    <w:rsid w:val="00025E59"/>
    <w:rsid w:val="000303F9"/>
    <w:rsid w:val="000317F3"/>
    <w:rsid w:val="000327D3"/>
    <w:rsid w:val="000334E7"/>
    <w:rsid w:val="00033A24"/>
    <w:rsid w:val="0003621E"/>
    <w:rsid w:val="00036E88"/>
    <w:rsid w:val="0004214B"/>
    <w:rsid w:val="00043263"/>
    <w:rsid w:val="0004588E"/>
    <w:rsid w:val="00045CD5"/>
    <w:rsid w:val="00045E21"/>
    <w:rsid w:val="0005452D"/>
    <w:rsid w:val="00054E7E"/>
    <w:rsid w:val="00054F12"/>
    <w:rsid w:val="00055399"/>
    <w:rsid w:val="00056874"/>
    <w:rsid w:val="00060C9E"/>
    <w:rsid w:val="00062148"/>
    <w:rsid w:val="00062281"/>
    <w:rsid w:val="00062CEC"/>
    <w:rsid w:val="00063A64"/>
    <w:rsid w:val="00064983"/>
    <w:rsid w:val="000656D6"/>
    <w:rsid w:val="000673DF"/>
    <w:rsid w:val="0006753D"/>
    <w:rsid w:val="00067DB0"/>
    <w:rsid w:val="000705AA"/>
    <w:rsid w:val="00070DD8"/>
    <w:rsid w:val="00072BEB"/>
    <w:rsid w:val="00073A18"/>
    <w:rsid w:val="00081552"/>
    <w:rsid w:val="00081829"/>
    <w:rsid w:val="00085202"/>
    <w:rsid w:val="00085373"/>
    <w:rsid w:val="00087B76"/>
    <w:rsid w:val="0009209C"/>
    <w:rsid w:val="00093904"/>
    <w:rsid w:val="00093DAA"/>
    <w:rsid w:val="000950ED"/>
    <w:rsid w:val="0009574B"/>
    <w:rsid w:val="0009648F"/>
    <w:rsid w:val="00096BB3"/>
    <w:rsid w:val="0009789C"/>
    <w:rsid w:val="000A066B"/>
    <w:rsid w:val="000A0E26"/>
    <w:rsid w:val="000A1491"/>
    <w:rsid w:val="000A38E4"/>
    <w:rsid w:val="000B2AE0"/>
    <w:rsid w:val="000B3F6A"/>
    <w:rsid w:val="000B4F3B"/>
    <w:rsid w:val="000B6716"/>
    <w:rsid w:val="000B6946"/>
    <w:rsid w:val="000C1517"/>
    <w:rsid w:val="000C284D"/>
    <w:rsid w:val="000C52EE"/>
    <w:rsid w:val="000C5A7F"/>
    <w:rsid w:val="000D0E6E"/>
    <w:rsid w:val="000D14CD"/>
    <w:rsid w:val="000D6DAB"/>
    <w:rsid w:val="000D6E82"/>
    <w:rsid w:val="000D6FBD"/>
    <w:rsid w:val="000D7E60"/>
    <w:rsid w:val="000E052E"/>
    <w:rsid w:val="000E1B83"/>
    <w:rsid w:val="000E2BED"/>
    <w:rsid w:val="000E39BE"/>
    <w:rsid w:val="000E481C"/>
    <w:rsid w:val="000E5C39"/>
    <w:rsid w:val="000E5EC5"/>
    <w:rsid w:val="000F198F"/>
    <w:rsid w:val="000F2098"/>
    <w:rsid w:val="000F280C"/>
    <w:rsid w:val="000F2863"/>
    <w:rsid w:val="000F62E3"/>
    <w:rsid w:val="000F737B"/>
    <w:rsid w:val="001004A5"/>
    <w:rsid w:val="00100EEA"/>
    <w:rsid w:val="00101AAB"/>
    <w:rsid w:val="0010207F"/>
    <w:rsid w:val="001022EF"/>
    <w:rsid w:val="001027B0"/>
    <w:rsid w:val="001032EC"/>
    <w:rsid w:val="00103CB7"/>
    <w:rsid w:val="00105FAA"/>
    <w:rsid w:val="001061AA"/>
    <w:rsid w:val="00106CB1"/>
    <w:rsid w:val="00110A8E"/>
    <w:rsid w:val="00111E38"/>
    <w:rsid w:val="00112B75"/>
    <w:rsid w:val="0011490E"/>
    <w:rsid w:val="00115512"/>
    <w:rsid w:val="001155CB"/>
    <w:rsid w:val="001158FC"/>
    <w:rsid w:val="00116464"/>
    <w:rsid w:val="00121176"/>
    <w:rsid w:val="00121341"/>
    <w:rsid w:val="00121654"/>
    <w:rsid w:val="001232E3"/>
    <w:rsid w:val="00125355"/>
    <w:rsid w:val="00126A05"/>
    <w:rsid w:val="00130613"/>
    <w:rsid w:val="001315E1"/>
    <w:rsid w:val="0013346C"/>
    <w:rsid w:val="001339CB"/>
    <w:rsid w:val="00133E9B"/>
    <w:rsid w:val="001356A6"/>
    <w:rsid w:val="00135A29"/>
    <w:rsid w:val="001369F9"/>
    <w:rsid w:val="00137DC3"/>
    <w:rsid w:val="0014028D"/>
    <w:rsid w:val="00140A4B"/>
    <w:rsid w:val="00140C54"/>
    <w:rsid w:val="00140E9B"/>
    <w:rsid w:val="0014179C"/>
    <w:rsid w:val="001421D9"/>
    <w:rsid w:val="0014348C"/>
    <w:rsid w:val="001436AF"/>
    <w:rsid w:val="001455CB"/>
    <w:rsid w:val="0014601A"/>
    <w:rsid w:val="00146862"/>
    <w:rsid w:val="00146DC7"/>
    <w:rsid w:val="00152AA5"/>
    <w:rsid w:val="001548EB"/>
    <w:rsid w:val="00156B67"/>
    <w:rsid w:val="00157423"/>
    <w:rsid w:val="001618EC"/>
    <w:rsid w:val="00162129"/>
    <w:rsid w:val="00162545"/>
    <w:rsid w:val="00163A41"/>
    <w:rsid w:val="00164485"/>
    <w:rsid w:val="00164E9A"/>
    <w:rsid w:val="00165DD2"/>
    <w:rsid w:val="00166CB4"/>
    <w:rsid w:val="00166E53"/>
    <w:rsid w:val="00166F97"/>
    <w:rsid w:val="00166F9F"/>
    <w:rsid w:val="00170A18"/>
    <w:rsid w:val="00170CB9"/>
    <w:rsid w:val="00170F18"/>
    <w:rsid w:val="0017475D"/>
    <w:rsid w:val="001748FA"/>
    <w:rsid w:val="00175755"/>
    <w:rsid w:val="0017602D"/>
    <w:rsid w:val="00177052"/>
    <w:rsid w:val="0017764F"/>
    <w:rsid w:val="00180DB2"/>
    <w:rsid w:val="0018140D"/>
    <w:rsid w:val="0018154F"/>
    <w:rsid w:val="00181AA0"/>
    <w:rsid w:val="001841F4"/>
    <w:rsid w:val="00185E24"/>
    <w:rsid w:val="0018683F"/>
    <w:rsid w:val="00187AE6"/>
    <w:rsid w:val="00187C21"/>
    <w:rsid w:val="00187D6D"/>
    <w:rsid w:val="00191582"/>
    <w:rsid w:val="0019207C"/>
    <w:rsid w:val="00192787"/>
    <w:rsid w:val="0019345C"/>
    <w:rsid w:val="0019543E"/>
    <w:rsid w:val="0019683E"/>
    <w:rsid w:val="001978B8"/>
    <w:rsid w:val="0019790C"/>
    <w:rsid w:val="001A1695"/>
    <w:rsid w:val="001A60E6"/>
    <w:rsid w:val="001A641A"/>
    <w:rsid w:val="001A6530"/>
    <w:rsid w:val="001A6599"/>
    <w:rsid w:val="001A6902"/>
    <w:rsid w:val="001A7D70"/>
    <w:rsid w:val="001A7F78"/>
    <w:rsid w:val="001B0DCE"/>
    <w:rsid w:val="001B1DC1"/>
    <w:rsid w:val="001B3B48"/>
    <w:rsid w:val="001B481A"/>
    <w:rsid w:val="001B598B"/>
    <w:rsid w:val="001B7B2C"/>
    <w:rsid w:val="001B7BF5"/>
    <w:rsid w:val="001C0568"/>
    <w:rsid w:val="001C4F08"/>
    <w:rsid w:val="001C7E07"/>
    <w:rsid w:val="001C7EB9"/>
    <w:rsid w:val="001D3945"/>
    <w:rsid w:val="001D3C55"/>
    <w:rsid w:val="001D4F28"/>
    <w:rsid w:val="001D5DB2"/>
    <w:rsid w:val="001D5FD9"/>
    <w:rsid w:val="001D65B7"/>
    <w:rsid w:val="001D7526"/>
    <w:rsid w:val="001E0FE2"/>
    <w:rsid w:val="001E18DB"/>
    <w:rsid w:val="001E33C7"/>
    <w:rsid w:val="001E3474"/>
    <w:rsid w:val="001E38FD"/>
    <w:rsid w:val="001F0FA3"/>
    <w:rsid w:val="001F1A9D"/>
    <w:rsid w:val="001F4475"/>
    <w:rsid w:val="001F45A6"/>
    <w:rsid w:val="001F55A2"/>
    <w:rsid w:val="001F55FD"/>
    <w:rsid w:val="001F592D"/>
    <w:rsid w:val="001F689A"/>
    <w:rsid w:val="001F6BC6"/>
    <w:rsid w:val="001F6CD6"/>
    <w:rsid w:val="001F7F8E"/>
    <w:rsid w:val="002003E5"/>
    <w:rsid w:val="0020192E"/>
    <w:rsid w:val="00201C0E"/>
    <w:rsid w:val="0020236E"/>
    <w:rsid w:val="002029F7"/>
    <w:rsid w:val="00202AB6"/>
    <w:rsid w:val="00202BAA"/>
    <w:rsid w:val="00202C98"/>
    <w:rsid w:val="002034BC"/>
    <w:rsid w:val="00203868"/>
    <w:rsid w:val="00204ECF"/>
    <w:rsid w:val="0020599F"/>
    <w:rsid w:val="002059C5"/>
    <w:rsid w:val="00206935"/>
    <w:rsid w:val="00207D72"/>
    <w:rsid w:val="00207E88"/>
    <w:rsid w:val="00210376"/>
    <w:rsid w:val="0021123C"/>
    <w:rsid w:val="00214618"/>
    <w:rsid w:val="00215D70"/>
    <w:rsid w:val="0021601F"/>
    <w:rsid w:val="0021698E"/>
    <w:rsid w:val="00216D72"/>
    <w:rsid w:val="00220DFC"/>
    <w:rsid w:val="0022224A"/>
    <w:rsid w:val="00224DF0"/>
    <w:rsid w:val="00225ABF"/>
    <w:rsid w:val="00227311"/>
    <w:rsid w:val="002274B7"/>
    <w:rsid w:val="00231545"/>
    <w:rsid w:val="0023243B"/>
    <w:rsid w:val="00233774"/>
    <w:rsid w:val="00234EE8"/>
    <w:rsid w:val="0023515C"/>
    <w:rsid w:val="00235D8C"/>
    <w:rsid w:val="0024076C"/>
    <w:rsid w:val="00241C2F"/>
    <w:rsid w:val="00241D6F"/>
    <w:rsid w:val="00241F59"/>
    <w:rsid w:val="00242584"/>
    <w:rsid w:val="002429C6"/>
    <w:rsid w:val="002449B1"/>
    <w:rsid w:val="00246F97"/>
    <w:rsid w:val="002472AB"/>
    <w:rsid w:val="00250A51"/>
    <w:rsid w:val="002522C2"/>
    <w:rsid w:val="00252BA1"/>
    <w:rsid w:val="00252E2E"/>
    <w:rsid w:val="00253B12"/>
    <w:rsid w:val="002542AD"/>
    <w:rsid w:val="002548C4"/>
    <w:rsid w:val="0025517F"/>
    <w:rsid w:val="0025553E"/>
    <w:rsid w:val="00255610"/>
    <w:rsid w:val="002569EC"/>
    <w:rsid w:val="0025715A"/>
    <w:rsid w:val="0025748D"/>
    <w:rsid w:val="00257ACA"/>
    <w:rsid w:val="002601BF"/>
    <w:rsid w:val="002618A1"/>
    <w:rsid w:val="00262AF0"/>
    <w:rsid w:val="002700AE"/>
    <w:rsid w:val="00270360"/>
    <w:rsid w:val="00271438"/>
    <w:rsid w:val="00272C27"/>
    <w:rsid w:val="00273666"/>
    <w:rsid w:val="00273A8F"/>
    <w:rsid w:val="00280E1D"/>
    <w:rsid w:val="00280E44"/>
    <w:rsid w:val="0028125C"/>
    <w:rsid w:val="002822D3"/>
    <w:rsid w:val="002828F2"/>
    <w:rsid w:val="0028390F"/>
    <w:rsid w:val="0028585E"/>
    <w:rsid w:val="002864B3"/>
    <w:rsid w:val="0029112C"/>
    <w:rsid w:val="00291EFD"/>
    <w:rsid w:val="00293B9E"/>
    <w:rsid w:val="00294184"/>
    <w:rsid w:val="00294D7A"/>
    <w:rsid w:val="002952D1"/>
    <w:rsid w:val="00295836"/>
    <w:rsid w:val="002958B0"/>
    <w:rsid w:val="0029615D"/>
    <w:rsid w:val="00297374"/>
    <w:rsid w:val="002A0162"/>
    <w:rsid w:val="002A14EA"/>
    <w:rsid w:val="002A4469"/>
    <w:rsid w:val="002A55CA"/>
    <w:rsid w:val="002A5892"/>
    <w:rsid w:val="002A6763"/>
    <w:rsid w:val="002A6897"/>
    <w:rsid w:val="002A6C58"/>
    <w:rsid w:val="002B2CC0"/>
    <w:rsid w:val="002B3158"/>
    <w:rsid w:val="002B4176"/>
    <w:rsid w:val="002B569E"/>
    <w:rsid w:val="002B6F1F"/>
    <w:rsid w:val="002B7C90"/>
    <w:rsid w:val="002C05B0"/>
    <w:rsid w:val="002C09D9"/>
    <w:rsid w:val="002C12F3"/>
    <w:rsid w:val="002C1539"/>
    <w:rsid w:val="002C1F8A"/>
    <w:rsid w:val="002C2251"/>
    <w:rsid w:val="002C376A"/>
    <w:rsid w:val="002C4C16"/>
    <w:rsid w:val="002C50EA"/>
    <w:rsid w:val="002C541E"/>
    <w:rsid w:val="002C7C01"/>
    <w:rsid w:val="002D1208"/>
    <w:rsid w:val="002D20FF"/>
    <w:rsid w:val="002D2387"/>
    <w:rsid w:val="002D279A"/>
    <w:rsid w:val="002D27D8"/>
    <w:rsid w:val="002D3CE4"/>
    <w:rsid w:val="002D4A98"/>
    <w:rsid w:val="002D4CE4"/>
    <w:rsid w:val="002D4E1F"/>
    <w:rsid w:val="002D5552"/>
    <w:rsid w:val="002D598A"/>
    <w:rsid w:val="002D5A51"/>
    <w:rsid w:val="002D6747"/>
    <w:rsid w:val="002D6B4C"/>
    <w:rsid w:val="002E189B"/>
    <w:rsid w:val="002E3AA3"/>
    <w:rsid w:val="002E49EF"/>
    <w:rsid w:val="002E5604"/>
    <w:rsid w:val="002E79BA"/>
    <w:rsid w:val="002E7AA3"/>
    <w:rsid w:val="002E7B79"/>
    <w:rsid w:val="002F2808"/>
    <w:rsid w:val="002F2962"/>
    <w:rsid w:val="002F51BC"/>
    <w:rsid w:val="002F52DF"/>
    <w:rsid w:val="002F6A83"/>
    <w:rsid w:val="002F7232"/>
    <w:rsid w:val="0030089F"/>
    <w:rsid w:val="0030145C"/>
    <w:rsid w:val="00301907"/>
    <w:rsid w:val="003033BD"/>
    <w:rsid w:val="00305C32"/>
    <w:rsid w:val="00306257"/>
    <w:rsid w:val="00312C1F"/>
    <w:rsid w:val="00312F77"/>
    <w:rsid w:val="00313AA0"/>
    <w:rsid w:val="00313AB7"/>
    <w:rsid w:val="00314382"/>
    <w:rsid w:val="00314DC4"/>
    <w:rsid w:val="00316957"/>
    <w:rsid w:val="003172BE"/>
    <w:rsid w:val="0032006C"/>
    <w:rsid w:val="0032045B"/>
    <w:rsid w:val="0032079B"/>
    <w:rsid w:val="00323987"/>
    <w:rsid w:val="00325DC2"/>
    <w:rsid w:val="003264F0"/>
    <w:rsid w:val="00327479"/>
    <w:rsid w:val="003303A2"/>
    <w:rsid w:val="003304BD"/>
    <w:rsid w:val="0033051A"/>
    <w:rsid w:val="00332682"/>
    <w:rsid w:val="0033321C"/>
    <w:rsid w:val="00334A00"/>
    <w:rsid w:val="00334BB7"/>
    <w:rsid w:val="00334EAF"/>
    <w:rsid w:val="00335222"/>
    <w:rsid w:val="00335F8E"/>
    <w:rsid w:val="00336EFF"/>
    <w:rsid w:val="00337119"/>
    <w:rsid w:val="00337350"/>
    <w:rsid w:val="00340090"/>
    <w:rsid w:val="003401D6"/>
    <w:rsid w:val="003418E8"/>
    <w:rsid w:val="003428F9"/>
    <w:rsid w:val="00343993"/>
    <w:rsid w:val="0034456B"/>
    <w:rsid w:val="00345BE7"/>
    <w:rsid w:val="003461D2"/>
    <w:rsid w:val="00346965"/>
    <w:rsid w:val="00350000"/>
    <w:rsid w:val="003501EA"/>
    <w:rsid w:val="0035189A"/>
    <w:rsid w:val="00354151"/>
    <w:rsid w:val="003554D3"/>
    <w:rsid w:val="003556FE"/>
    <w:rsid w:val="00356D46"/>
    <w:rsid w:val="00357B1B"/>
    <w:rsid w:val="00357D9F"/>
    <w:rsid w:val="00360EBB"/>
    <w:rsid w:val="00363212"/>
    <w:rsid w:val="003635E9"/>
    <w:rsid w:val="00363FAA"/>
    <w:rsid w:val="00364757"/>
    <w:rsid w:val="00364FDC"/>
    <w:rsid w:val="0036523F"/>
    <w:rsid w:val="00365A67"/>
    <w:rsid w:val="00365B39"/>
    <w:rsid w:val="003679E3"/>
    <w:rsid w:val="00370425"/>
    <w:rsid w:val="003709C4"/>
    <w:rsid w:val="00371558"/>
    <w:rsid w:val="0037345E"/>
    <w:rsid w:val="0037349B"/>
    <w:rsid w:val="003736AE"/>
    <w:rsid w:val="003775C1"/>
    <w:rsid w:val="003815B4"/>
    <w:rsid w:val="00382CB3"/>
    <w:rsid w:val="003833C3"/>
    <w:rsid w:val="00383653"/>
    <w:rsid w:val="00384C55"/>
    <w:rsid w:val="00391349"/>
    <w:rsid w:val="00392A3A"/>
    <w:rsid w:val="00392B94"/>
    <w:rsid w:val="00393340"/>
    <w:rsid w:val="00393558"/>
    <w:rsid w:val="00394C0D"/>
    <w:rsid w:val="003970FD"/>
    <w:rsid w:val="0039799F"/>
    <w:rsid w:val="003A0F96"/>
    <w:rsid w:val="003A2C31"/>
    <w:rsid w:val="003A67A0"/>
    <w:rsid w:val="003A6CD9"/>
    <w:rsid w:val="003B29C6"/>
    <w:rsid w:val="003B2E29"/>
    <w:rsid w:val="003B3D33"/>
    <w:rsid w:val="003B5357"/>
    <w:rsid w:val="003B6DED"/>
    <w:rsid w:val="003C0F5F"/>
    <w:rsid w:val="003C12F1"/>
    <w:rsid w:val="003C1660"/>
    <w:rsid w:val="003C1E2D"/>
    <w:rsid w:val="003C1FA8"/>
    <w:rsid w:val="003C2DF6"/>
    <w:rsid w:val="003C311D"/>
    <w:rsid w:val="003C3317"/>
    <w:rsid w:val="003C4390"/>
    <w:rsid w:val="003C45F2"/>
    <w:rsid w:val="003C60F5"/>
    <w:rsid w:val="003C6EEE"/>
    <w:rsid w:val="003C7D0D"/>
    <w:rsid w:val="003D0A4A"/>
    <w:rsid w:val="003D0D1C"/>
    <w:rsid w:val="003D147A"/>
    <w:rsid w:val="003D292A"/>
    <w:rsid w:val="003D3525"/>
    <w:rsid w:val="003D361E"/>
    <w:rsid w:val="003D3EAE"/>
    <w:rsid w:val="003D68F1"/>
    <w:rsid w:val="003D6ACB"/>
    <w:rsid w:val="003E0CB8"/>
    <w:rsid w:val="003E468C"/>
    <w:rsid w:val="003E4E07"/>
    <w:rsid w:val="003E55DF"/>
    <w:rsid w:val="003E6EA6"/>
    <w:rsid w:val="003E7E39"/>
    <w:rsid w:val="003E7F0A"/>
    <w:rsid w:val="003F0309"/>
    <w:rsid w:val="003F09A7"/>
    <w:rsid w:val="003F0D1B"/>
    <w:rsid w:val="003F2104"/>
    <w:rsid w:val="003F2791"/>
    <w:rsid w:val="003F30A7"/>
    <w:rsid w:val="003F6773"/>
    <w:rsid w:val="003F6840"/>
    <w:rsid w:val="003F7C15"/>
    <w:rsid w:val="004016D8"/>
    <w:rsid w:val="00401831"/>
    <w:rsid w:val="00401D99"/>
    <w:rsid w:val="0040217D"/>
    <w:rsid w:val="00402B3A"/>
    <w:rsid w:val="00404029"/>
    <w:rsid w:val="00404C19"/>
    <w:rsid w:val="00404D2A"/>
    <w:rsid w:val="00404E76"/>
    <w:rsid w:val="00405672"/>
    <w:rsid w:val="0040586B"/>
    <w:rsid w:val="00405BE3"/>
    <w:rsid w:val="004060AF"/>
    <w:rsid w:val="00406924"/>
    <w:rsid w:val="00407504"/>
    <w:rsid w:val="00412CC2"/>
    <w:rsid w:val="00414226"/>
    <w:rsid w:val="00414F22"/>
    <w:rsid w:val="00416270"/>
    <w:rsid w:val="004162A4"/>
    <w:rsid w:val="004170D0"/>
    <w:rsid w:val="0041741B"/>
    <w:rsid w:val="00421C74"/>
    <w:rsid w:val="004223E6"/>
    <w:rsid w:val="00423301"/>
    <w:rsid w:val="00423B56"/>
    <w:rsid w:val="004244F4"/>
    <w:rsid w:val="00424BF9"/>
    <w:rsid w:val="004253C9"/>
    <w:rsid w:val="00425E21"/>
    <w:rsid w:val="004261C7"/>
    <w:rsid w:val="004276AF"/>
    <w:rsid w:val="00427D7D"/>
    <w:rsid w:val="0043272D"/>
    <w:rsid w:val="004338E5"/>
    <w:rsid w:val="00436C9B"/>
    <w:rsid w:val="00436E5B"/>
    <w:rsid w:val="00437890"/>
    <w:rsid w:val="00441348"/>
    <w:rsid w:val="0044145D"/>
    <w:rsid w:val="004431FC"/>
    <w:rsid w:val="0044385E"/>
    <w:rsid w:val="00443E9B"/>
    <w:rsid w:val="00445A1C"/>
    <w:rsid w:val="00445CD7"/>
    <w:rsid w:val="00447F10"/>
    <w:rsid w:val="00450738"/>
    <w:rsid w:val="00450A4B"/>
    <w:rsid w:val="00450C4D"/>
    <w:rsid w:val="00451CB0"/>
    <w:rsid w:val="00453461"/>
    <w:rsid w:val="00453F95"/>
    <w:rsid w:val="00455A58"/>
    <w:rsid w:val="00456675"/>
    <w:rsid w:val="00457767"/>
    <w:rsid w:val="0046002B"/>
    <w:rsid w:val="00460E90"/>
    <w:rsid w:val="00461B20"/>
    <w:rsid w:val="00461CEC"/>
    <w:rsid w:val="0046536E"/>
    <w:rsid w:val="004668C9"/>
    <w:rsid w:val="00467201"/>
    <w:rsid w:val="004729DE"/>
    <w:rsid w:val="00474044"/>
    <w:rsid w:val="004758D0"/>
    <w:rsid w:val="00476688"/>
    <w:rsid w:val="00480046"/>
    <w:rsid w:val="00483762"/>
    <w:rsid w:val="004838A2"/>
    <w:rsid w:val="004857CE"/>
    <w:rsid w:val="00486599"/>
    <w:rsid w:val="00487950"/>
    <w:rsid w:val="00490BF2"/>
    <w:rsid w:val="00491BF4"/>
    <w:rsid w:val="00492BB3"/>
    <w:rsid w:val="004A01CB"/>
    <w:rsid w:val="004A1F9A"/>
    <w:rsid w:val="004A26B2"/>
    <w:rsid w:val="004A2B24"/>
    <w:rsid w:val="004A2C69"/>
    <w:rsid w:val="004A30E4"/>
    <w:rsid w:val="004A49A6"/>
    <w:rsid w:val="004A5391"/>
    <w:rsid w:val="004B0C69"/>
    <w:rsid w:val="004B1360"/>
    <w:rsid w:val="004B154C"/>
    <w:rsid w:val="004B1820"/>
    <w:rsid w:val="004B1C43"/>
    <w:rsid w:val="004B4914"/>
    <w:rsid w:val="004B6081"/>
    <w:rsid w:val="004B7414"/>
    <w:rsid w:val="004B75AA"/>
    <w:rsid w:val="004B7F09"/>
    <w:rsid w:val="004C0002"/>
    <w:rsid w:val="004C0123"/>
    <w:rsid w:val="004C0695"/>
    <w:rsid w:val="004C0EB7"/>
    <w:rsid w:val="004C2F3A"/>
    <w:rsid w:val="004C3A17"/>
    <w:rsid w:val="004C45B7"/>
    <w:rsid w:val="004C465E"/>
    <w:rsid w:val="004C4E51"/>
    <w:rsid w:val="004C55F4"/>
    <w:rsid w:val="004C6C0B"/>
    <w:rsid w:val="004C6E6A"/>
    <w:rsid w:val="004D0001"/>
    <w:rsid w:val="004D03B8"/>
    <w:rsid w:val="004D3D69"/>
    <w:rsid w:val="004D4C5E"/>
    <w:rsid w:val="004D57F9"/>
    <w:rsid w:val="004D6561"/>
    <w:rsid w:val="004E0FB1"/>
    <w:rsid w:val="004E1028"/>
    <w:rsid w:val="004E14EB"/>
    <w:rsid w:val="004E31F4"/>
    <w:rsid w:val="004E3B45"/>
    <w:rsid w:val="004E445A"/>
    <w:rsid w:val="004E5C9A"/>
    <w:rsid w:val="004E5CE2"/>
    <w:rsid w:val="004E6395"/>
    <w:rsid w:val="004E737C"/>
    <w:rsid w:val="004F270D"/>
    <w:rsid w:val="004F412F"/>
    <w:rsid w:val="004F422A"/>
    <w:rsid w:val="004F44D6"/>
    <w:rsid w:val="004F50FD"/>
    <w:rsid w:val="004F53EF"/>
    <w:rsid w:val="004F5748"/>
    <w:rsid w:val="004F7DC1"/>
    <w:rsid w:val="00500393"/>
    <w:rsid w:val="0050193D"/>
    <w:rsid w:val="00501955"/>
    <w:rsid w:val="0050313C"/>
    <w:rsid w:val="0050400B"/>
    <w:rsid w:val="00506399"/>
    <w:rsid w:val="005068E2"/>
    <w:rsid w:val="00507BA7"/>
    <w:rsid w:val="0051375B"/>
    <w:rsid w:val="005140F9"/>
    <w:rsid w:val="00514C24"/>
    <w:rsid w:val="005155B1"/>
    <w:rsid w:val="00516093"/>
    <w:rsid w:val="0052098F"/>
    <w:rsid w:val="00521947"/>
    <w:rsid w:val="00522D12"/>
    <w:rsid w:val="00523B87"/>
    <w:rsid w:val="005240C4"/>
    <w:rsid w:val="00525B4C"/>
    <w:rsid w:val="00526785"/>
    <w:rsid w:val="00531204"/>
    <w:rsid w:val="0053146C"/>
    <w:rsid w:val="00531742"/>
    <w:rsid w:val="00532863"/>
    <w:rsid w:val="00532A24"/>
    <w:rsid w:val="00533078"/>
    <w:rsid w:val="005335D7"/>
    <w:rsid w:val="00535E4A"/>
    <w:rsid w:val="0053644C"/>
    <w:rsid w:val="005367C4"/>
    <w:rsid w:val="00537F40"/>
    <w:rsid w:val="005409AF"/>
    <w:rsid w:val="0054128D"/>
    <w:rsid w:val="005417F2"/>
    <w:rsid w:val="00542283"/>
    <w:rsid w:val="00542B88"/>
    <w:rsid w:val="00545634"/>
    <w:rsid w:val="00545D3E"/>
    <w:rsid w:val="005462D9"/>
    <w:rsid w:val="00551BD2"/>
    <w:rsid w:val="0055208E"/>
    <w:rsid w:val="00552F71"/>
    <w:rsid w:val="005550D9"/>
    <w:rsid w:val="00556021"/>
    <w:rsid w:val="00557FEE"/>
    <w:rsid w:val="005603B4"/>
    <w:rsid w:val="00560B40"/>
    <w:rsid w:val="00562C9B"/>
    <w:rsid w:val="005631EB"/>
    <w:rsid w:val="00563865"/>
    <w:rsid w:val="00564292"/>
    <w:rsid w:val="005651AC"/>
    <w:rsid w:val="005671A4"/>
    <w:rsid w:val="0056726F"/>
    <w:rsid w:val="005674C9"/>
    <w:rsid w:val="00571DCE"/>
    <w:rsid w:val="0057287C"/>
    <w:rsid w:val="0057294D"/>
    <w:rsid w:val="00572AAB"/>
    <w:rsid w:val="005747B1"/>
    <w:rsid w:val="0058000B"/>
    <w:rsid w:val="005805B7"/>
    <w:rsid w:val="005814F0"/>
    <w:rsid w:val="00582F1D"/>
    <w:rsid w:val="00584BE2"/>
    <w:rsid w:val="00584DB2"/>
    <w:rsid w:val="0058594C"/>
    <w:rsid w:val="0058753A"/>
    <w:rsid w:val="00590E99"/>
    <w:rsid w:val="00592FB6"/>
    <w:rsid w:val="0059701C"/>
    <w:rsid w:val="00597FAE"/>
    <w:rsid w:val="005A15CE"/>
    <w:rsid w:val="005A25CF"/>
    <w:rsid w:val="005A33D0"/>
    <w:rsid w:val="005A3C67"/>
    <w:rsid w:val="005A70E2"/>
    <w:rsid w:val="005B0102"/>
    <w:rsid w:val="005B06A6"/>
    <w:rsid w:val="005B2648"/>
    <w:rsid w:val="005B3321"/>
    <w:rsid w:val="005B4855"/>
    <w:rsid w:val="005B5DA4"/>
    <w:rsid w:val="005B65E1"/>
    <w:rsid w:val="005B6C5B"/>
    <w:rsid w:val="005C0A76"/>
    <w:rsid w:val="005C1FB0"/>
    <w:rsid w:val="005C218D"/>
    <w:rsid w:val="005C306F"/>
    <w:rsid w:val="005C34D0"/>
    <w:rsid w:val="005C3ACC"/>
    <w:rsid w:val="005C42F8"/>
    <w:rsid w:val="005C4AB8"/>
    <w:rsid w:val="005C52AC"/>
    <w:rsid w:val="005C5966"/>
    <w:rsid w:val="005C5DC5"/>
    <w:rsid w:val="005D243C"/>
    <w:rsid w:val="005D26A3"/>
    <w:rsid w:val="005D4F46"/>
    <w:rsid w:val="005D50B5"/>
    <w:rsid w:val="005D5C49"/>
    <w:rsid w:val="005D5D4D"/>
    <w:rsid w:val="005D5D55"/>
    <w:rsid w:val="005D7B2C"/>
    <w:rsid w:val="005D7F08"/>
    <w:rsid w:val="005E073F"/>
    <w:rsid w:val="005E25EB"/>
    <w:rsid w:val="005F16A1"/>
    <w:rsid w:val="005F38F1"/>
    <w:rsid w:val="005F38F8"/>
    <w:rsid w:val="005F3C05"/>
    <w:rsid w:val="005F4F87"/>
    <w:rsid w:val="005F7EAD"/>
    <w:rsid w:val="006006A7"/>
    <w:rsid w:val="006015C6"/>
    <w:rsid w:val="006017BB"/>
    <w:rsid w:val="00601FA6"/>
    <w:rsid w:val="006045ED"/>
    <w:rsid w:val="0060577C"/>
    <w:rsid w:val="00605FA8"/>
    <w:rsid w:val="00607387"/>
    <w:rsid w:val="006075FB"/>
    <w:rsid w:val="006079B8"/>
    <w:rsid w:val="006109E0"/>
    <w:rsid w:val="00612442"/>
    <w:rsid w:val="006128F9"/>
    <w:rsid w:val="006145D6"/>
    <w:rsid w:val="00614C8B"/>
    <w:rsid w:val="00615BAB"/>
    <w:rsid w:val="006201D0"/>
    <w:rsid w:val="00621523"/>
    <w:rsid w:val="00621E1A"/>
    <w:rsid w:val="00622506"/>
    <w:rsid w:val="0062369F"/>
    <w:rsid w:val="00623B6D"/>
    <w:rsid w:val="00623F09"/>
    <w:rsid w:val="006261C2"/>
    <w:rsid w:val="00626540"/>
    <w:rsid w:val="006310AE"/>
    <w:rsid w:val="006328EF"/>
    <w:rsid w:val="00633025"/>
    <w:rsid w:val="00633ADA"/>
    <w:rsid w:val="00634E85"/>
    <w:rsid w:val="00641E14"/>
    <w:rsid w:val="0064219A"/>
    <w:rsid w:val="006452DC"/>
    <w:rsid w:val="006456C3"/>
    <w:rsid w:val="0064664D"/>
    <w:rsid w:val="00650CFD"/>
    <w:rsid w:val="00650EE2"/>
    <w:rsid w:val="00654052"/>
    <w:rsid w:val="00654401"/>
    <w:rsid w:val="00655FDF"/>
    <w:rsid w:val="006564A8"/>
    <w:rsid w:val="00660D88"/>
    <w:rsid w:val="00660F59"/>
    <w:rsid w:val="006612D2"/>
    <w:rsid w:val="00661ACF"/>
    <w:rsid w:val="00662D25"/>
    <w:rsid w:val="00663761"/>
    <w:rsid w:val="006651EB"/>
    <w:rsid w:val="00667F96"/>
    <w:rsid w:val="006707F6"/>
    <w:rsid w:val="00672578"/>
    <w:rsid w:val="006727F7"/>
    <w:rsid w:val="00673665"/>
    <w:rsid w:val="0067413E"/>
    <w:rsid w:val="00675287"/>
    <w:rsid w:val="0067681E"/>
    <w:rsid w:val="006804D5"/>
    <w:rsid w:val="00680E05"/>
    <w:rsid w:val="006814E1"/>
    <w:rsid w:val="00681BC0"/>
    <w:rsid w:val="00682600"/>
    <w:rsid w:val="006829F3"/>
    <w:rsid w:val="00682C7B"/>
    <w:rsid w:val="00683BE6"/>
    <w:rsid w:val="00684511"/>
    <w:rsid w:val="006856FD"/>
    <w:rsid w:val="00686430"/>
    <w:rsid w:val="00686B7E"/>
    <w:rsid w:val="00690762"/>
    <w:rsid w:val="006925D0"/>
    <w:rsid w:val="00692FE8"/>
    <w:rsid w:val="00694E23"/>
    <w:rsid w:val="00696BAA"/>
    <w:rsid w:val="00697F88"/>
    <w:rsid w:val="006A075C"/>
    <w:rsid w:val="006A1812"/>
    <w:rsid w:val="006A4CCE"/>
    <w:rsid w:val="006A51FF"/>
    <w:rsid w:val="006A686A"/>
    <w:rsid w:val="006A6DBE"/>
    <w:rsid w:val="006A6E7F"/>
    <w:rsid w:val="006A7AA4"/>
    <w:rsid w:val="006B052A"/>
    <w:rsid w:val="006B4AD4"/>
    <w:rsid w:val="006B61B5"/>
    <w:rsid w:val="006B6372"/>
    <w:rsid w:val="006B757D"/>
    <w:rsid w:val="006B768D"/>
    <w:rsid w:val="006C0710"/>
    <w:rsid w:val="006C156D"/>
    <w:rsid w:val="006C16BF"/>
    <w:rsid w:val="006C21D4"/>
    <w:rsid w:val="006C2223"/>
    <w:rsid w:val="006C2CA6"/>
    <w:rsid w:val="006C51AD"/>
    <w:rsid w:val="006C5CD6"/>
    <w:rsid w:val="006C65AC"/>
    <w:rsid w:val="006C6DA1"/>
    <w:rsid w:val="006C6E6E"/>
    <w:rsid w:val="006C7FD9"/>
    <w:rsid w:val="006D0047"/>
    <w:rsid w:val="006D1DAE"/>
    <w:rsid w:val="006D2511"/>
    <w:rsid w:val="006D2B8E"/>
    <w:rsid w:val="006D50A9"/>
    <w:rsid w:val="006D5CAA"/>
    <w:rsid w:val="006D63D0"/>
    <w:rsid w:val="006E44E3"/>
    <w:rsid w:val="006E52F3"/>
    <w:rsid w:val="006E5CA4"/>
    <w:rsid w:val="006E7841"/>
    <w:rsid w:val="006E78FE"/>
    <w:rsid w:val="006F04A4"/>
    <w:rsid w:val="006F05E0"/>
    <w:rsid w:val="006F0C8C"/>
    <w:rsid w:val="006F2079"/>
    <w:rsid w:val="006F2B6C"/>
    <w:rsid w:val="006F39C0"/>
    <w:rsid w:val="006F5476"/>
    <w:rsid w:val="006F5616"/>
    <w:rsid w:val="006F580A"/>
    <w:rsid w:val="006F6217"/>
    <w:rsid w:val="006F6520"/>
    <w:rsid w:val="006F6692"/>
    <w:rsid w:val="006F7F6D"/>
    <w:rsid w:val="0070001F"/>
    <w:rsid w:val="00700767"/>
    <w:rsid w:val="00701420"/>
    <w:rsid w:val="0070262B"/>
    <w:rsid w:val="00702FB3"/>
    <w:rsid w:val="0070425E"/>
    <w:rsid w:val="007053FB"/>
    <w:rsid w:val="00705899"/>
    <w:rsid w:val="007072A9"/>
    <w:rsid w:val="007072F1"/>
    <w:rsid w:val="0071072E"/>
    <w:rsid w:val="00710B50"/>
    <w:rsid w:val="007115C1"/>
    <w:rsid w:val="00711734"/>
    <w:rsid w:val="00711904"/>
    <w:rsid w:val="00711B81"/>
    <w:rsid w:val="00713A83"/>
    <w:rsid w:val="0071624E"/>
    <w:rsid w:val="00717319"/>
    <w:rsid w:val="00717E83"/>
    <w:rsid w:val="00720CB2"/>
    <w:rsid w:val="00720F6B"/>
    <w:rsid w:val="00721740"/>
    <w:rsid w:val="00721C14"/>
    <w:rsid w:val="00721CC9"/>
    <w:rsid w:val="00723AD9"/>
    <w:rsid w:val="007250F2"/>
    <w:rsid w:val="00725214"/>
    <w:rsid w:val="00725910"/>
    <w:rsid w:val="00725DBE"/>
    <w:rsid w:val="007276C6"/>
    <w:rsid w:val="00730275"/>
    <w:rsid w:val="00730FC2"/>
    <w:rsid w:val="00732DBB"/>
    <w:rsid w:val="00732F54"/>
    <w:rsid w:val="007336CB"/>
    <w:rsid w:val="00734348"/>
    <w:rsid w:val="007346CD"/>
    <w:rsid w:val="00736356"/>
    <w:rsid w:val="00736806"/>
    <w:rsid w:val="00740078"/>
    <w:rsid w:val="007418B4"/>
    <w:rsid w:val="00742E1E"/>
    <w:rsid w:val="007432FE"/>
    <w:rsid w:val="00743418"/>
    <w:rsid w:val="00744216"/>
    <w:rsid w:val="00746062"/>
    <w:rsid w:val="0074667F"/>
    <w:rsid w:val="0074789E"/>
    <w:rsid w:val="007501E8"/>
    <w:rsid w:val="00751257"/>
    <w:rsid w:val="007526B6"/>
    <w:rsid w:val="00753E77"/>
    <w:rsid w:val="00754F44"/>
    <w:rsid w:val="00755883"/>
    <w:rsid w:val="00755D65"/>
    <w:rsid w:val="00757B4F"/>
    <w:rsid w:val="00764257"/>
    <w:rsid w:val="0076495A"/>
    <w:rsid w:val="00765A17"/>
    <w:rsid w:val="00775404"/>
    <w:rsid w:val="007763F5"/>
    <w:rsid w:val="007767CD"/>
    <w:rsid w:val="007804D8"/>
    <w:rsid w:val="00780CA4"/>
    <w:rsid w:val="00780F34"/>
    <w:rsid w:val="007810F0"/>
    <w:rsid w:val="007816E7"/>
    <w:rsid w:val="00782F67"/>
    <w:rsid w:val="007914D8"/>
    <w:rsid w:val="007914DC"/>
    <w:rsid w:val="00791DED"/>
    <w:rsid w:val="007938B5"/>
    <w:rsid w:val="0079669E"/>
    <w:rsid w:val="00796AAD"/>
    <w:rsid w:val="007978A2"/>
    <w:rsid w:val="007A0078"/>
    <w:rsid w:val="007A0AA7"/>
    <w:rsid w:val="007A0B9C"/>
    <w:rsid w:val="007A0DAA"/>
    <w:rsid w:val="007A1BA2"/>
    <w:rsid w:val="007A1D24"/>
    <w:rsid w:val="007A4045"/>
    <w:rsid w:val="007A4C51"/>
    <w:rsid w:val="007A4EA7"/>
    <w:rsid w:val="007A54D0"/>
    <w:rsid w:val="007A65F8"/>
    <w:rsid w:val="007A7D82"/>
    <w:rsid w:val="007B0C1C"/>
    <w:rsid w:val="007B3183"/>
    <w:rsid w:val="007B44C4"/>
    <w:rsid w:val="007B47DE"/>
    <w:rsid w:val="007B5A08"/>
    <w:rsid w:val="007B5B03"/>
    <w:rsid w:val="007B6CAE"/>
    <w:rsid w:val="007B7D79"/>
    <w:rsid w:val="007C003E"/>
    <w:rsid w:val="007C04FD"/>
    <w:rsid w:val="007C0E5F"/>
    <w:rsid w:val="007C1750"/>
    <w:rsid w:val="007C2050"/>
    <w:rsid w:val="007C4C9E"/>
    <w:rsid w:val="007C65AB"/>
    <w:rsid w:val="007C7CCE"/>
    <w:rsid w:val="007D1DBF"/>
    <w:rsid w:val="007D3234"/>
    <w:rsid w:val="007D3E1C"/>
    <w:rsid w:val="007D48F7"/>
    <w:rsid w:val="007D4912"/>
    <w:rsid w:val="007D58D6"/>
    <w:rsid w:val="007D7E4F"/>
    <w:rsid w:val="007D7FB3"/>
    <w:rsid w:val="007E0078"/>
    <w:rsid w:val="007E014B"/>
    <w:rsid w:val="007E1280"/>
    <w:rsid w:val="007E265B"/>
    <w:rsid w:val="007E278C"/>
    <w:rsid w:val="007E341A"/>
    <w:rsid w:val="007E44A7"/>
    <w:rsid w:val="007E46A2"/>
    <w:rsid w:val="007F2C78"/>
    <w:rsid w:val="007F31FB"/>
    <w:rsid w:val="007F3FC8"/>
    <w:rsid w:val="007F526B"/>
    <w:rsid w:val="007F542D"/>
    <w:rsid w:val="007F64D9"/>
    <w:rsid w:val="007F68DC"/>
    <w:rsid w:val="007F7713"/>
    <w:rsid w:val="008019D3"/>
    <w:rsid w:val="008039F9"/>
    <w:rsid w:val="00804F5B"/>
    <w:rsid w:val="008059CE"/>
    <w:rsid w:val="00805FDB"/>
    <w:rsid w:val="00807446"/>
    <w:rsid w:val="0080767C"/>
    <w:rsid w:val="00810155"/>
    <w:rsid w:val="00811B20"/>
    <w:rsid w:val="008128DC"/>
    <w:rsid w:val="00814249"/>
    <w:rsid w:val="00814DCC"/>
    <w:rsid w:val="00821EB9"/>
    <w:rsid w:val="0082359E"/>
    <w:rsid w:val="00823F86"/>
    <w:rsid w:val="008252DE"/>
    <w:rsid w:val="00826337"/>
    <w:rsid w:val="0082680F"/>
    <w:rsid w:val="008273B3"/>
    <w:rsid w:val="00827AC2"/>
    <w:rsid w:val="00832570"/>
    <w:rsid w:val="00832B38"/>
    <w:rsid w:val="00832D88"/>
    <w:rsid w:val="00832FB0"/>
    <w:rsid w:val="008359C6"/>
    <w:rsid w:val="00836F87"/>
    <w:rsid w:val="008410F6"/>
    <w:rsid w:val="0084129E"/>
    <w:rsid w:val="00841D4E"/>
    <w:rsid w:val="00842F40"/>
    <w:rsid w:val="0084365A"/>
    <w:rsid w:val="00843A1C"/>
    <w:rsid w:val="00850589"/>
    <w:rsid w:val="008512CF"/>
    <w:rsid w:val="00854AF3"/>
    <w:rsid w:val="00855239"/>
    <w:rsid w:val="00860FF5"/>
    <w:rsid w:val="00861691"/>
    <w:rsid w:val="0086481B"/>
    <w:rsid w:val="00866084"/>
    <w:rsid w:val="00870137"/>
    <w:rsid w:val="00870454"/>
    <w:rsid w:val="0087368C"/>
    <w:rsid w:val="00873796"/>
    <w:rsid w:val="00874AC6"/>
    <w:rsid w:val="008761D8"/>
    <w:rsid w:val="0087627E"/>
    <w:rsid w:val="00876918"/>
    <w:rsid w:val="008807CB"/>
    <w:rsid w:val="00881378"/>
    <w:rsid w:val="00882099"/>
    <w:rsid w:val="0088219A"/>
    <w:rsid w:val="008848BE"/>
    <w:rsid w:val="00887615"/>
    <w:rsid w:val="00887E68"/>
    <w:rsid w:val="00887EC3"/>
    <w:rsid w:val="00892D8E"/>
    <w:rsid w:val="00893A26"/>
    <w:rsid w:val="008958CC"/>
    <w:rsid w:val="00895970"/>
    <w:rsid w:val="00895F1C"/>
    <w:rsid w:val="00896A32"/>
    <w:rsid w:val="008A1679"/>
    <w:rsid w:val="008A205E"/>
    <w:rsid w:val="008A2158"/>
    <w:rsid w:val="008A217D"/>
    <w:rsid w:val="008A320A"/>
    <w:rsid w:val="008A57D7"/>
    <w:rsid w:val="008A59E0"/>
    <w:rsid w:val="008A608C"/>
    <w:rsid w:val="008A60F8"/>
    <w:rsid w:val="008A6E95"/>
    <w:rsid w:val="008B0117"/>
    <w:rsid w:val="008B0265"/>
    <w:rsid w:val="008B155C"/>
    <w:rsid w:val="008B3867"/>
    <w:rsid w:val="008B3AE3"/>
    <w:rsid w:val="008B57F6"/>
    <w:rsid w:val="008C0700"/>
    <w:rsid w:val="008C0791"/>
    <w:rsid w:val="008C1025"/>
    <w:rsid w:val="008C2866"/>
    <w:rsid w:val="008C3A7F"/>
    <w:rsid w:val="008C51D4"/>
    <w:rsid w:val="008C6016"/>
    <w:rsid w:val="008C713C"/>
    <w:rsid w:val="008C71C0"/>
    <w:rsid w:val="008C79AD"/>
    <w:rsid w:val="008C7F01"/>
    <w:rsid w:val="008D2AF2"/>
    <w:rsid w:val="008D4268"/>
    <w:rsid w:val="008D522F"/>
    <w:rsid w:val="008D694B"/>
    <w:rsid w:val="008D6BA1"/>
    <w:rsid w:val="008D7BD6"/>
    <w:rsid w:val="008E2FFE"/>
    <w:rsid w:val="008E51F5"/>
    <w:rsid w:val="008E566D"/>
    <w:rsid w:val="008E5DA6"/>
    <w:rsid w:val="008E7BCB"/>
    <w:rsid w:val="008F2AB1"/>
    <w:rsid w:val="008F2E78"/>
    <w:rsid w:val="008F3E78"/>
    <w:rsid w:val="008F44CD"/>
    <w:rsid w:val="00900189"/>
    <w:rsid w:val="0090097E"/>
    <w:rsid w:val="009016D8"/>
    <w:rsid w:val="00901C9D"/>
    <w:rsid w:val="00903E12"/>
    <w:rsid w:val="00903FAF"/>
    <w:rsid w:val="00904312"/>
    <w:rsid w:val="009046EF"/>
    <w:rsid w:val="0091075A"/>
    <w:rsid w:val="00910927"/>
    <w:rsid w:val="009109C6"/>
    <w:rsid w:val="00912546"/>
    <w:rsid w:val="00912639"/>
    <w:rsid w:val="00913F1E"/>
    <w:rsid w:val="00913F7F"/>
    <w:rsid w:val="0091429F"/>
    <w:rsid w:val="009142CE"/>
    <w:rsid w:val="009154F8"/>
    <w:rsid w:val="00915BE2"/>
    <w:rsid w:val="0091629B"/>
    <w:rsid w:val="00917BD2"/>
    <w:rsid w:val="009206EA"/>
    <w:rsid w:val="00922B79"/>
    <w:rsid w:val="00923C55"/>
    <w:rsid w:val="00925279"/>
    <w:rsid w:val="009256BC"/>
    <w:rsid w:val="00925BD1"/>
    <w:rsid w:val="009272C6"/>
    <w:rsid w:val="00930061"/>
    <w:rsid w:val="00933454"/>
    <w:rsid w:val="00936781"/>
    <w:rsid w:val="0093688C"/>
    <w:rsid w:val="0093766D"/>
    <w:rsid w:val="00940451"/>
    <w:rsid w:val="00940B48"/>
    <w:rsid w:val="00942C9F"/>
    <w:rsid w:val="00944B47"/>
    <w:rsid w:val="00945D8B"/>
    <w:rsid w:val="00947C7B"/>
    <w:rsid w:val="0095006E"/>
    <w:rsid w:val="00951EB7"/>
    <w:rsid w:val="00952376"/>
    <w:rsid w:val="0095275A"/>
    <w:rsid w:val="009541BB"/>
    <w:rsid w:val="009558CA"/>
    <w:rsid w:val="00955CB6"/>
    <w:rsid w:val="00956450"/>
    <w:rsid w:val="00957618"/>
    <w:rsid w:val="00965334"/>
    <w:rsid w:val="00966140"/>
    <w:rsid w:val="0096668D"/>
    <w:rsid w:val="00967A34"/>
    <w:rsid w:val="00970725"/>
    <w:rsid w:val="00971D02"/>
    <w:rsid w:val="00973119"/>
    <w:rsid w:val="009731D7"/>
    <w:rsid w:val="00973334"/>
    <w:rsid w:val="00973A9F"/>
    <w:rsid w:val="00973FA6"/>
    <w:rsid w:val="00975BBF"/>
    <w:rsid w:val="00975F3A"/>
    <w:rsid w:val="00976162"/>
    <w:rsid w:val="009774CA"/>
    <w:rsid w:val="00977D11"/>
    <w:rsid w:val="009814F3"/>
    <w:rsid w:val="00982062"/>
    <w:rsid w:val="009842C0"/>
    <w:rsid w:val="00986533"/>
    <w:rsid w:val="00987DD8"/>
    <w:rsid w:val="00991B6D"/>
    <w:rsid w:val="00991F44"/>
    <w:rsid w:val="0099530B"/>
    <w:rsid w:val="009957D2"/>
    <w:rsid w:val="00995BF7"/>
    <w:rsid w:val="009973FB"/>
    <w:rsid w:val="00997B28"/>
    <w:rsid w:val="00997D29"/>
    <w:rsid w:val="009A01D5"/>
    <w:rsid w:val="009A21A8"/>
    <w:rsid w:val="009A4085"/>
    <w:rsid w:val="009A514D"/>
    <w:rsid w:val="009B07CE"/>
    <w:rsid w:val="009B1D25"/>
    <w:rsid w:val="009B432F"/>
    <w:rsid w:val="009B4A7D"/>
    <w:rsid w:val="009B6721"/>
    <w:rsid w:val="009B69C4"/>
    <w:rsid w:val="009C2A68"/>
    <w:rsid w:val="009C38F6"/>
    <w:rsid w:val="009C4D9C"/>
    <w:rsid w:val="009C558B"/>
    <w:rsid w:val="009C56CD"/>
    <w:rsid w:val="009C6201"/>
    <w:rsid w:val="009C6480"/>
    <w:rsid w:val="009C71BB"/>
    <w:rsid w:val="009D0920"/>
    <w:rsid w:val="009D1447"/>
    <w:rsid w:val="009D17E9"/>
    <w:rsid w:val="009D38D4"/>
    <w:rsid w:val="009D3D46"/>
    <w:rsid w:val="009D5972"/>
    <w:rsid w:val="009E0E7E"/>
    <w:rsid w:val="009E273F"/>
    <w:rsid w:val="009E5C22"/>
    <w:rsid w:val="009E69CE"/>
    <w:rsid w:val="009F074E"/>
    <w:rsid w:val="009F1FE6"/>
    <w:rsid w:val="009F289A"/>
    <w:rsid w:val="009F3AD5"/>
    <w:rsid w:val="009F4D6A"/>
    <w:rsid w:val="009F5890"/>
    <w:rsid w:val="009F58FB"/>
    <w:rsid w:val="009F6D84"/>
    <w:rsid w:val="00A000F0"/>
    <w:rsid w:val="00A00383"/>
    <w:rsid w:val="00A006F4"/>
    <w:rsid w:val="00A00A68"/>
    <w:rsid w:val="00A01694"/>
    <w:rsid w:val="00A051C3"/>
    <w:rsid w:val="00A075E3"/>
    <w:rsid w:val="00A11E55"/>
    <w:rsid w:val="00A1521A"/>
    <w:rsid w:val="00A17250"/>
    <w:rsid w:val="00A21B35"/>
    <w:rsid w:val="00A221E1"/>
    <w:rsid w:val="00A225E3"/>
    <w:rsid w:val="00A231EF"/>
    <w:rsid w:val="00A2361D"/>
    <w:rsid w:val="00A314D8"/>
    <w:rsid w:val="00A31B66"/>
    <w:rsid w:val="00A33B2D"/>
    <w:rsid w:val="00A34ABE"/>
    <w:rsid w:val="00A360E8"/>
    <w:rsid w:val="00A3634B"/>
    <w:rsid w:val="00A3693D"/>
    <w:rsid w:val="00A413C1"/>
    <w:rsid w:val="00A426C6"/>
    <w:rsid w:val="00A43092"/>
    <w:rsid w:val="00A442CD"/>
    <w:rsid w:val="00A448B3"/>
    <w:rsid w:val="00A4792A"/>
    <w:rsid w:val="00A50ACA"/>
    <w:rsid w:val="00A51F29"/>
    <w:rsid w:val="00A5366E"/>
    <w:rsid w:val="00A53B1B"/>
    <w:rsid w:val="00A53DD9"/>
    <w:rsid w:val="00A5403E"/>
    <w:rsid w:val="00A56355"/>
    <w:rsid w:val="00A56998"/>
    <w:rsid w:val="00A56CF8"/>
    <w:rsid w:val="00A572D3"/>
    <w:rsid w:val="00A62FC9"/>
    <w:rsid w:val="00A653D8"/>
    <w:rsid w:val="00A65842"/>
    <w:rsid w:val="00A65D33"/>
    <w:rsid w:val="00A66FAE"/>
    <w:rsid w:val="00A6761B"/>
    <w:rsid w:val="00A713B8"/>
    <w:rsid w:val="00A718FD"/>
    <w:rsid w:val="00A71AF1"/>
    <w:rsid w:val="00A74985"/>
    <w:rsid w:val="00A7541E"/>
    <w:rsid w:val="00A81114"/>
    <w:rsid w:val="00A8167C"/>
    <w:rsid w:val="00A8223B"/>
    <w:rsid w:val="00A82C15"/>
    <w:rsid w:val="00A82DFF"/>
    <w:rsid w:val="00A834C5"/>
    <w:rsid w:val="00A91F70"/>
    <w:rsid w:val="00A94E88"/>
    <w:rsid w:val="00A95307"/>
    <w:rsid w:val="00AA31C0"/>
    <w:rsid w:val="00AA38D0"/>
    <w:rsid w:val="00AA4836"/>
    <w:rsid w:val="00AA6BC1"/>
    <w:rsid w:val="00AA7057"/>
    <w:rsid w:val="00AA7219"/>
    <w:rsid w:val="00AA7418"/>
    <w:rsid w:val="00AB0461"/>
    <w:rsid w:val="00AB088C"/>
    <w:rsid w:val="00AB10C5"/>
    <w:rsid w:val="00AB1156"/>
    <w:rsid w:val="00AB1B4C"/>
    <w:rsid w:val="00AB1B5A"/>
    <w:rsid w:val="00AB4ADC"/>
    <w:rsid w:val="00AB6130"/>
    <w:rsid w:val="00AC0177"/>
    <w:rsid w:val="00AC0B96"/>
    <w:rsid w:val="00AC137B"/>
    <w:rsid w:val="00AC1BFC"/>
    <w:rsid w:val="00AC4518"/>
    <w:rsid w:val="00AC5616"/>
    <w:rsid w:val="00AC5C49"/>
    <w:rsid w:val="00AC6236"/>
    <w:rsid w:val="00AC69F6"/>
    <w:rsid w:val="00AD0C71"/>
    <w:rsid w:val="00AD2B78"/>
    <w:rsid w:val="00AD2EA4"/>
    <w:rsid w:val="00AD744C"/>
    <w:rsid w:val="00AD78F2"/>
    <w:rsid w:val="00AE45CD"/>
    <w:rsid w:val="00AE5A5D"/>
    <w:rsid w:val="00AF1C10"/>
    <w:rsid w:val="00AF2218"/>
    <w:rsid w:val="00AF265F"/>
    <w:rsid w:val="00AF3ED2"/>
    <w:rsid w:val="00AF41C3"/>
    <w:rsid w:val="00AF6490"/>
    <w:rsid w:val="00AF79A8"/>
    <w:rsid w:val="00AF7E3C"/>
    <w:rsid w:val="00B01B2B"/>
    <w:rsid w:val="00B020BA"/>
    <w:rsid w:val="00B07CE4"/>
    <w:rsid w:val="00B07EA9"/>
    <w:rsid w:val="00B10851"/>
    <w:rsid w:val="00B1153F"/>
    <w:rsid w:val="00B11DEE"/>
    <w:rsid w:val="00B12791"/>
    <w:rsid w:val="00B1336F"/>
    <w:rsid w:val="00B13383"/>
    <w:rsid w:val="00B141B2"/>
    <w:rsid w:val="00B14326"/>
    <w:rsid w:val="00B15E66"/>
    <w:rsid w:val="00B16455"/>
    <w:rsid w:val="00B2054E"/>
    <w:rsid w:val="00B215D3"/>
    <w:rsid w:val="00B23F07"/>
    <w:rsid w:val="00B23FE7"/>
    <w:rsid w:val="00B242EC"/>
    <w:rsid w:val="00B25FAD"/>
    <w:rsid w:val="00B26B1C"/>
    <w:rsid w:val="00B27537"/>
    <w:rsid w:val="00B32ADD"/>
    <w:rsid w:val="00B358A3"/>
    <w:rsid w:val="00B36EB4"/>
    <w:rsid w:val="00B409E9"/>
    <w:rsid w:val="00B40F93"/>
    <w:rsid w:val="00B438A0"/>
    <w:rsid w:val="00B45C55"/>
    <w:rsid w:val="00B46EA5"/>
    <w:rsid w:val="00B47ACD"/>
    <w:rsid w:val="00B506B1"/>
    <w:rsid w:val="00B52247"/>
    <w:rsid w:val="00B528E4"/>
    <w:rsid w:val="00B54CF4"/>
    <w:rsid w:val="00B5506C"/>
    <w:rsid w:val="00B55F38"/>
    <w:rsid w:val="00B5663C"/>
    <w:rsid w:val="00B57AA7"/>
    <w:rsid w:val="00B57FC0"/>
    <w:rsid w:val="00B60506"/>
    <w:rsid w:val="00B6068C"/>
    <w:rsid w:val="00B61FE3"/>
    <w:rsid w:val="00B62282"/>
    <w:rsid w:val="00B62288"/>
    <w:rsid w:val="00B64BFD"/>
    <w:rsid w:val="00B64D63"/>
    <w:rsid w:val="00B64FCC"/>
    <w:rsid w:val="00B6508B"/>
    <w:rsid w:val="00B67018"/>
    <w:rsid w:val="00B67957"/>
    <w:rsid w:val="00B72272"/>
    <w:rsid w:val="00B73283"/>
    <w:rsid w:val="00B735DF"/>
    <w:rsid w:val="00B73DCB"/>
    <w:rsid w:val="00B74DD5"/>
    <w:rsid w:val="00B75253"/>
    <w:rsid w:val="00B7529F"/>
    <w:rsid w:val="00B757B4"/>
    <w:rsid w:val="00B76145"/>
    <w:rsid w:val="00B7770D"/>
    <w:rsid w:val="00B779E4"/>
    <w:rsid w:val="00B77CAD"/>
    <w:rsid w:val="00B83FAE"/>
    <w:rsid w:val="00B8677C"/>
    <w:rsid w:val="00B90561"/>
    <w:rsid w:val="00B91BAE"/>
    <w:rsid w:val="00B92326"/>
    <w:rsid w:val="00B92ADD"/>
    <w:rsid w:val="00B934FF"/>
    <w:rsid w:val="00B94493"/>
    <w:rsid w:val="00B959F9"/>
    <w:rsid w:val="00B96810"/>
    <w:rsid w:val="00BA58EE"/>
    <w:rsid w:val="00BA6E69"/>
    <w:rsid w:val="00BA7095"/>
    <w:rsid w:val="00BB0A2C"/>
    <w:rsid w:val="00BB1548"/>
    <w:rsid w:val="00BB2B61"/>
    <w:rsid w:val="00BB3BB9"/>
    <w:rsid w:val="00BB3E56"/>
    <w:rsid w:val="00BB592E"/>
    <w:rsid w:val="00BB5ED5"/>
    <w:rsid w:val="00BB6D64"/>
    <w:rsid w:val="00BB7647"/>
    <w:rsid w:val="00BC07E6"/>
    <w:rsid w:val="00BC08A6"/>
    <w:rsid w:val="00BC24D7"/>
    <w:rsid w:val="00BC3FFC"/>
    <w:rsid w:val="00BC53B2"/>
    <w:rsid w:val="00BC5EE4"/>
    <w:rsid w:val="00BC693C"/>
    <w:rsid w:val="00BC7A52"/>
    <w:rsid w:val="00BD0B39"/>
    <w:rsid w:val="00BD0E03"/>
    <w:rsid w:val="00BD1294"/>
    <w:rsid w:val="00BD2A35"/>
    <w:rsid w:val="00BD35A7"/>
    <w:rsid w:val="00BD5EC5"/>
    <w:rsid w:val="00BD725B"/>
    <w:rsid w:val="00BE0388"/>
    <w:rsid w:val="00BE066D"/>
    <w:rsid w:val="00BE08DC"/>
    <w:rsid w:val="00BE205B"/>
    <w:rsid w:val="00BE2CC6"/>
    <w:rsid w:val="00BE2E62"/>
    <w:rsid w:val="00BE317C"/>
    <w:rsid w:val="00BE3387"/>
    <w:rsid w:val="00BE69EB"/>
    <w:rsid w:val="00BF0231"/>
    <w:rsid w:val="00BF0886"/>
    <w:rsid w:val="00BF2246"/>
    <w:rsid w:val="00BF2649"/>
    <w:rsid w:val="00BF4212"/>
    <w:rsid w:val="00BF4FCD"/>
    <w:rsid w:val="00BF5175"/>
    <w:rsid w:val="00BF56A9"/>
    <w:rsid w:val="00BF605D"/>
    <w:rsid w:val="00BF7907"/>
    <w:rsid w:val="00C00EBA"/>
    <w:rsid w:val="00C016E1"/>
    <w:rsid w:val="00C031B3"/>
    <w:rsid w:val="00C037F8"/>
    <w:rsid w:val="00C05AE6"/>
    <w:rsid w:val="00C10901"/>
    <w:rsid w:val="00C12CC7"/>
    <w:rsid w:val="00C15D0E"/>
    <w:rsid w:val="00C2059F"/>
    <w:rsid w:val="00C216AF"/>
    <w:rsid w:val="00C22CFF"/>
    <w:rsid w:val="00C23B0A"/>
    <w:rsid w:val="00C245E3"/>
    <w:rsid w:val="00C263B8"/>
    <w:rsid w:val="00C26D7A"/>
    <w:rsid w:val="00C37121"/>
    <w:rsid w:val="00C37DF2"/>
    <w:rsid w:val="00C40DD4"/>
    <w:rsid w:val="00C41050"/>
    <w:rsid w:val="00C41AA7"/>
    <w:rsid w:val="00C42150"/>
    <w:rsid w:val="00C42955"/>
    <w:rsid w:val="00C42FBB"/>
    <w:rsid w:val="00C438C4"/>
    <w:rsid w:val="00C43D43"/>
    <w:rsid w:val="00C440D2"/>
    <w:rsid w:val="00C4453F"/>
    <w:rsid w:val="00C45895"/>
    <w:rsid w:val="00C45BA0"/>
    <w:rsid w:val="00C45F50"/>
    <w:rsid w:val="00C4696D"/>
    <w:rsid w:val="00C46A02"/>
    <w:rsid w:val="00C471C9"/>
    <w:rsid w:val="00C47D8A"/>
    <w:rsid w:val="00C50549"/>
    <w:rsid w:val="00C52763"/>
    <w:rsid w:val="00C53833"/>
    <w:rsid w:val="00C53B21"/>
    <w:rsid w:val="00C5707D"/>
    <w:rsid w:val="00C5727D"/>
    <w:rsid w:val="00C57660"/>
    <w:rsid w:val="00C57A70"/>
    <w:rsid w:val="00C57FE7"/>
    <w:rsid w:val="00C629FC"/>
    <w:rsid w:val="00C64F31"/>
    <w:rsid w:val="00C656C0"/>
    <w:rsid w:val="00C66198"/>
    <w:rsid w:val="00C6640B"/>
    <w:rsid w:val="00C7092C"/>
    <w:rsid w:val="00C727D1"/>
    <w:rsid w:val="00C73D2D"/>
    <w:rsid w:val="00C77E00"/>
    <w:rsid w:val="00C812AE"/>
    <w:rsid w:val="00C81686"/>
    <w:rsid w:val="00C83A5B"/>
    <w:rsid w:val="00C8658F"/>
    <w:rsid w:val="00C871D5"/>
    <w:rsid w:val="00C8748D"/>
    <w:rsid w:val="00C90776"/>
    <w:rsid w:val="00C90D3D"/>
    <w:rsid w:val="00C92FD8"/>
    <w:rsid w:val="00C960A8"/>
    <w:rsid w:val="00C96674"/>
    <w:rsid w:val="00C96E2E"/>
    <w:rsid w:val="00CA230E"/>
    <w:rsid w:val="00CA27FF"/>
    <w:rsid w:val="00CA54FD"/>
    <w:rsid w:val="00CA753D"/>
    <w:rsid w:val="00CA7BCC"/>
    <w:rsid w:val="00CB2374"/>
    <w:rsid w:val="00CB40DB"/>
    <w:rsid w:val="00CB527B"/>
    <w:rsid w:val="00CC025D"/>
    <w:rsid w:val="00CC02C0"/>
    <w:rsid w:val="00CC2E08"/>
    <w:rsid w:val="00CC3469"/>
    <w:rsid w:val="00CC3750"/>
    <w:rsid w:val="00CC4A2F"/>
    <w:rsid w:val="00CC4E88"/>
    <w:rsid w:val="00CC5350"/>
    <w:rsid w:val="00CD00CB"/>
    <w:rsid w:val="00CD06FE"/>
    <w:rsid w:val="00CD0908"/>
    <w:rsid w:val="00CD2AD7"/>
    <w:rsid w:val="00CD349C"/>
    <w:rsid w:val="00CD459F"/>
    <w:rsid w:val="00CE0097"/>
    <w:rsid w:val="00CE0FEC"/>
    <w:rsid w:val="00CE20A9"/>
    <w:rsid w:val="00CE596E"/>
    <w:rsid w:val="00CE78C5"/>
    <w:rsid w:val="00CE7CE0"/>
    <w:rsid w:val="00CF03DF"/>
    <w:rsid w:val="00CF1045"/>
    <w:rsid w:val="00CF1950"/>
    <w:rsid w:val="00CF2AC6"/>
    <w:rsid w:val="00CF4935"/>
    <w:rsid w:val="00CF7D78"/>
    <w:rsid w:val="00CF7F99"/>
    <w:rsid w:val="00D01597"/>
    <w:rsid w:val="00D01627"/>
    <w:rsid w:val="00D021C1"/>
    <w:rsid w:val="00D027BD"/>
    <w:rsid w:val="00D0409B"/>
    <w:rsid w:val="00D05624"/>
    <w:rsid w:val="00D10B6B"/>
    <w:rsid w:val="00D12C7C"/>
    <w:rsid w:val="00D14C96"/>
    <w:rsid w:val="00D15B73"/>
    <w:rsid w:val="00D16445"/>
    <w:rsid w:val="00D16598"/>
    <w:rsid w:val="00D21265"/>
    <w:rsid w:val="00D217AC"/>
    <w:rsid w:val="00D232F2"/>
    <w:rsid w:val="00D236BD"/>
    <w:rsid w:val="00D24194"/>
    <w:rsid w:val="00D2712E"/>
    <w:rsid w:val="00D32475"/>
    <w:rsid w:val="00D3323B"/>
    <w:rsid w:val="00D33D0E"/>
    <w:rsid w:val="00D37FF0"/>
    <w:rsid w:val="00D42B4D"/>
    <w:rsid w:val="00D4337B"/>
    <w:rsid w:val="00D44743"/>
    <w:rsid w:val="00D46265"/>
    <w:rsid w:val="00D47557"/>
    <w:rsid w:val="00D477D8"/>
    <w:rsid w:val="00D47C79"/>
    <w:rsid w:val="00D47D92"/>
    <w:rsid w:val="00D50794"/>
    <w:rsid w:val="00D5452B"/>
    <w:rsid w:val="00D54688"/>
    <w:rsid w:val="00D54A5A"/>
    <w:rsid w:val="00D54FD8"/>
    <w:rsid w:val="00D55B05"/>
    <w:rsid w:val="00D55C01"/>
    <w:rsid w:val="00D55DC6"/>
    <w:rsid w:val="00D562FF"/>
    <w:rsid w:val="00D57107"/>
    <w:rsid w:val="00D61885"/>
    <w:rsid w:val="00D6526B"/>
    <w:rsid w:val="00D67413"/>
    <w:rsid w:val="00D707E8"/>
    <w:rsid w:val="00D70BC2"/>
    <w:rsid w:val="00D72742"/>
    <w:rsid w:val="00D742A1"/>
    <w:rsid w:val="00D74638"/>
    <w:rsid w:val="00D74A02"/>
    <w:rsid w:val="00D75905"/>
    <w:rsid w:val="00D7639D"/>
    <w:rsid w:val="00D76E3D"/>
    <w:rsid w:val="00D7745A"/>
    <w:rsid w:val="00D81304"/>
    <w:rsid w:val="00D81F4B"/>
    <w:rsid w:val="00D84EFC"/>
    <w:rsid w:val="00D85679"/>
    <w:rsid w:val="00D8727F"/>
    <w:rsid w:val="00D9088D"/>
    <w:rsid w:val="00D90E2B"/>
    <w:rsid w:val="00D92214"/>
    <w:rsid w:val="00D93C48"/>
    <w:rsid w:val="00D95872"/>
    <w:rsid w:val="00D95E8B"/>
    <w:rsid w:val="00D95FA3"/>
    <w:rsid w:val="00DA0716"/>
    <w:rsid w:val="00DA0976"/>
    <w:rsid w:val="00DA0C59"/>
    <w:rsid w:val="00DA1687"/>
    <w:rsid w:val="00DA16A5"/>
    <w:rsid w:val="00DA2003"/>
    <w:rsid w:val="00DA55E0"/>
    <w:rsid w:val="00DA6B80"/>
    <w:rsid w:val="00DA7716"/>
    <w:rsid w:val="00DA7EF3"/>
    <w:rsid w:val="00DB110E"/>
    <w:rsid w:val="00DB24E3"/>
    <w:rsid w:val="00DB35EB"/>
    <w:rsid w:val="00DB4AC0"/>
    <w:rsid w:val="00DC0F71"/>
    <w:rsid w:val="00DC1D35"/>
    <w:rsid w:val="00DC2569"/>
    <w:rsid w:val="00DC290B"/>
    <w:rsid w:val="00DC2BAA"/>
    <w:rsid w:val="00DC450E"/>
    <w:rsid w:val="00DC4B87"/>
    <w:rsid w:val="00DC5CD8"/>
    <w:rsid w:val="00DC6F6D"/>
    <w:rsid w:val="00DC7089"/>
    <w:rsid w:val="00DC71FD"/>
    <w:rsid w:val="00DC7465"/>
    <w:rsid w:val="00DD0246"/>
    <w:rsid w:val="00DD0389"/>
    <w:rsid w:val="00DD1BF5"/>
    <w:rsid w:val="00DD2715"/>
    <w:rsid w:val="00DD27B9"/>
    <w:rsid w:val="00DD4A24"/>
    <w:rsid w:val="00DD5554"/>
    <w:rsid w:val="00DD5D80"/>
    <w:rsid w:val="00DD67CC"/>
    <w:rsid w:val="00DE082E"/>
    <w:rsid w:val="00DE0FD8"/>
    <w:rsid w:val="00DE1E79"/>
    <w:rsid w:val="00DE2ED1"/>
    <w:rsid w:val="00DE2FE2"/>
    <w:rsid w:val="00DE2FE7"/>
    <w:rsid w:val="00DE4029"/>
    <w:rsid w:val="00DE4B2B"/>
    <w:rsid w:val="00DF1898"/>
    <w:rsid w:val="00DF1A5D"/>
    <w:rsid w:val="00DF38E9"/>
    <w:rsid w:val="00DF7833"/>
    <w:rsid w:val="00E014A0"/>
    <w:rsid w:val="00E03921"/>
    <w:rsid w:val="00E0394E"/>
    <w:rsid w:val="00E03D7D"/>
    <w:rsid w:val="00E042BA"/>
    <w:rsid w:val="00E05590"/>
    <w:rsid w:val="00E05A16"/>
    <w:rsid w:val="00E05E25"/>
    <w:rsid w:val="00E06E59"/>
    <w:rsid w:val="00E113C0"/>
    <w:rsid w:val="00E12998"/>
    <w:rsid w:val="00E12B26"/>
    <w:rsid w:val="00E12F66"/>
    <w:rsid w:val="00E1381D"/>
    <w:rsid w:val="00E1537B"/>
    <w:rsid w:val="00E15E83"/>
    <w:rsid w:val="00E15FC8"/>
    <w:rsid w:val="00E16ADE"/>
    <w:rsid w:val="00E16F17"/>
    <w:rsid w:val="00E1737C"/>
    <w:rsid w:val="00E2157C"/>
    <w:rsid w:val="00E218CD"/>
    <w:rsid w:val="00E22D65"/>
    <w:rsid w:val="00E232AB"/>
    <w:rsid w:val="00E238DD"/>
    <w:rsid w:val="00E24293"/>
    <w:rsid w:val="00E24F00"/>
    <w:rsid w:val="00E25163"/>
    <w:rsid w:val="00E26665"/>
    <w:rsid w:val="00E2716A"/>
    <w:rsid w:val="00E276DE"/>
    <w:rsid w:val="00E27DB2"/>
    <w:rsid w:val="00E3322C"/>
    <w:rsid w:val="00E35ED1"/>
    <w:rsid w:val="00E371F9"/>
    <w:rsid w:val="00E3756D"/>
    <w:rsid w:val="00E37F60"/>
    <w:rsid w:val="00E4012C"/>
    <w:rsid w:val="00E40B61"/>
    <w:rsid w:val="00E4118A"/>
    <w:rsid w:val="00E43649"/>
    <w:rsid w:val="00E44480"/>
    <w:rsid w:val="00E4455D"/>
    <w:rsid w:val="00E45686"/>
    <w:rsid w:val="00E47FDE"/>
    <w:rsid w:val="00E50B03"/>
    <w:rsid w:val="00E50B40"/>
    <w:rsid w:val="00E51560"/>
    <w:rsid w:val="00E51E1D"/>
    <w:rsid w:val="00E55DC9"/>
    <w:rsid w:val="00E55DED"/>
    <w:rsid w:val="00E571C1"/>
    <w:rsid w:val="00E60C75"/>
    <w:rsid w:val="00E62F3A"/>
    <w:rsid w:val="00E6623F"/>
    <w:rsid w:val="00E665FA"/>
    <w:rsid w:val="00E6687A"/>
    <w:rsid w:val="00E70410"/>
    <w:rsid w:val="00E70D44"/>
    <w:rsid w:val="00E710DC"/>
    <w:rsid w:val="00E71E87"/>
    <w:rsid w:val="00E74608"/>
    <w:rsid w:val="00E75F54"/>
    <w:rsid w:val="00E767A8"/>
    <w:rsid w:val="00E773F2"/>
    <w:rsid w:val="00E777A0"/>
    <w:rsid w:val="00E815C6"/>
    <w:rsid w:val="00E83A30"/>
    <w:rsid w:val="00E864F3"/>
    <w:rsid w:val="00E86A5E"/>
    <w:rsid w:val="00E90EF9"/>
    <w:rsid w:val="00E9134C"/>
    <w:rsid w:val="00E91766"/>
    <w:rsid w:val="00E9261D"/>
    <w:rsid w:val="00E92B64"/>
    <w:rsid w:val="00E93E07"/>
    <w:rsid w:val="00E96BEB"/>
    <w:rsid w:val="00E97DE1"/>
    <w:rsid w:val="00EA0121"/>
    <w:rsid w:val="00EA167D"/>
    <w:rsid w:val="00EA47C4"/>
    <w:rsid w:val="00EA519B"/>
    <w:rsid w:val="00EA71CE"/>
    <w:rsid w:val="00EB0913"/>
    <w:rsid w:val="00EB1523"/>
    <w:rsid w:val="00EB1599"/>
    <w:rsid w:val="00EB6070"/>
    <w:rsid w:val="00EB6F17"/>
    <w:rsid w:val="00EB70CA"/>
    <w:rsid w:val="00EB7444"/>
    <w:rsid w:val="00EB77E9"/>
    <w:rsid w:val="00EC3173"/>
    <w:rsid w:val="00EC54D4"/>
    <w:rsid w:val="00EC673E"/>
    <w:rsid w:val="00EC7EB6"/>
    <w:rsid w:val="00ED1221"/>
    <w:rsid w:val="00ED58CE"/>
    <w:rsid w:val="00ED6E12"/>
    <w:rsid w:val="00EE0178"/>
    <w:rsid w:val="00EE0428"/>
    <w:rsid w:val="00EE1183"/>
    <w:rsid w:val="00EE1370"/>
    <w:rsid w:val="00EE1534"/>
    <w:rsid w:val="00EE32AC"/>
    <w:rsid w:val="00EE3389"/>
    <w:rsid w:val="00EE3B84"/>
    <w:rsid w:val="00EE557C"/>
    <w:rsid w:val="00EE55BB"/>
    <w:rsid w:val="00EE6900"/>
    <w:rsid w:val="00EE704B"/>
    <w:rsid w:val="00EE7B4E"/>
    <w:rsid w:val="00EF2548"/>
    <w:rsid w:val="00EF2886"/>
    <w:rsid w:val="00EF2C93"/>
    <w:rsid w:val="00EF3194"/>
    <w:rsid w:val="00EF3581"/>
    <w:rsid w:val="00EF5237"/>
    <w:rsid w:val="00EF54CC"/>
    <w:rsid w:val="00EF5D9E"/>
    <w:rsid w:val="00F0045D"/>
    <w:rsid w:val="00F00B41"/>
    <w:rsid w:val="00F017AF"/>
    <w:rsid w:val="00F032D1"/>
    <w:rsid w:val="00F03F43"/>
    <w:rsid w:val="00F05B07"/>
    <w:rsid w:val="00F10852"/>
    <w:rsid w:val="00F1087F"/>
    <w:rsid w:val="00F10931"/>
    <w:rsid w:val="00F11158"/>
    <w:rsid w:val="00F116E4"/>
    <w:rsid w:val="00F11E25"/>
    <w:rsid w:val="00F12C7F"/>
    <w:rsid w:val="00F13080"/>
    <w:rsid w:val="00F1457F"/>
    <w:rsid w:val="00F15319"/>
    <w:rsid w:val="00F20883"/>
    <w:rsid w:val="00F2278E"/>
    <w:rsid w:val="00F22825"/>
    <w:rsid w:val="00F22AFA"/>
    <w:rsid w:val="00F24BF4"/>
    <w:rsid w:val="00F25D03"/>
    <w:rsid w:val="00F26453"/>
    <w:rsid w:val="00F30FA7"/>
    <w:rsid w:val="00F33859"/>
    <w:rsid w:val="00F362FE"/>
    <w:rsid w:val="00F40C11"/>
    <w:rsid w:val="00F428A1"/>
    <w:rsid w:val="00F438F9"/>
    <w:rsid w:val="00F51B77"/>
    <w:rsid w:val="00F520DD"/>
    <w:rsid w:val="00F538F2"/>
    <w:rsid w:val="00F54161"/>
    <w:rsid w:val="00F57AFF"/>
    <w:rsid w:val="00F57CCF"/>
    <w:rsid w:val="00F61104"/>
    <w:rsid w:val="00F62BF3"/>
    <w:rsid w:val="00F62D10"/>
    <w:rsid w:val="00F6337E"/>
    <w:rsid w:val="00F6476E"/>
    <w:rsid w:val="00F65EA9"/>
    <w:rsid w:val="00F65F6C"/>
    <w:rsid w:val="00F670BB"/>
    <w:rsid w:val="00F6768C"/>
    <w:rsid w:val="00F703E5"/>
    <w:rsid w:val="00F70EC3"/>
    <w:rsid w:val="00F718AD"/>
    <w:rsid w:val="00F72209"/>
    <w:rsid w:val="00F75008"/>
    <w:rsid w:val="00F75C6B"/>
    <w:rsid w:val="00F7644D"/>
    <w:rsid w:val="00F77AFA"/>
    <w:rsid w:val="00F80DA9"/>
    <w:rsid w:val="00F859F2"/>
    <w:rsid w:val="00F86E48"/>
    <w:rsid w:val="00F8742F"/>
    <w:rsid w:val="00F878AF"/>
    <w:rsid w:val="00F908A0"/>
    <w:rsid w:val="00F90FA1"/>
    <w:rsid w:val="00F91765"/>
    <w:rsid w:val="00F9236B"/>
    <w:rsid w:val="00F92F1F"/>
    <w:rsid w:val="00F94CA5"/>
    <w:rsid w:val="00F953C3"/>
    <w:rsid w:val="00F9586F"/>
    <w:rsid w:val="00F959C0"/>
    <w:rsid w:val="00F96316"/>
    <w:rsid w:val="00F96A3E"/>
    <w:rsid w:val="00F96CEC"/>
    <w:rsid w:val="00F979D5"/>
    <w:rsid w:val="00F97EC7"/>
    <w:rsid w:val="00FA06C7"/>
    <w:rsid w:val="00FA107B"/>
    <w:rsid w:val="00FA1B3F"/>
    <w:rsid w:val="00FA422C"/>
    <w:rsid w:val="00FA5DD8"/>
    <w:rsid w:val="00FA5F1B"/>
    <w:rsid w:val="00FA6CBD"/>
    <w:rsid w:val="00FA6F9B"/>
    <w:rsid w:val="00FA7E2B"/>
    <w:rsid w:val="00FB02E8"/>
    <w:rsid w:val="00FB077F"/>
    <w:rsid w:val="00FB1690"/>
    <w:rsid w:val="00FB2D24"/>
    <w:rsid w:val="00FB2F8A"/>
    <w:rsid w:val="00FB4CA1"/>
    <w:rsid w:val="00FB50F0"/>
    <w:rsid w:val="00FB5663"/>
    <w:rsid w:val="00FB68CF"/>
    <w:rsid w:val="00FB75D6"/>
    <w:rsid w:val="00FC0C91"/>
    <w:rsid w:val="00FC0FE6"/>
    <w:rsid w:val="00FC6434"/>
    <w:rsid w:val="00FC71D7"/>
    <w:rsid w:val="00FC77C3"/>
    <w:rsid w:val="00FC7A22"/>
    <w:rsid w:val="00FD2DC4"/>
    <w:rsid w:val="00FD4FCD"/>
    <w:rsid w:val="00FD56CB"/>
    <w:rsid w:val="00FD6104"/>
    <w:rsid w:val="00FD675F"/>
    <w:rsid w:val="00FE0709"/>
    <w:rsid w:val="00FE10BF"/>
    <w:rsid w:val="00FE4845"/>
    <w:rsid w:val="00FE79D3"/>
    <w:rsid w:val="00FF171F"/>
    <w:rsid w:val="00FF1C23"/>
    <w:rsid w:val="00FF24FE"/>
    <w:rsid w:val="00FF2888"/>
    <w:rsid w:val="00FF2A42"/>
    <w:rsid w:val="00FF503D"/>
    <w:rsid w:val="00FF632D"/>
    <w:rsid w:val="00FF782F"/>
    <w:rsid w:val="03C90AEC"/>
    <w:rsid w:val="06EC028C"/>
    <w:rsid w:val="0C2327BA"/>
    <w:rsid w:val="0D314F2D"/>
    <w:rsid w:val="17D336D0"/>
    <w:rsid w:val="19EB1F83"/>
    <w:rsid w:val="1E551BFF"/>
    <w:rsid w:val="393E581A"/>
    <w:rsid w:val="4D9033A2"/>
    <w:rsid w:val="4F5B6CC0"/>
    <w:rsid w:val="54BD6FF9"/>
    <w:rsid w:val="5C115BCB"/>
    <w:rsid w:val="61C14C06"/>
    <w:rsid w:val="626C5880"/>
    <w:rsid w:val="6FDD600F"/>
    <w:rsid w:val="7A8803AF"/>
    <w:rsid w:val="7C472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78E"/>
    <w:pPr>
      <w:widowControl w:val="0"/>
      <w:jc w:val="both"/>
    </w:pPr>
    <w:rPr>
      <w:rFonts w:ascii="Calibri" w:hAnsi="Calibri" w:cs="宋体"/>
      <w:kern w:val="2"/>
      <w:sz w:val="21"/>
      <w:szCs w:val="21"/>
    </w:rPr>
  </w:style>
  <w:style w:type="paragraph" w:styleId="10">
    <w:name w:val="heading 1"/>
    <w:basedOn w:val="a"/>
    <w:next w:val="a"/>
    <w:link w:val="1Char"/>
    <w:uiPriority w:val="9"/>
    <w:qFormat/>
    <w:rsid w:val="00F2278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Char"/>
    <w:uiPriority w:val="9"/>
    <w:semiHidden/>
    <w:unhideWhenUsed/>
    <w:qFormat/>
    <w:rsid w:val="00F2278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F2278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F2278E"/>
    <w:pPr>
      <w:ind w:firstLineChars="200" w:firstLine="600"/>
    </w:pPr>
    <w:rPr>
      <w:rFonts w:ascii="Times New Roman" w:eastAsia="仿宋_GB2312" w:hAnsi="Times New Roman" w:cs="Times New Roman"/>
      <w:sz w:val="30"/>
      <w:szCs w:val="24"/>
    </w:rPr>
  </w:style>
  <w:style w:type="paragraph" w:styleId="a4">
    <w:name w:val="footer"/>
    <w:basedOn w:val="a"/>
    <w:link w:val="Char0"/>
    <w:uiPriority w:val="99"/>
    <w:unhideWhenUsed/>
    <w:qFormat/>
    <w:rsid w:val="00F227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F227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F2278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7">
    <w:name w:val="Emphasis"/>
    <w:basedOn w:val="a0"/>
    <w:uiPriority w:val="20"/>
    <w:qFormat/>
    <w:rsid w:val="00F2278E"/>
    <w:rPr>
      <w:i/>
      <w:iCs/>
    </w:rPr>
  </w:style>
  <w:style w:type="character" w:customStyle="1" w:styleId="Char1">
    <w:name w:val="页眉 Char"/>
    <w:basedOn w:val="a0"/>
    <w:link w:val="a5"/>
    <w:qFormat/>
    <w:rsid w:val="00F2278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2278E"/>
    <w:rPr>
      <w:sz w:val="18"/>
      <w:szCs w:val="18"/>
    </w:rPr>
  </w:style>
  <w:style w:type="character" w:customStyle="1" w:styleId="first-child">
    <w:name w:val="first-child"/>
    <w:basedOn w:val="a0"/>
    <w:qFormat/>
    <w:rsid w:val="00F2278E"/>
    <w:rPr>
      <w:rFonts w:ascii="Times New Roman" w:eastAsia="黑体" w:hAnsi="Times New Roman"/>
      <w:sz w:val="21"/>
    </w:rPr>
  </w:style>
  <w:style w:type="character" w:customStyle="1" w:styleId="ic3">
    <w:name w:val="i_c3"/>
    <w:basedOn w:val="a0"/>
    <w:qFormat/>
    <w:rsid w:val="00F2278E"/>
    <w:rPr>
      <w:rFonts w:ascii="Times New Roman" w:eastAsia="仿宋_GB2312" w:hAnsi="Times New Roman"/>
      <w:b/>
    </w:rPr>
  </w:style>
  <w:style w:type="character" w:customStyle="1" w:styleId="ic31">
    <w:name w:val="i_c31"/>
    <w:basedOn w:val="a0"/>
    <w:qFormat/>
    <w:rsid w:val="00F2278E"/>
    <w:rPr>
      <w:rFonts w:ascii="Times New Roman" w:eastAsia="仿宋_GB2312" w:hAnsi="Times New Roman"/>
    </w:rPr>
  </w:style>
  <w:style w:type="paragraph" w:styleId="a8">
    <w:name w:val="List Paragraph"/>
    <w:basedOn w:val="a"/>
    <w:uiPriority w:val="34"/>
    <w:qFormat/>
    <w:rsid w:val="00F2278E"/>
    <w:pPr>
      <w:ind w:firstLineChars="200" w:firstLine="420"/>
    </w:pPr>
  </w:style>
  <w:style w:type="character" w:customStyle="1" w:styleId="Char">
    <w:name w:val="正文文本缩进 Char"/>
    <w:basedOn w:val="a0"/>
    <w:link w:val="a3"/>
    <w:qFormat/>
    <w:rsid w:val="00F2278E"/>
    <w:rPr>
      <w:rFonts w:ascii="Times New Roman" w:eastAsia="仿宋_GB2312" w:hAnsi="Times New Roman" w:cs="Times New Roman"/>
      <w:sz w:val="30"/>
      <w:szCs w:val="24"/>
    </w:rPr>
  </w:style>
  <w:style w:type="paragraph" w:customStyle="1" w:styleId="1">
    <w:name w:val="样式1"/>
    <w:basedOn w:val="10"/>
    <w:next w:val="a3"/>
    <w:qFormat/>
    <w:rsid w:val="00F2278E"/>
    <w:pPr>
      <w:widowControl/>
      <w:numPr>
        <w:numId w:val="1"/>
      </w:numPr>
      <w:spacing w:beforeLines="100" w:afterLines="50" w:line="560" w:lineRule="exact"/>
      <w:ind w:firstLineChars="200" w:firstLine="200"/>
      <w:jc w:val="center"/>
    </w:pPr>
    <w:rPr>
      <w:rFonts w:eastAsia="黑体" w:cs="Times New Roman"/>
      <w:b w:val="0"/>
      <w:sz w:val="32"/>
    </w:rPr>
  </w:style>
  <w:style w:type="paragraph" w:customStyle="1" w:styleId="2">
    <w:name w:val="样式2"/>
    <w:basedOn w:val="20"/>
    <w:link w:val="2Char0"/>
    <w:qFormat/>
    <w:rsid w:val="00F2278E"/>
    <w:pPr>
      <w:widowControl/>
      <w:numPr>
        <w:ilvl w:val="1"/>
        <w:numId w:val="1"/>
      </w:numPr>
      <w:spacing w:before="0" w:after="0" w:line="530" w:lineRule="exact"/>
      <w:jc w:val="left"/>
    </w:pPr>
    <w:rPr>
      <w:rFonts w:ascii="Cambria" w:eastAsia="楷体_GB2312" w:hAnsi="Cambria" w:cs="Times New Roman"/>
    </w:rPr>
  </w:style>
  <w:style w:type="character" w:customStyle="1" w:styleId="2Char0">
    <w:name w:val="样式2 Char"/>
    <w:basedOn w:val="2Char"/>
    <w:link w:val="2"/>
    <w:qFormat/>
    <w:rsid w:val="00F2278E"/>
    <w:rPr>
      <w:rFonts w:ascii="Cambria" w:eastAsia="楷体_GB2312" w:hAnsi="Cambria" w:cs="Times New Roman"/>
    </w:rPr>
  </w:style>
  <w:style w:type="character" w:customStyle="1" w:styleId="2Char">
    <w:name w:val="标题 2 Char"/>
    <w:basedOn w:val="a0"/>
    <w:link w:val="20"/>
    <w:uiPriority w:val="9"/>
    <w:semiHidden/>
    <w:qFormat/>
    <w:rsid w:val="00F2278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0"/>
    <w:uiPriority w:val="9"/>
    <w:qFormat/>
    <w:rsid w:val="00F2278E"/>
    <w:rPr>
      <w:rFonts w:ascii="Calibri" w:eastAsia="宋体" w:hAnsi="Calibri" w:cs="宋体"/>
      <w:b/>
      <w:bCs/>
      <w:kern w:val="44"/>
      <w:sz w:val="44"/>
      <w:szCs w:val="44"/>
    </w:rPr>
  </w:style>
  <w:style w:type="character" w:customStyle="1" w:styleId="4Char">
    <w:name w:val="标题 4 Char"/>
    <w:basedOn w:val="a0"/>
    <w:link w:val="4"/>
    <w:uiPriority w:val="9"/>
    <w:qFormat/>
    <w:rsid w:val="00F2278E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9">
    <w:name w:val="Balloon Text"/>
    <w:basedOn w:val="a"/>
    <w:link w:val="Char2"/>
    <w:uiPriority w:val="99"/>
    <w:semiHidden/>
    <w:unhideWhenUsed/>
    <w:rsid w:val="0050193D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50193D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3C1DC4F-C725-455D-B749-B03382DB42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1178</Words>
  <Characters>6717</Characters>
  <Application>Microsoft Office Word</Application>
  <DocSecurity>0</DocSecurity>
  <Lines>55</Lines>
  <Paragraphs>15</Paragraphs>
  <ScaleCrop>false</ScaleCrop>
  <Company>Microsoft China</Company>
  <LinksUpToDate>false</LinksUpToDate>
  <CharactersWithSpaces>7880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wangzj</dc:creator>
  <cp:lastModifiedBy>hejw</cp:lastModifiedBy>
  <cp:revision>184</cp:revision>
  <cp:lastPrinted>2021-12-28T05:45:00Z</cp:lastPrinted>
  <dcterms:created xsi:type="dcterms:W3CDTF">2020-12-08T10:13:00Z</dcterms:created>
  <dcterms:modified xsi:type="dcterms:W3CDTF">2022-01-29T01:12:00Z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5B448BCE103A4BA3892168DEF053939A</vt:lpwstr>
  </property>
</Properties>
</file>