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4C" w:rsidRDefault="00B051BA" w:rsidP="00152420">
      <w:pPr>
        <w:jc w:val="center"/>
        <w:rPr>
          <w:rFonts w:ascii="宋体" w:eastAsia="宋体" w:hAnsi="宋体" w:cs="宋体"/>
          <w:b/>
          <w:bCs/>
          <w:color w:val="333333"/>
          <w:kern w:val="0"/>
          <w:sz w:val="44"/>
          <w:szCs w:val="44"/>
        </w:rPr>
      </w:pPr>
      <w:r>
        <w:rPr>
          <w:rFonts w:ascii="宋体" w:eastAsia="宋体" w:hAnsi="宋体" w:cs="宋体"/>
          <w:b/>
          <w:bCs/>
          <w:color w:val="333333"/>
          <w:kern w:val="0"/>
          <w:sz w:val="44"/>
          <w:szCs w:val="44"/>
        </w:rPr>
        <w:t>常州</w:t>
      </w:r>
      <w:r w:rsidR="00667891">
        <w:rPr>
          <w:rFonts w:ascii="宋体" w:eastAsia="宋体" w:hAnsi="宋体" w:cs="宋体" w:hint="eastAsia"/>
          <w:b/>
          <w:bCs/>
          <w:color w:val="333333"/>
          <w:kern w:val="0"/>
          <w:sz w:val="44"/>
          <w:szCs w:val="44"/>
        </w:rPr>
        <w:t>国家高新区（</w:t>
      </w:r>
      <w:r w:rsidR="00667891" w:rsidRPr="00EC3636">
        <w:rPr>
          <w:rFonts w:ascii="宋体" w:eastAsia="宋体" w:hAnsi="宋体" w:cs="宋体"/>
          <w:b/>
          <w:bCs/>
          <w:color w:val="333333"/>
          <w:kern w:val="0"/>
          <w:sz w:val="44"/>
          <w:szCs w:val="44"/>
        </w:rPr>
        <w:t>新北区</w:t>
      </w:r>
      <w:r w:rsidR="00667891">
        <w:rPr>
          <w:rFonts w:ascii="宋体" w:eastAsia="宋体" w:hAnsi="宋体" w:cs="宋体" w:hint="eastAsia"/>
          <w:b/>
          <w:bCs/>
          <w:color w:val="333333"/>
          <w:kern w:val="0"/>
          <w:sz w:val="44"/>
          <w:szCs w:val="44"/>
        </w:rPr>
        <w:t>）</w:t>
      </w:r>
      <w:r w:rsidR="00152420" w:rsidRPr="00EC3636">
        <w:rPr>
          <w:rFonts w:ascii="宋体" w:eastAsia="宋体" w:hAnsi="宋体" w:cs="宋体"/>
          <w:b/>
          <w:bCs/>
          <w:color w:val="333333"/>
          <w:kern w:val="0"/>
          <w:sz w:val="44"/>
          <w:szCs w:val="44"/>
        </w:rPr>
        <w:t>PPP项目财政支出责任论证情况说明</w:t>
      </w:r>
    </w:p>
    <w:p w:rsidR="00152420" w:rsidRPr="00B051BA" w:rsidRDefault="00152420" w:rsidP="007A6F11">
      <w:pPr>
        <w:spacing w:line="500" w:lineRule="exact"/>
        <w:rPr>
          <w:rFonts w:ascii="宋体" w:eastAsia="宋体" w:hAnsi="宋体" w:cs="宋体"/>
          <w:b/>
          <w:bCs/>
          <w:color w:val="333333"/>
          <w:kern w:val="0"/>
          <w:sz w:val="44"/>
          <w:szCs w:val="44"/>
        </w:rPr>
      </w:pPr>
    </w:p>
    <w:p w:rsidR="00082875"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为规范有序推进PPP项目实施，有效防范和控制财政风险，现对常州</w:t>
      </w:r>
      <w:r w:rsidR="00DB700B">
        <w:rPr>
          <w:rFonts w:ascii="仿宋_GB2312" w:eastAsia="仿宋_GB2312" w:hAnsi="宋体" w:cs="宋体" w:hint="eastAsia"/>
          <w:color w:val="333333"/>
          <w:kern w:val="0"/>
          <w:sz w:val="32"/>
          <w:szCs w:val="32"/>
        </w:rPr>
        <w:t>国家高新区（</w:t>
      </w:r>
      <w:r w:rsidR="00DB700B" w:rsidRPr="00EC3636">
        <w:rPr>
          <w:rFonts w:ascii="仿宋_GB2312" w:eastAsia="仿宋_GB2312" w:hAnsi="宋体" w:cs="宋体" w:hint="eastAsia"/>
          <w:color w:val="333333"/>
          <w:kern w:val="0"/>
          <w:sz w:val="32"/>
          <w:szCs w:val="32"/>
        </w:rPr>
        <w:t>新北区</w:t>
      </w:r>
      <w:r w:rsidR="00DB700B">
        <w:rPr>
          <w:rFonts w:ascii="仿宋_GB2312" w:eastAsia="仿宋_GB2312" w:hAnsi="宋体" w:cs="宋体" w:hint="eastAsia"/>
          <w:color w:val="333333"/>
          <w:kern w:val="0"/>
          <w:sz w:val="32"/>
          <w:szCs w:val="32"/>
        </w:rPr>
        <w:t>）</w:t>
      </w:r>
      <w:r w:rsidRPr="00EC3636">
        <w:rPr>
          <w:rFonts w:ascii="仿宋_GB2312" w:eastAsia="仿宋_GB2312" w:hAnsi="宋体" w:cs="宋体" w:hint="eastAsia"/>
          <w:color w:val="333333"/>
          <w:kern w:val="0"/>
          <w:sz w:val="32"/>
          <w:szCs w:val="32"/>
        </w:rPr>
        <w:t xml:space="preserve">PPP项目政府支出责任论证情况公开说明如下：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一、论证范围 </w:t>
      </w:r>
    </w:p>
    <w:p w:rsidR="00152420" w:rsidRPr="00EC3636" w:rsidRDefault="00DB700B"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常州</w:t>
      </w:r>
      <w:r>
        <w:rPr>
          <w:rFonts w:ascii="仿宋_GB2312" w:eastAsia="仿宋_GB2312" w:hAnsi="宋体" w:cs="宋体" w:hint="eastAsia"/>
          <w:color w:val="333333"/>
          <w:kern w:val="0"/>
          <w:sz w:val="32"/>
          <w:szCs w:val="32"/>
        </w:rPr>
        <w:t>国家高新区（</w:t>
      </w:r>
      <w:r w:rsidRPr="00EC3636">
        <w:rPr>
          <w:rFonts w:ascii="仿宋_GB2312" w:eastAsia="仿宋_GB2312" w:hAnsi="宋体" w:cs="宋体" w:hint="eastAsia"/>
          <w:color w:val="333333"/>
          <w:kern w:val="0"/>
          <w:sz w:val="32"/>
          <w:szCs w:val="32"/>
        </w:rPr>
        <w:t>新北区</w:t>
      </w:r>
      <w:r>
        <w:rPr>
          <w:rFonts w:ascii="仿宋_GB2312" w:eastAsia="仿宋_GB2312" w:hAnsi="宋体" w:cs="宋体" w:hint="eastAsia"/>
          <w:color w:val="333333"/>
          <w:kern w:val="0"/>
          <w:sz w:val="32"/>
          <w:szCs w:val="32"/>
        </w:rPr>
        <w:t>）</w:t>
      </w:r>
      <w:r w:rsidR="00152420" w:rsidRPr="00EC3636">
        <w:rPr>
          <w:rFonts w:ascii="仿宋_GB2312" w:eastAsia="仿宋_GB2312" w:hAnsi="宋体" w:cs="宋体" w:hint="eastAsia"/>
          <w:color w:val="333333"/>
          <w:kern w:val="0"/>
          <w:sz w:val="32"/>
          <w:szCs w:val="32"/>
        </w:rPr>
        <w:t xml:space="preserve">所有已入库PPP项目。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二、论证依据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1、财政部关于印发《政府和社会资本合作项目财政承受能力论证指引》的通知（财金〔2015〕21号）；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2、财政部《关于在公共服务领域深入推进政府和社会资本合作工作的通知》（财金〔2016〕90号）；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3</w:t>
      </w:r>
      <w:r w:rsidR="00EE0038">
        <w:rPr>
          <w:rFonts w:ascii="仿宋_GB2312" w:eastAsia="仿宋_GB2312" w:hAnsi="宋体" w:cs="宋体" w:hint="eastAsia"/>
          <w:color w:val="333333"/>
          <w:kern w:val="0"/>
          <w:sz w:val="32"/>
          <w:szCs w:val="32"/>
        </w:rPr>
        <w:t>、入库项目的</w:t>
      </w:r>
      <w:r w:rsidRPr="00EC3636">
        <w:rPr>
          <w:rFonts w:ascii="仿宋_GB2312" w:eastAsia="仿宋_GB2312" w:hAnsi="宋体" w:cs="宋体" w:hint="eastAsia"/>
          <w:color w:val="333333"/>
          <w:kern w:val="0"/>
          <w:sz w:val="32"/>
          <w:szCs w:val="32"/>
        </w:rPr>
        <w:t xml:space="preserve">实施方案；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4、</w:t>
      </w:r>
      <w:r w:rsidR="00AE6B8C" w:rsidRPr="00EC3636">
        <w:rPr>
          <w:rFonts w:ascii="仿宋_GB2312" w:eastAsia="仿宋_GB2312" w:hAnsi="宋体" w:cs="宋体" w:hint="eastAsia"/>
          <w:color w:val="333333"/>
          <w:kern w:val="0"/>
          <w:sz w:val="32"/>
          <w:szCs w:val="32"/>
        </w:rPr>
        <w:t>常州</w:t>
      </w:r>
      <w:r w:rsidR="00AE6B8C">
        <w:rPr>
          <w:rFonts w:ascii="仿宋_GB2312" w:eastAsia="仿宋_GB2312" w:hAnsi="宋体" w:cs="宋体" w:hint="eastAsia"/>
          <w:color w:val="333333"/>
          <w:kern w:val="0"/>
          <w:sz w:val="32"/>
          <w:szCs w:val="32"/>
        </w:rPr>
        <w:t>国家高新区（</w:t>
      </w:r>
      <w:r w:rsidR="00AE6B8C" w:rsidRPr="00EC3636">
        <w:rPr>
          <w:rFonts w:ascii="仿宋_GB2312" w:eastAsia="仿宋_GB2312" w:hAnsi="宋体" w:cs="宋体" w:hint="eastAsia"/>
          <w:color w:val="333333"/>
          <w:kern w:val="0"/>
          <w:sz w:val="32"/>
          <w:szCs w:val="32"/>
        </w:rPr>
        <w:t>新北区</w:t>
      </w:r>
      <w:r w:rsidR="00AE6B8C">
        <w:rPr>
          <w:rFonts w:ascii="仿宋_GB2312" w:eastAsia="仿宋_GB2312" w:hAnsi="宋体" w:cs="宋体" w:hint="eastAsia"/>
          <w:color w:val="333333"/>
          <w:kern w:val="0"/>
          <w:sz w:val="32"/>
          <w:szCs w:val="32"/>
        </w:rPr>
        <w:t>）</w:t>
      </w:r>
      <w:r w:rsidR="00AD7C75">
        <w:rPr>
          <w:rFonts w:ascii="仿宋_GB2312" w:eastAsia="仿宋_GB2312" w:hAnsi="宋体" w:cs="宋体" w:hint="eastAsia"/>
          <w:color w:val="333333"/>
          <w:kern w:val="0"/>
          <w:sz w:val="32"/>
          <w:szCs w:val="32"/>
        </w:rPr>
        <w:t>2016</w:t>
      </w:r>
      <w:r w:rsidRPr="00EC3636">
        <w:rPr>
          <w:rFonts w:ascii="仿宋_GB2312" w:eastAsia="仿宋_GB2312" w:hAnsi="宋体" w:cs="宋体" w:hint="eastAsia"/>
          <w:color w:val="333333"/>
          <w:kern w:val="0"/>
          <w:sz w:val="32"/>
          <w:szCs w:val="32"/>
        </w:rPr>
        <w:t>—</w:t>
      </w:r>
      <w:r w:rsidR="00AD7C75">
        <w:rPr>
          <w:rFonts w:ascii="仿宋_GB2312" w:eastAsia="仿宋_GB2312" w:hAnsi="宋体" w:cs="宋体" w:hint="eastAsia"/>
          <w:color w:val="333333"/>
          <w:kern w:val="0"/>
          <w:sz w:val="32"/>
          <w:szCs w:val="32"/>
        </w:rPr>
        <w:t>2021</w:t>
      </w:r>
      <w:r w:rsidRPr="00EC3636">
        <w:rPr>
          <w:rFonts w:ascii="仿宋_GB2312" w:eastAsia="仿宋_GB2312" w:hAnsi="宋体" w:cs="宋体" w:hint="eastAsia"/>
          <w:color w:val="333333"/>
          <w:kern w:val="0"/>
          <w:sz w:val="32"/>
          <w:szCs w:val="32"/>
        </w:rPr>
        <w:t xml:space="preserve">年一般公共预算支出数据。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三、政府支出责任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PPP项目全生命周期过程的财政支出责任，主要包括股权投资、运营补贴、风险承担、配套投入等。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截至目前，</w:t>
      </w:r>
      <w:r w:rsidR="00AE6B8C" w:rsidRPr="00EC3636">
        <w:rPr>
          <w:rFonts w:ascii="仿宋_GB2312" w:eastAsia="仿宋_GB2312" w:hAnsi="宋体" w:cs="宋体" w:hint="eastAsia"/>
          <w:color w:val="333333"/>
          <w:kern w:val="0"/>
          <w:sz w:val="32"/>
          <w:szCs w:val="32"/>
        </w:rPr>
        <w:t>常州</w:t>
      </w:r>
      <w:r w:rsidR="00AE6B8C">
        <w:rPr>
          <w:rFonts w:ascii="仿宋_GB2312" w:eastAsia="仿宋_GB2312" w:hAnsi="宋体" w:cs="宋体" w:hint="eastAsia"/>
          <w:color w:val="333333"/>
          <w:kern w:val="0"/>
          <w:sz w:val="32"/>
          <w:szCs w:val="32"/>
        </w:rPr>
        <w:t>国家高新区（</w:t>
      </w:r>
      <w:r w:rsidR="00AE6B8C" w:rsidRPr="00EC3636">
        <w:rPr>
          <w:rFonts w:ascii="仿宋_GB2312" w:eastAsia="仿宋_GB2312" w:hAnsi="宋体" w:cs="宋体" w:hint="eastAsia"/>
          <w:color w:val="333333"/>
          <w:kern w:val="0"/>
          <w:sz w:val="32"/>
          <w:szCs w:val="32"/>
        </w:rPr>
        <w:t>新北区</w:t>
      </w:r>
      <w:r w:rsidR="00AE6B8C">
        <w:rPr>
          <w:rFonts w:ascii="仿宋_GB2312" w:eastAsia="仿宋_GB2312" w:hAnsi="宋体" w:cs="宋体" w:hint="eastAsia"/>
          <w:color w:val="333333"/>
          <w:kern w:val="0"/>
          <w:sz w:val="32"/>
          <w:szCs w:val="32"/>
        </w:rPr>
        <w:t>）</w:t>
      </w:r>
      <w:r w:rsidRPr="00EC3636">
        <w:rPr>
          <w:rFonts w:ascii="仿宋_GB2312" w:eastAsia="仿宋_GB2312" w:hAnsi="宋体" w:cs="宋体" w:hint="eastAsia"/>
          <w:color w:val="333333"/>
          <w:kern w:val="0"/>
          <w:sz w:val="32"/>
          <w:szCs w:val="32"/>
        </w:rPr>
        <w:t>已入库项目</w:t>
      </w:r>
      <w:r w:rsidR="00AD7C75">
        <w:rPr>
          <w:rFonts w:ascii="仿宋_GB2312" w:eastAsia="仿宋_GB2312" w:hAnsi="宋体" w:cs="宋体" w:hint="eastAsia"/>
          <w:color w:val="333333"/>
          <w:kern w:val="0"/>
          <w:sz w:val="32"/>
          <w:szCs w:val="32"/>
        </w:rPr>
        <w:t>9</w:t>
      </w:r>
      <w:r w:rsidRPr="00EC3636">
        <w:rPr>
          <w:rFonts w:ascii="仿宋_GB2312" w:eastAsia="仿宋_GB2312" w:hAnsi="宋体" w:cs="宋体" w:hint="eastAsia"/>
          <w:color w:val="333333"/>
          <w:kern w:val="0"/>
          <w:sz w:val="32"/>
          <w:szCs w:val="32"/>
        </w:rPr>
        <w:t>个，总投资</w:t>
      </w:r>
      <w:r w:rsidR="00AD7C75">
        <w:rPr>
          <w:rFonts w:ascii="仿宋_GB2312" w:eastAsia="仿宋_GB2312" w:hAnsi="宋体" w:cs="宋体" w:hint="eastAsia"/>
          <w:color w:val="333333"/>
          <w:kern w:val="0"/>
          <w:sz w:val="32"/>
          <w:szCs w:val="32"/>
        </w:rPr>
        <w:t>101.92</w:t>
      </w:r>
      <w:r w:rsidR="00AE6B8C">
        <w:rPr>
          <w:rFonts w:ascii="仿宋_GB2312" w:eastAsia="仿宋_GB2312" w:hAnsi="宋体" w:cs="宋体" w:hint="eastAsia"/>
          <w:color w:val="333333"/>
          <w:kern w:val="0"/>
          <w:sz w:val="32"/>
          <w:szCs w:val="32"/>
        </w:rPr>
        <w:t>亿元。根据项目</w:t>
      </w:r>
      <w:r w:rsidRPr="00EC3636">
        <w:rPr>
          <w:rFonts w:ascii="仿宋_GB2312" w:eastAsia="仿宋_GB2312" w:hAnsi="宋体" w:cs="宋体" w:hint="eastAsia"/>
          <w:color w:val="333333"/>
          <w:kern w:val="0"/>
          <w:sz w:val="32"/>
          <w:szCs w:val="32"/>
        </w:rPr>
        <w:t>实施方案，采用使用者付费回报机制的项目2个，全生命周期内不需财政提供支出责任</w:t>
      </w:r>
      <w:r>
        <w:rPr>
          <w:rFonts w:ascii="仿宋_GB2312" w:eastAsia="仿宋_GB2312" w:hAnsi="宋体" w:cs="宋体" w:hint="eastAsia"/>
          <w:color w:val="333333"/>
          <w:kern w:val="0"/>
          <w:sz w:val="32"/>
          <w:szCs w:val="32"/>
        </w:rPr>
        <w:t>。</w:t>
      </w:r>
      <w:r w:rsidRPr="00EC3636">
        <w:rPr>
          <w:rFonts w:ascii="仿宋_GB2312" w:eastAsia="仿宋_GB2312" w:hAnsi="宋体" w:cs="宋体" w:hint="eastAsia"/>
          <w:color w:val="333333"/>
          <w:kern w:val="0"/>
          <w:sz w:val="32"/>
          <w:szCs w:val="32"/>
        </w:rPr>
        <w:lastRenderedPageBreak/>
        <w:t>其他列入一般公共预算支出的项目全生命周期内财政支出责任总计</w:t>
      </w:r>
      <w:r w:rsidR="00AD7C75" w:rsidRPr="00AD7C75">
        <w:rPr>
          <w:rFonts w:ascii="仿宋_GB2312" w:eastAsia="仿宋_GB2312" w:hAnsi="宋体" w:cs="宋体" w:hint="eastAsia"/>
          <w:color w:val="333333"/>
          <w:kern w:val="0"/>
          <w:sz w:val="32"/>
          <w:szCs w:val="32"/>
        </w:rPr>
        <w:t>33.23</w:t>
      </w:r>
      <w:r w:rsidRPr="00EC3636">
        <w:rPr>
          <w:rFonts w:ascii="仿宋_GB2312" w:eastAsia="仿宋_GB2312" w:hAnsi="宋体" w:cs="宋体" w:hint="eastAsia"/>
          <w:color w:val="333333"/>
          <w:kern w:val="0"/>
          <w:sz w:val="32"/>
          <w:szCs w:val="32"/>
        </w:rPr>
        <w:t xml:space="preserve">亿元。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四、财政支出能力预测 </w:t>
      </w:r>
    </w:p>
    <w:p w:rsidR="00152420" w:rsidRPr="00EC3636" w:rsidRDefault="00152420" w:rsidP="00B051BA">
      <w:pPr>
        <w:widowControl/>
        <w:spacing w:line="600" w:lineRule="exact"/>
        <w:ind w:firstLine="646"/>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根据</w:t>
      </w:r>
      <w:r w:rsidR="00907B30" w:rsidRPr="00EC3636">
        <w:rPr>
          <w:rFonts w:ascii="仿宋_GB2312" w:eastAsia="仿宋_GB2312" w:hAnsi="宋体" w:cs="宋体" w:hint="eastAsia"/>
          <w:color w:val="333333"/>
          <w:kern w:val="0"/>
          <w:sz w:val="32"/>
          <w:szCs w:val="32"/>
        </w:rPr>
        <w:t>常州</w:t>
      </w:r>
      <w:r w:rsidR="00907B30">
        <w:rPr>
          <w:rFonts w:ascii="仿宋_GB2312" w:eastAsia="仿宋_GB2312" w:hAnsi="宋体" w:cs="宋体" w:hint="eastAsia"/>
          <w:color w:val="333333"/>
          <w:kern w:val="0"/>
          <w:sz w:val="32"/>
          <w:szCs w:val="32"/>
        </w:rPr>
        <w:t>国家高新区（</w:t>
      </w:r>
      <w:r w:rsidR="00907B30" w:rsidRPr="00EC3636">
        <w:rPr>
          <w:rFonts w:ascii="仿宋_GB2312" w:eastAsia="仿宋_GB2312" w:hAnsi="宋体" w:cs="宋体" w:hint="eastAsia"/>
          <w:color w:val="333333"/>
          <w:kern w:val="0"/>
          <w:sz w:val="32"/>
          <w:szCs w:val="32"/>
        </w:rPr>
        <w:t>新北区</w:t>
      </w:r>
      <w:r w:rsidR="00907B30">
        <w:rPr>
          <w:rFonts w:ascii="仿宋_GB2312" w:eastAsia="仿宋_GB2312" w:hAnsi="宋体" w:cs="宋体" w:hint="eastAsia"/>
          <w:color w:val="333333"/>
          <w:kern w:val="0"/>
          <w:sz w:val="32"/>
          <w:szCs w:val="32"/>
        </w:rPr>
        <w:t>）</w:t>
      </w:r>
      <w:r w:rsidR="00CB0F29">
        <w:rPr>
          <w:rFonts w:ascii="仿宋_GB2312" w:eastAsia="仿宋_GB2312" w:hAnsi="宋体" w:cs="宋体" w:hint="eastAsia"/>
          <w:color w:val="333333"/>
          <w:kern w:val="0"/>
          <w:sz w:val="32"/>
          <w:szCs w:val="32"/>
        </w:rPr>
        <w:t>2016</w:t>
      </w:r>
      <w:r w:rsidRPr="00EC3636">
        <w:rPr>
          <w:rFonts w:ascii="仿宋_GB2312" w:eastAsia="仿宋_GB2312" w:hAnsi="宋体" w:cs="宋体" w:hint="eastAsia"/>
          <w:color w:val="333333"/>
          <w:kern w:val="0"/>
          <w:sz w:val="32"/>
          <w:szCs w:val="32"/>
        </w:rPr>
        <w:t>—</w:t>
      </w:r>
      <w:r w:rsidR="00CB0F29">
        <w:rPr>
          <w:rFonts w:ascii="仿宋_GB2312" w:eastAsia="仿宋_GB2312" w:hAnsi="宋体" w:cs="宋体" w:hint="eastAsia"/>
          <w:color w:val="333333"/>
          <w:kern w:val="0"/>
          <w:sz w:val="32"/>
          <w:szCs w:val="32"/>
        </w:rPr>
        <w:t>2021</w:t>
      </w:r>
      <w:r w:rsidRPr="00EC3636">
        <w:rPr>
          <w:rFonts w:ascii="仿宋_GB2312" w:eastAsia="仿宋_GB2312" w:hAnsi="宋体" w:cs="宋体" w:hint="eastAsia"/>
          <w:color w:val="333333"/>
          <w:kern w:val="0"/>
          <w:sz w:val="32"/>
          <w:szCs w:val="32"/>
        </w:rPr>
        <w:t>年财政预算执行情况，</w:t>
      </w:r>
      <w:r w:rsidR="00907B30" w:rsidRPr="00EC3636">
        <w:rPr>
          <w:rFonts w:ascii="仿宋_GB2312" w:eastAsia="仿宋_GB2312" w:hAnsi="宋体" w:cs="宋体" w:hint="eastAsia"/>
          <w:color w:val="333333"/>
          <w:kern w:val="0"/>
          <w:sz w:val="32"/>
          <w:szCs w:val="32"/>
        </w:rPr>
        <w:t>常州</w:t>
      </w:r>
      <w:r w:rsidR="00907B30">
        <w:rPr>
          <w:rFonts w:ascii="仿宋_GB2312" w:eastAsia="仿宋_GB2312" w:hAnsi="宋体" w:cs="宋体" w:hint="eastAsia"/>
          <w:color w:val="333333"/>
          <w:kern w:val="0"/>
          <w:sz w:val="32"/>
          <w:szCs w:val="32"/>
        </w:rPr>
        <w:t>国家高新区（</w:t>
      </w:r>
      <w:r w:rsidR="00907B30" w:rsidRPr="00EC3636">
        <w:rPr>
          <w:rFonts w:ascii="仿宋_GB2312" w:eastAsia="仿宋_GB2312" w:hAnsi="宋体" w:cs="宋体" w:hint="eastAsia"/>
          <w:color w:val="333333"/>
          <w:kern w:val="0"/>
          <w:sz w:val="32"/>
          <w:szCs w:val="32"/>
        </w:rPr>
        <w:t>新北区</w:t>
      </w:r>
      <w:r w:rsidR="00907B30">
        <w:rPr>
          <w:rFonts w:ascii="仿宋_GB2312" w:eastAsia="仿宋_GB2312" w:hAnsi="宋体" w:cs="宋体" w:hint="eastAsia"/>
          <w:color w:val="333333"/>
          <w:kern w:val="0"/>
          <w:sz w:val="32"/>
          <w:szCs w:val="32"/>
        </w:rPr>
        <w:t>）</w:t>
      </w:r>
      <w:r w:rsidRPr="00EC3636">
        <w:rPr>
          <w:rFonts w:ascii="仿宋_GB2312" w:eastAsia="仿宋_GB2312" w:hAnsi="宋体" w:cs="宋体" w:hint="eastAsia"/>
          <w:color w:val="333333"/>
          <w:kern w:val="0"/>
          <w:sz w:val="32"/>
          <w:szCs w:val="32"/>
        </w:rPr>
        <w:t xml:space="preserve">财政一般公共预算支出情况及增长率如下表： </w:t>
      </w:r>
    </w:p>
    <w:p w:rsidR="00152420" w:rsidRPr="00082875" w:rsidRDefault="00152420" w:rsidP="00B051BA">
      <w:pPr>
        <w:widowControl/>
        <w:spacing w:line="600" w:lineRule="exact"/>
        <w:ind w:firstLineChars="2900" w:firstLine="6960"/>
        <w:rPr>
          <w:rFonts w:ascii="仿宋_GB2312" w:eastAsia="仿宋_GB2312" w:hAnsi="宋体" w:cs="宋体"/>
          <w:color w:val="333333"/>
          <w:kern w:val="0"/>
          <w:sz w:val="24"/>
          <w:szCs w:val="24"/>
        </w:rPr>
      </w:pPr>
      <w:r w:rsidRPr="00082875">
        <w:rPr>
          <w:rFonts w:ascii="仿宋_GB2312" w:eastAsia="仿宋_GB2312" w:hAnsi="宋体" w:cs="宋体" w:hint="eastAsia"/>
          <w:color w:val="333333"/>
          <w:kern w:val="0"/>
          <w:sz w:val="24"/>
          <w:szCs w:val="24"/>
        </w:rPr>
        <w:t>单位：亿</w:t>
      </w:r>
      <w:r w:rsidRPr="00EC3636">
        <w:rPr>
          <w:rFonts w:ascii="仿宋_GB2312" w:eastAsia="仿宋_GB2312" w:hAnsi="宋体" w:cs="宋体" w:hint="eastAsia"/>
          <w:color w:val="333333"/>
          <w:kern w:val="0"/>
          <w:sz w:val="24"/>
          <w:szCs w:val="24"/>
        </w:rPr>
        <w:t xml:space="preserve">元 </w:t>
      </w:r>
    </w:p>
    <w:tbl>
      <w:tblPr>
        <w:tblW w:w="9039" w:type="dxa"/>
        <w:tblLook w:val="04A0"/>
      </w:tblPr>
      <w:tblGrid>
        <w:gridCol w:w="1693"/>
        <w:gridCol w:w="1380"/>
        <w:gridCol w:w="1392"/>
        <w:gridCol w:w="1101"/>
        <w:gridCol w:w="1063"/>
        <w:gridCol w:w="1134"/>
        <w:gridCol w:w="1276"/>
      </w:tblGrid>
      <w:tr w:rsidR="00CB0F29" w:rsidRPr="00E25149" w:rsidTr="00CB0F29">
        <w:trPr>
          <w:trHeight w:val="42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F29" w:rsidRPr="00E25149" w:rsidRDefault="00CB0F29" w:rsidP="00B051BA">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项目</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2016年</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2017年</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2018年</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2019年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2020</w:t>
            </w:r>
            <w:r w:rsidRPr="00E25149">
              <w:rPr>
                <w:rFonts w:ascii="华文楷体" w:eastAsia="华文楷体" w:hAnsi="华文楷体" w:cs="宋体" w:hint="eastAsia"/>
                <w:color w:val="000000"/>
                <w:kern w:val="0"/>
                <w:sz w:val="24"/>
                <w:szCs w:val="24"/>
              </w:rPr>
              <w:t>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0F29" w:rsidRPr="00E25149" w:rsidRDefault="00CB0F29" w:rsidP="00B051BA">
            <w:pPr>
              <w:widowControl/>
              <w:spacing w:line="600" w:lineRule="exac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2021</w:t>
            </w:r>
            <w:r w:rsidRPr="00E25149">
              <w:rPr>
                <w:rFonts w:ascii="华文楷体" w:eastAsia="华文楷体" w:hAnsi="华文楷体" w:cs="宋体" w:hint="eastAsia"/>
                <w:color w:val="000000"/>
                <w:kern w:val="0"/>
                <w:sz w:val="24"/>
                <w:szCs w:val="24"/>
              </w:rPr>
              <w:t>年</w:t>
            </w:r>
          </w:p>
        </w:tc>
      </w:tr>
      <w:tr w:rsidR="00CB0F29" w:rsidRPr="00E25149" w:rsidTr="00CB0F29">
        <w:trPr>
          <w:trHeight w:val="1080"/>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CB0F29" w:rsidRPr="00E25149" w:rsidRDefault="00CB0F29" w:rsidP="00B051BA">
            <w:pPr>
              <w:widowControl/>
              <w:spacing w:line="4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一般公共预算支出数</w:t>
            </w:r>
          </w:p>
        </w:tc>
        <w:tc>
          <w:tcPr>
            <w:tcW w:w="1380"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58</w:t>
            </w:r>
            <w:r>
              <w:rPr>
                <w:rFonts w:ascii="华文楷体" w:eastAsia="华文楷体" w:hAnsi="华文楷体" w:cs="宋体" w:hint="eastAsia"/>
                <w:color w:val="000000"/>
                <w:kern w:val="0"/>
                <w:sz w:val="24"/>
                <w:szCs w:val="24"/>
              </w:rPr>
              <w:t>.22</w:t>
            </w:r>
          </w:p>
        </w:tc>
        <w:tc>
          <w:tcPr>
            <w:tcW w:w="1392"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61</w:t>
            </w:r>
            <w:r>
              <w:rPr>
                <w:rFonts w:ascii="华文楷体" w:eastAsia="华文楷体" w:hAnsi="华文楷体" w:cs="宋体" w:hint="eastAsia"/>
                <w:color w:val="000000"/>
                <w:kern w:val="0"/>
                <w:sz w:val="24"/>
                <w:szCs w:val="24"/>
              </w:rPr>
              <w:t>.13</w:t>
            </w:r>
          </w:p>
        </w:tc>
        <w:tc>
          <w:tcPr>
            <w:tcW w:w="1101"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68</w:t>
            </w:r>
            <w:r>
              <w:rPr>
                <w:rFonts w:ascii="华文楷体" w:eastAsia="华文楷体" w:hAnsi="华文楷体" w:cs="宋体" w:hint="eastAsia"/>
                <w:color w:val="000000"/>
                <w:kern w:val="0"/>
                <w:sz w:val="24"/>
                <w:szCs w:val="24"/>
              </w:rPr>
              <w:t>.87</w:t>
            </w:r>
          </w:p>
        </w:tc>
        <w:tc>
          <w:tcPr>
            <w:tcW w:w="1063"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70</w:t>
            </w:r>
            <w:r>
              <w:rPr>
                <w:rFonts w:ascii="华文楷体" w:eastAsia="华文楷体" w:hAnsi="华文楷体" w:cs="宋体" w:hint="eastAsia"/>
                <w:color w:val="000000"/>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81.6</w:t>
            </w:r>
          </w:p>
        </w:tc>
        <w:tc>
          <w:tcPr>
            <w:tcW w:w="1276"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B051BA">
            <w:pPr>
              <w:widowControl/>
              <w:spacing w:line="600" w:lineRule="exac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95.45</w:t>
            </w:r>
          </w:p>
        </w:tc>
      </w:tr>
      <w:tr w:rsidR="00CB0F29" w:rsidRPr="00E25149" w:rsidTr="00CB0F29">
        <w:trPr>
          <w:trHeight w:val="465"/>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CB0F29" w:rsidRPr="00E25149" w:rsidRDefault="00CB0F29" w:rsidP="00B051BA">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增幅（%）</w:t>
            </w:r>
          </w:p>
        </w:tc>
        <w:tc>
          <w:tcPr>
            <w:tcW w:w="1380"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p>
        </w:tc>
        <w:tc>
          <w:tcPr>
            <w:tcW w:w="1392"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4.99%</w:t>
            </w:r>
          </w:p>
        </w:tc>
        <w:tc>
          <w:tcPr>
            <w:tcW w:w="1101"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12.66%</w:t>
            </w:r>
          </w:p>
        </w:tc>
        <w:tc>
          <w:tcPr>
            <w:tcW w:w="1063"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sidRPr="00E25149">
              <w:rPr>
                <w:rFonts w:ascii="华文楷体" w:eastAsia="华文楷体" w:hAnsi="华文楷体" w:cs="宋体" w:hint="eastAsia"/>
                <w:color w:val="000000"/>
                <w:kern w:val="0"/>
                <w:sz w:val="24"/>
                <w:szCs w:val="24"/>
              </w:rPr>
              <w:t>2.95%</w:t>
            </w:r>
          </w:p>
        </w:tc>
        <w:tc>
          <w:tcPr>
            <w:tcW w:w="1134"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5E6E42">
            <w:pPr>
              <w:widowControl/>
              <w:spacing w:line="600" w:lineRule="exac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15.08%</w:t>
            </w:r>
          </w:p>
        </w:tc>
        <w:tc>
          <w:tcPr>
            <w:tcW w:w="1276" w:type="dxa"/>
            <w:tcBorders>
              <w:top w:val="nil"/>
              <w:left w:val="nil"/>
              <w:bottom w:val="single" w:sz="4" w:space="0" w:color="auto"/>
              <w:right w:val="single" w:sz="4" w:space="0" w:color="auto"/>
            </w:tcBorders>
            <w:shd w:val="clear" w:color="auto" w:fill="auto"/>
            <w:noWrap/>
            <w:vAlign w:val="center"/>
            <w:hideMark/>
          </w:tcPr>
          <w:p w:rsidR="00CB0F29" w:rsidRPr="00E25149" w:rsidRDefault="00CB0F29" w:rsidP="00B051BA">
            <w:pPr>
              <w:widowControl/>
              <w:spacing w:line="600" w:lineRule="exact"/>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16.97%</w:t>
            </w:r>
          </w:p>
        </w:tc>
      </w:tr>
      <w:tr w:rsidR="006D1C7A" w:rsidRPr="00E25149" w:rsidTr="00082875">
        <w:trPr>
          <w:trHeight w:val="477"/>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C7A" w:rsidRPr="007321F1" w:rsidRDefault="006D1C7A" w:rsidP="00B051BA">
            <w:pPr>
              <w:widowControl/>
              <w:spacing w:line="600" w:lineRule="exact"/>
              <w:rPr>
                <w:rFonts w:ascii="华文楷体" w:eastAsia="华文楷体" w:hAnsi="华文楷体" w:cs="宋体"/>
                <w:kern w:val="0"/>
                <w:sz w:val="24"/>
                <w:szCs w:val="24"/>
              </w:rPr>
            </w:pPr>
            <w:r w:rsidRPr="007321F1">
              <w:rPr>
                <w:rFonts w:ascii="华文楷体" w:eastAsia="华文楷体" w:hAnsi="华文楷体" w:cs="宋体" w:hint="eastAsia"/>
                <w:kern w:val="0"/>
                <w:sz w:val="24"/>
                <w:szCs w:val="24"/>
              </w:rPr>
              <w:t>平均增长率</w:t>
            </w:r>
          </w:p>
        </w:tc>
        <w:tc>
          <w:tcPr>
            <w:tcW w:w="7346" w:type="dxa"/>
            <w:gridSpan w:val="6"/>
            <w:tcBorders>
              <w:top w:val="single" w:sz="4" w:space="0" w:color="auto"/>
              <w:left w:val="nil"/>
              <w:bottom w:val="single" w:sz="4" w:space="0" w:color="auto"/>
              <w:right w:val="single" w:sz="4" w:space="0" w:color="auto"/>
            </w:tcBorders>
            <w:shd w:val="clear" w:color="auto" w:fill="auto"/>
            <w:noWrap/>
            <w:vAlign w:val="center"/>
            <w:hideMark/>
          </w:tcPr>
          <w:p w:rsidR="006D1C7A" w:rsidRPr="007321F1" w:rsidRDefault="007321F1" w:rsidP="00B051BA">
            <w:pPr>
              <w:widowControl/>
              <w:spacing w:line="600" w:lineRule="exact"/>
              <w:rPr>
                <w:rFonts w:ascii="华文楷体" w:eastAsia="华文楷体" w:hAnsi="华文楷体" w:cs="宋体"/>
                <w:kern w:val="0"/>
                <w:sz w:val="24"/>
                <w:szCs w:val="24"/>
              </w:rPr>
            </w:pPr>
            <w:r w:rsidRPr="007321F1">
              <w:rPr>
                <w:rFonts w:ascii="华文楷体" w:eastAsia="华文楷体" w:hAnsi="华文楷体" w:cs="宋体" w:hint="eastAsia"/>
                <w:kern w:val="0"/>
                <w:sz w:val="24"/>
                <w:szCs w:val="24"/>
              </w:rPr>
              <w:t>10.53</w:t>
            </w:r>
            <w:r w:rsidR="006D1C7A" w:rsidRPr="007321F1">
              <w:rPr>
                <w:rFonts w:ascii="华文楷体" w:eastAsia="华文楷体" w:hAnsi="华文楷体" w:cs="宋体" w:hint="eastAsia"/>
                <w:kern w:val="0"/>
                <w:sz w:val="24"/>
                <w:szCs w:val="24"/>
              </w:rPr>
              <w:t>%</w:t>
            </w:r>
          </w:p>
        </w:tc>
      </w:tr>
    </w:tbl>
    <w:p w:rsidR="00152420" w:rsidRPr="00EC3636" w:rsidRDefault="00152420" w:rsidP="00B051BA">
      <w:pPr>
        <w:widowControl/>
        <w:spacing w:line="600" w:lineRule="exact"/>
        <w:rPr>
          <w:rFonts w:ascii="仿宋_GB2312" w:eastAsia="仿宋_GB2312" w:hAnsi="宋体" w:cs="宋体"/>
          <w:color w:val="333333"/>
          <w:kern w:val="0"/>
          <w:sz w:val="32"/>
          <w:szCs w:val="32"/>
        </w:rPr>
      </w:pPr>
    </w:p>
    <w:p w:rsidR="00152420" w:rsidRPr="00EC3636" w:rsidRDefault="00152420" w:rsidP="00B051BA">
      <w:pPr>
        <w:widowControl/>
        <w:spacing w:line="600" w:lineRule="exact"/>
        <w:ind w:firstLine="644"/>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 xml:space="preserve">根据《关于印发&lt;政府和社会资本合作项目财政承受能力论证指引&gt;的通知》（财金〔2015〕21号）规定，“在进行财政支出能力评估时，未来年度一般公共预算支出数额可参照前五年相关数额的平均值及平均增长率计算，并根据实际情况进行适当调整”。 </w:t>
      </w:r>
    </w:p>
    <w:p w:rsidR="00082875" w:rsidRDefault="00152420" w:rsidP="00B051BA">
      <w:pPr>
        <w:widowControl/>
        <w:spacing w:line="600" w:lineRule="exact"/>
        <w:ind w:firstLine="644"/>
        <w:rPr>
          <w:rFonts w:ascii="仿宋_GB2312" w:eastAsia="仿宋_GB2312" w:hAnsi="宋体" w:cs="宋体"/>
          <w:color w:val="333333"/>
          <w:kern w:val="0"/>
          <w:sz w:val="32"/>
          <w:szCs w:val="32"/>
        </w:rPr>
      </w:pPr>
      <w:r w:rsidRPr="00EC3636">
        <w:rPr>
          <w:rFonts w:ascii="仿宋_GB2312" w:eastAsia="仿宋_GB2312" w:hAnsi="宋体" w:cs="宋体" w:hint="eastAsia"/>
          <w:color w:val="333333"/>
          <w:kern w:val="0"/>
          <w:sz w:val="32"/>
          <w:szCs w:val="32"/>
        </w:rPr>
        <w:t>根据上表，</w:t>
      </w:r>
      <w:r w:rsidR="00907B30" w:rsidRPr="00EC3636">
        <w:rPr>
          <w:rFonts w:ascii="仿宋_GB2312" w:eastAsia="仿宋_GB2312" w:hAnsi="宋体" w:cs="宋体" w:hint="eastAsia"/>
          <w:color w:val="333333"/>
          <w:kern w:val="0"/>
          <w:sz w:val="32"/>
          <w:szCs w:val="32"/>
        </w:rPr>
        <w:t>常州</w:t>
      </w:r>
      <w:r w:rsidR="00907B30">
        <w:rPr>
          <w:rFonts w:ascii="仿宋_GB2312" w:eastAsia="仿宋_GB2312" w:hAnsi="宋体" w:cs="宋体" w:hint="eastAsia"/>
          <w:color w:val="333333"/>
          <w:kern w:val="0"/>
          <w:sz w:val="32"/>
          <w:szCs w:val="32"/>
        </w:rPr>
        <w:t>国家高新区（</w:t>
      </w:r>
      <w:r w:rsidR="00907B30" w:rsidRPr="00EC3636">
        <w:rPr>
          <w:rFonts w:ascii="仿宋_GB2312" w:eastAsia="仿宋_GB2312" w:hAnsi="宋体" w:cs="宋体" w:hint="eastAsia"/>
          <w:color w:val="333333"/>
          <w:kern w:val="0"/>
          <w:sz w:val="32"/>
          <w:szCs w:val="32"/>
        </w:rPr>
        <w:t>新北区</w:t>
      </w:r>
      <w:r w:rsidR="00907B30">
        <w:rPr>
          <w:rFonts w:ascii="仿宋_GB2312" w:eastAsia="仿宋_GB2312" w:hAnsi="宋体" w:cs="宋体" w:hint="eastAsia"/>
          <w:color w:val="333333"/>
          <w:kern w:val="0"/>
          <w:sz w:val="32"/>
          <w:szCs w:val="32"/>
        </w:rPr>
        <w:t>）</w:t>
      </w:r>
      <w:r w:rsidRPr="00EC3636">
        <w:rPr>
          <w:rFonts w:ascii="仿宋_GB2312" w:eastAsia="仿宋_GB2312" w:hAnsi="宋体" w:cs="宋体" w:hint="eastAsia"/>
          <w:color w:val="333333"/>
          <w:kern w:val="0"/>
          <w:sz w:val="32"/>
          <w:szCs w:val="32"/>
        </w:rPr>
        <w:t>财政一般公共预算支出</w:t>
      </w:r>
      <w:r w:rsidR="00C272CA">
        <w:rPr>
          <w:rFonts w:ascii="仿宋_GB2312" w:eastAsia="仿宋_GB2312" w:hAnsi="宋体" w:cs="宋体" w:hint="eastAsia"/>
          <w:color w:val="333333"/>
          <w:kern w:val="0"/>
          <w:sz w:val="32"/>
          <w:szCs w:val="32"/>
        </w:rPr>
        <w:t>201</w:t>
      </w:r>
      <w:r w:rsidR="00855631">
        <w:rPr>
          <w:rFonts w:ascii="仿宋_GB2312" w:eastAsia="仿宋_GB2312" w:hAnsi="宋体" w:cs="宋体" w:hint="eastAsia"/>
          <w:color w:val="333333"/>
          <w:kern w:val="0"/>
          <w:sz w:val="32"/>
          <w:szCs w:val="32"/>
        </w:rPr>
        <w:t>6</w:t>
      </w:r>
      <w:r w:rsidRPr="00EC3636">
        <w:rPr>
          <w:rFonts w:ascii="仿宋_GB2312" w:eastAsia="仿宋_GB2312" w:hAnsi="宋体" w:cs="宋体" w:hint="eastAsia"/>
          <w:color w:val="333333"/>
          <w:kern w:val="0"/>
          <w:sz w:val="32"/>
          <w:szCs w:val="32"/>
        </w:rPr>
        <w:t>—</w:t>
      </w:r>
      <w:r w:rsidR="00855631">
        <w:rPr>
          <w:rFonts w:ascii="仿宋_GB2312" w:eastAsia="仿宋_GB2312" w:hAnsi="宋体" w:cs="宋体" w:hint="eastAsia"/>
          <w:color w:val="333333"/>
          <w:kern w:val="0"/>
          <w:sz w:val="32"/>
          <w:szCs w:val="32"/>
        </w:rPr>
        <w:t>2021</w:t>
      </w:r>
      <w:r w:rsidRPr="00EC3636">
        <w:rPr>
          <w:rFonts w:ascii="仿宋_GB2312" w:eastAsia="仿宋_GB2312" w:hAnsi="宋体" w:cs="宋体" w:hint="eastAsia"/>
          <w:color w:val="333333"/>
          <w:kern w:val="0"/>
          <w:sz w:val="32"/>
          <w:szCs w:val="32"/>
        </w:rPr>
        <w:t>年度平均增长率为</w:t>
      </w:r>
      <w:r w:rsidR="00855631">
        <w:rPr>
          <w:rFonts w:ascii="仿宋_GB2312" w:eastAsia="仿宋_GB2312" w:hAnsi="宋体" w:cs="宋体" w:hint="eastAsia"/>
          <w:color w:val="333333"/>
          <w:kern w:val="0"/>
          <w:sz w:val="32"/>
          <w:szCs w:val="32"/>
        </w:rPr>
        <w:t>10.53</w:t>
      </w:r>
      <w:r w:rsidRPr="00EC3636">
        <w:rPr>
          <w:rFonts w:ascii="仿宋_GB2312" w:eastAsia="仿宋_GB2312" w:hAnsi="宋体" w:cs="宋体" w:hint="eastAsia"/>
          <w:color w:val="333333"/>
          <w:kern w:val="0"/>
          <w:sz w:val="32"/>
          <w:szCs w:val="32"/>
        </w:rPr>
        <w:t>%，考虑到通货膨胀、经济发展状况、财政收入结构替代因素等，在预测20</w:t>
      </w:r>
      <w:r w:rsidR="00855631">
        <w:rPr>
          <w:rFonts w:ascii="仿宋_GB2312" w:eastAsia="仿宋_GB2312" w:hAnsi="宋体" w:cs="宋体" w:hint="eastAsia"/>
          <w:color w:val="333333"/>
          <w:kern w:val="0"/>
          <w:sz w:val="32"/>
          <w:szCs w:val="32"/>
        </w:rPr>
        <w:t>22</w:t>
      </w:r>
      <w:r w:rsidRPr="00EC3636">
        <w:rPr>
          <w:rFonts w:ascii="仿宋_GB2312" w:eastAsia="仿宋_GB2312" w:hAnsi="宋体" w:cs="宋体" w:hint="eastAsia"/>
          <w:color w:val="333333"/>
          <w:kern w:val="0"/>
          <w:sz w:val="32"/>
          <w:szCs w:val="32"/>
        </w:rPr>
        <w:t>—</w:t>
      </w:r>
      <w:r w:rsidR="00855631">
        <w:rPr>
          <w:rFonts w:ascii="仿宋_GB2312" w:eastAsia="仿宋_GB2312" w:hAnsi="宋体" w:cs="宋体" w:hint="eastAsia"/>
          <w:color w:val="333333"/>
          <w:kern w:val="0"/>
          <w:sz w:val="32"/>
          <w:szCs w:val="32"/>
        </w:rPr>
        <w:t>2051</w:t>
      </w:r>
      <w:r w:rsidRPr="00EC3636">
        <w:rPr>
          <w:rFonts w:ascii="仿宋_GB2312" w:eastAsia="仿宋_GB2312" w:hAnsi="宋体" w:cs="宋体" w:hint="eastAsia"/>
          <w:color w:val="333333"/>
          <w:kern w:val="0"/>
          <w:sz w:val="32"/>
          <w:szCs w:val="32"/>
        </w:rPr>
        <w:t>年一般公共预算支出数时确定增长率为5.29%。</w:t>
      </w:r>
      <w:r w:rsidR="00907B30" w:rsidRPr="00EC3636">
        <w:rPr>
          <w:rFonts w:ascii="仿宋_GB2312" w:eastAsia="仿宋_GB2312" w:hAnsi="宋体" w:cs="宋体" w:hint="eastAsia"/>
          <w:color w:val="333333"/>
          <w:kern w:val="0"/>
          <w:sz w:val="32"/>
          <w:szCs w:val="32"/>
        </w:rPr>
        <w:t>常州</w:t>
      </w:r>
      <w:r w:rsidR="00907B30">
        <w:rPr>
          <w:rFonts w:ascii="仿宋_GB2312" w:eastAsia="仿宋_GB2312" w:hAnsi="宋体" w:cs="宋体" w:hint="eastAsia"/>
          <w:color w:val="333333"/>
          <w:kern w:val="0"/>
          <w:sz w:val="32"/>
          <w:szCs w:val="32"/>
        </w:rPr>
        <w:t>国家高新区（</w:t>
      </w:r>
      <w:r w:rsidR="00907B30" w:rsidRPr="00EC3636">
        <w:rPr>
          <w:rFonts w:ascii="仿宋_GB2312" w:eastAsia="仿宋_GB2312" w:hAnsi="宋体" w:cs="宋体" w:hint="eastAsia"/>
          <w:color w:val="333333"/>
          <w:kern w:val="0"/>
          <w:sz w:val="32"/>
          <w:szCs w:val="32"/>
        </w:rPr>
        <w:t>新北区</w:t>
      </w:r>
      <w:r w:rsidR="00907B30">
        <w:rPr>
          <w:rFonts w:ascii="仿宋_GB2312" w:eastAsia="仿宋_GB2312" w:hAnsi="宋体" w:cs="宋体" w:hint="eastAsia"/>
          <w:color w:val="333333"/>
          <w:kern w:val="0"/>
          <w:sz w:val="32"/>
          <w:szCs w:val="32"/>
        </w:rPr>
        <w:t>）</w:t>
      </w:r>
      <w:r w:rsidRPr="00EC3636">
        <w:rPr>
          <w:rFonts w:ascii="仿宋_GB2312" w:eastAsia="仿宋_GB2312" w:hAnsi="宋体" w:cs="宋体" w:hint="eastAsia"/>
          <w:color w:val="333333"/>
          <w:kern w:val="0"/>
          <w:sz w:val="32"/>
          <w:szCs w:val="32"/>
        </w:rPr>
        <w:t xml:space="preserve">一般公共预算支出预测情况如下表： </w:t>
      </w:r>
    </w:p>
    <w:p w:rsidR="000D0A85" w:rsidRDefault="000D0A85" w:rsidP="00B051BA">
      <w:pPr>
        <w:widowControl/>
        <w:spacing w:line="600" w:lineRule="exact"/>
        <w:ind w:firstLine="644"/>
        <w:rPr>
          <w:rFonts w:ascii="仿宋_GB2312" w:eastAsia="仿宋_GB2312" w:hAnsi="宋体" w:cs="宋体"/>
          <w:color w:val="333333"/>
          <w:kern w:val="0"/>
          <w:sz w:val="32"/>
          <w:szCs w:val="32"/>
        </w:rPr>
      </w:pPr>
    </w:p>
    <w:p w:rsidR="00152420" w:rsidRPr="00EC3636" w:rsidRDefault="00152420" w:rsidP="00B051BA">
      <w:pPr>
        <w:widowControl/>
        <w:spacing w:line="600" w:lineRule="exact"/>
        <w:ind w:firstLineChars="2650" w:firstLine="6360"/>
        <w:rPr>
          <w:rFonts w:ascii="仿宋_GB2312" w:eastAsia="仿宋_GB2312" w:hAnsi="宋体" w:cs="宋体"/>
          <w:color w:val="333333"/>
          <w:kern w:val="0"/>
          <w:sz w:val="24"/>
          <w:szCs w:val="24"/>
        </w:rPr>
      </w:pPr>
      <w:r w:rsidRPr="00082875">
        <w:rPr>
          <w:rFonts w:ascii="仿宋_GB2312" w:eastAsia="仿宋_GB2312" w:hAnsi="宋体" w:cs="宋体" w:hint="eastAsia"/>
          <w:color w:val="333333"/>
          <w:kern w:val="0"/>
          <w:sz w:val="24"/>
          <w:szCs w:val="24"/>
        </w:rPr>
        <w:t>单位：亿</w:t>
      </w:r>
      <w:r w:rsidRPr="00EC3636">
        <w:rPr>
          <w:rFonts w:ascii="仿宋_GB2312" w:eastAsia="仿宋_GB2312" w:hAnsi="宋体" w:cs="宋体" w:hint="eastAsia"/>
          <w:color w:val="333333"/>
          <w:kern w:val="0"/>
          <w:sz w:val="24"/>
          <w:szCs w:val="24"/>
        </w:rPr>
        <w:t xml:space="preserve">元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833"/>
        <w:gridCol w:w="1188"/>
        <w:gridCol w:w="1188"/>
        <w:gridCol w:w="1283"/>
        <w:gridCol w:w="1187"/>
      </w:tblGrid>
      <w:tr w:rsidR="00152420" w:rsidRPr="00451AB3" w:rsidTr="00A4183E">
        <w:trPr>
          <w:trHeight w:val="300"/>
        </w:trPr>
        <w:tc>
          <w:tcPr>
            <w:tcW w:w="2185"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83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2</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3</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4</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5</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6</w:t>
            </w:r>
          </w:p>
        </w:tc>
      </w:tr>
      <w:tr w:rsidR="00152420" w:rsidRPr="00451AB3" w:rsidTr="00FE7B3D">
        <w:trPr>
          <w:trHeight w:hRule="exact" w:val="1063"/>
        </w:trPr>
        <w:tc>
          <w:tcPr>
            <w:tcW w:w="2185" w:type="dxa"/>
            <w:vAlign w:val="center"/>
          </w:tcPr>
          <w:p w:rsidR="00152420" w:rsidRPr="00451AB3" w:rsidRDefault="00BE22A6"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当年本级一般公共预算支出测算数</w:t>
            </w:r>
          </w:p>
        </w:tc>
        <w:tc>
          <w:tcPr>
            <w:tcW w:w="833"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100.49</w:t>
            </w:r>
          </w:p>
        </w:tc>
        <w:tc>
          <w:tcPr>
            <w:tcW w:w="1188"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105.81</w:t>
            </w:r>
          </w:p>
        </w:tc>
        <w:tc>
          <w:tcPr>
            <w:tcW w:w="1188"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111.41</w:t>
            </w:r>
          </w:p>
        </w:tc>
        <w:tc>
          <w:tcPr>
            <w:tcW w:w="1283"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117.3</w:t>
            </w:r>
          </w:p>
        </w:tc>
        <w:tc>
          <w:tcPr>
            <w:tcW w:w="1187"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123.51</w:t>
            </w:r>
          </w:p>
        </w:tc>
      </w:tr>
      <w:tr w:rsidR="00152420" w:rsidRPr="00451AB3" w:rsidTr="00A4183E">
        <w:trPr>
          <w:trHeight w:val="285"/>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83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7</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8</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C61392" w:rsidRPr="00451AB3">
              <w:rPr>
                <w:rFonts w:ascii="华文宋体" w:eastAsia="华文宋体" w:hAnsi="华文宋体" w:cs="宋体" w:hint="eastAsia"/>
                <w:kern w:val="0"/>
                <w:sz w:val="24"/>
                <w:szCs w:val="24"/>
              </w:rPr>
              <w:t>9</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C61392" w:rsidRPr="00451AB3">
              <w:rPr>
                <w:rFonts w:ascii="华文宋体" w:eastAsia="华文宋体" w:hAnsi="华文宋体" w:cs="宋体" w:hint="eastAsia"/>
                <w:kern w:val="0"/>
                <w:sz w:val="24"/>
                <w:szCs w:val="24"/>
              </w:rPr>
              <w:t>30</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C272CA" w:rsidRPr="00451AB3">
              <w:rPr>
                <w:rFonts w:ascii="华文宋体" w:eastAsia="华文宋体" w:hAnsi="华文宋体" w:cs="宋体" w:hint="eastAsia"/>
                <w:kern w:val="0"/>
                <w:sz w:val="24"/>
                <w:szCs w:val="24"/>
              </w:rPr>
              <w:t>3</w:t>
            </w:r>
            <w:r w:rsidR="00C61392" w:rsidRPr="00451AB3">
              <w:rPr>
                <w:rFonts w:ascii="华文宋体" w:eastAsia="华文宋体" w:hAnsi="华文宋体" w:cs="宋体" w:hint="eastAsia"/>
                <w:kern w:val="0"/>
                <w:sz w:val="24"/>
                <w:szCs w:val="24"/>
              </w:rPr>
              <w:t>1</w:t>
            </w:r>
          </w:p>
        </w:tc>
      </w:tr>
      <w:tr w:rsidR="00152420" w:rsidRPr="00451AB3" w:rsidTr="00A4183E">
        <w:trPr>
          <w:trHeight w:val="260"/>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当年本级一般公共预算支出测算数</w:t>
            </w:r>
          </w:p>
        </w:tc>
        <w:tc>
          <w:tcPr>
            <w:tcW w:w="833"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w:t>
            </w:r>
            <w:r w:rsidR="0098341B" w:rsidRPr="00451AB3">
              <w:rPr>
                <w:rFonts w:ascii="华文宋体" w:eastAsia="华文宋体" w:hAnsi="华文宋体" w:cs="宋体" w:hint="eastAsia"/>
                <w:kern w:val="0"/>
                <w:sz w:val="24"/>
                <w:szCs w:val="24"/>
              </w:rPr>
              <w:t>30.04</w:t>
            </w:r>
          </w:p>
        </w:tc>
        <w:tc>
          <w:tcPr>
            <w:tcW w:w="1188"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w:t>
            </w:r>
            <w:r w:rsidR="0098341B" w:rsidRPr="00451AB3">
              <w:rPr>
                <w:rFonts w:ascii="华文宋体" w:eastAsia="华文宋体" w:hAnsi="华文宋体" w:cs="宋体" w:hint="eastAsia"/>
                <w:kern w:val="0"/>
                <w:sz w:val="24"/>
                <w:szCs w:val="24"/>
              </w:rPr>
              <w:t>36.92</w:t>
            </w:r>
          </w:p>
        </w:tc>
        <w:tc>
          <w:tcPr>
            <w:tcW w:w="1188"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w:t>
            </w:r>
            <w:r w:rsidR="0098341B" w:rsidRPr="00451AB3">
              <w:rPr>
                <w:rFonts w:ascii="华文宋体" w:eastAsia="华文宋体" w:hAnsi="华文宋体" w:cs="宋体" w:hint="eastAsia"/>
                <w:kern w:val="0"/>
                <w:sz w:val="24"/>
                <w:szCs w:val="24"/>
              </w:rPr>
              <w:t>44.16</w:t>
            </w:r>
          </w:p>
        </w:tc>
        <w:tc>
          <w:tcPr>
            <w:tcW w:w="1283" w:type="dxa"/>
            <w:vAlign w:val="center"/>
          </w:tcPr>
          <w:p w:rsidR="00152420" w:rsidRPr="00451AB3" w:rsidRDefault="00C61392"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w:t>
            </w:r>
            <w:r w:rsidR="0098341B" w:rsidRPr="00451AB3">
              <w:rPr>
                <w:rFonts w:ascii="华文宋体" w:eastAsia="华文宋体" w:hAnsi="华文宋体" w:cs="宋体" w:hint="eastAsia"/>
                <w:kern w:val="0"/>
                <w:sz w:val="24"/>
                <w:szCs w:val="24"/>
              </w:rPr>
              <w:t>51.79</w:t>
            </w:r>
          </w:p>
        </w:tc>
        <w:tc>
          <w:tcPr>
            <w:tcW w:w="1187"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159.82</w:t>
            </w:r>
          </w:p>
        </w:tc>
      </w:tr>
      <w:tr w:rsidR="00152420" w:rsidRPr="00451AB3" w:rsidTr="00A4183E">
        <w:trPr>
          <w:trHeight w:val="270"/>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83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2</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3</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4</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5</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6</w:t>
            </w:r>
          </w:p>
        </w:tc>
      </w:tr>
      <w:tr w:rsidR="00152420" w:rsidRPr="00451AB3" w:rsidTr="00A4183E">
        <w:trPr>
          <w:trHeight w:val="275"/>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当年本级一般公共预算支出测算数</w:t>
            </w:r>
          </w:p>
        </w:tc>
        <w:tc>
          <w:tcPr>
            <w:tcW w:w="83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168.27</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177.18</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186.55</w:t>
            </w:r>
          </w:p>
        </w:tc>
        <w:tc>
          <w:tcPr>
            <w:tcW w:w="128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196.42</w:t>
            </w:r>
          </w:p>
        </w:tc>
        <w:tc>
          <w:tcPr>
            <w:tcW w:w="1187"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206.81</w:t>
            </w:r>
          </w:p>
        </w:tc>
      </w:tr>
      <w:tr w:rsidR="00152420" w:rsidRPr="00451AB3" w:rsidTr="00A4183E">
        <w:trPr>
          <w:trHeight w:val="270"/>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83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7</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8</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9</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98341B" w:rsidRPr="00451AB3">
              <w:rPr>
                <w:rFonts w:ascii="华文宋体" w:eastAsia="华文宋体" w:hAnsi="华文宋体" w:cs="宋体" w:hint="eastAsia"/>
                <w:kern w:val="0"/>
                <w:sz w:val="24"/>
                <w:szCs w:val="24"/>
              </w:rPr>
              <w:t>40</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C272CA" w:rsidRPr="00451AB3">
              <w:rPr>
                <w:rFonts w:ascii="华文宋体" w:eastAsia="华文宋体" w:hAnsi="华文宋体" w:cs="宋体" w:hint="eastAsia"/>
                <w:kern w:val="0"/>
                <w:sz w:val="24"/>
                <w:szCs w:val="24"/>
              </w:rPr>
              <w:t>4</w:t>
            </w:r>
            <w:r w:rsidR="0098341B" w:rsidRPr="00451AB3">
              <w:rPr>
                <w:rFonts w:ascii="华文宋体" w:eastAsia="华文宋体" w:hAnsi="华文宋体" w:cs="宋体" w:hint="eastAsia"/>
                <w:kern w:val="0"/>
                <w:sz w:val="24"/>
                <w:szCs w:val="24"/>
              </w:rPr>
              <w:t>1</w:t>
            </w:r>
          </w:p>
        </w:tc>
      </w:tr>
      <w:tr w:rsidR="00152420" w:rsidRPr="00451AB3" w:rsidTr="00A4183E">
        <w:trPr>
          <w:trHeight w:val="765"/>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当年本级一般公共预算支出测算数</w:t>
            </w:r>
          </w:p>
        </w:tc>
        <w:tc>
          <w:tcPr>
            <w:tcW w:w="83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217.75</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229.27</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241.4</w:t>
            </w:r>
          </w:p>
        </w:tc>
        <w:tc>
          <w:tcPr>
            <w:tcW w:w="128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254.17</w:t>
            </w:r>
          </w:p>
        </w:tc>
        <w:tc>
          <w:tcPr>
            <w:tcW w:w="1187"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267.61</w:t>
            </w:r>
          </w:p>
        </w:tc>
      </w:tr>
      <w:tr w:rsidR="00152420" w:rsidRPr="00451AB3" w:rsidTr="00A4183E">
        <w:trPr>
          <w:trHeight w:val="360"/>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83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2</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3</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4</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5</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6</w:t>
            </w:r>
          </w:p>
        </w:tc>
      </w:tr>
      <w:tr w:rsidR="00152420" w:rsidRPr="00451AB3" w:rsidTr="00A4183E">
        <w:trPr>
          <w:trHeight w:val="585"/>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当年本级一般公共预算支出测算数</w:t>
            </w:r>
          </w:p>
        </w:tc>
        <w:tc>
          <w:tcPr>
            <w:tcW w:w="83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281.77</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296.67</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312.37</w:t>
            </w:r>
          </w:p>
        </w:tc>
        <w:tc>
          <w:tcPr>
            <w:tcW w:w="128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328.89</w:t>
            </w:r>
          </w:p>
        </w:tc>
        <w:tc>
          <w:tcPr>
            <w:tcW w:w="1187"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346.29</w:t>
            </w:r>
          </w:p>
        </w:tc>
      </w:tr>
      <w:tr w:rsidR="00152420" w:rsidRPr="00451AB3" w:rsidTr="00A4183E">
        <w:trPr>
          <w:trHeight w:val="215"/>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83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7</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8</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204</w:t>
            </w:r>
            <w:r w:rsidR="0098341B" w:rsidRPr="00451AB3">
              <w:rPr>
                <w:rFonts w:ascii="华文宋体" w:eastAsia="华文宋体" w:hAnsi="华文宋体" w:cs="宋体" w:hint="eastAsia"/>
                <w:kern w:val="0"/>
                <w:sz w:val="24"/>
                <w:szCs w:val="24"/>
              </w:rPr>
              <w:t>9</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98341B" w:rsidRPr="00451AB3">
              <w:rPr>
                <w:rFonts w:ascii="华文宋体" w:eastAsia="华文宋体" w:hAnsi="华文宋体" w:cs="宋体" w:hint="eastAsia"/>
                <w:kern w:val="0"/>
                <w:sz w:val="24"/>
                <w:szCs w:val="24"/>
              </w:rPr>
              <w:t>50</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C272CA" w:rsidRPr="00451AB3">
              <w:rPr>
                <w:rFonts w:ascii="华文宋体" w:eastAsia="华文宋体" w:hAnsi="华文宋体" w:cs="宋体" w:hint="eastAsia"/>
                <w:kern w:val="0"/>
                <w:sz w:val="24"/>
                <w:szCs w:val="24"/>
              </w:rPr>
              <w:t>5</w:t>
            </w:r>
            <w:r w:rsidR="0098341B" w:rsidRPr="00451AB3">
              <w:rPr>
                <w:rFonts w:ascii="华文宋体" w:eastAsia="华文宋体" w:hAnsi="华文宋体" w:cs="宋体" w:hint="eastAsia"/>
                <w:kern w:val="0"/>
                <w:sz w:val="24"/>
                <w:szCs w:val="24"/>
              </w:rPr>
              <w:t>1</w:t>
            </w:r>
          </w:p>
        </w:tc>
      </w:tr>
      <w:tr w:rsidR="00152420" w:rsidRPr="00451AB3" w:rsidTr="00A4183E">
        <w:trPr>
          <w:trHeight w:val="330"/>
        </w:trPr>
        <w:tc>
          <w:tcPr>
            <w:tcW w:w="2185"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当年本级一般公共预算支出测算数</w:t>
            </w:r>
          </w:p>
        </w:tc>
        <w:tc>
          <w:tcPr>
            <w:tcW w:w="83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364.61</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383.39</w:t>
            </w:r>
          </w:p>
        </w:tc>
        <w:tc>
          <w:tcPr>
            <w:tcW w:w="1188"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404.21</w:t>
            </w:r>
          </w:p>
        </w:tc>
        <w:tc>
          <w:tcPr>
            <w:tcW w:w="1283"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425.59</w:t>
            </w:r>
          </w:p>
        </w:tc>
        <w:tc>
          <w:tcPr>
            <w:tcW w:w="1187" w:type="dxa"/>
            <w:vAlign w:val="center"/>
          </w:tcPr>
          <w:p w:rsidR="00152420" w:rsidRPr="00451AB3" w:rsidRDefault="0098341B"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448.1</w:t>
            </w:r>
          </w:p>
        </w:tc>
      </w:tr>
    </w:tbl>
    <w:p w:rsidR="00152420" w:rsidRPr="00451AB3" w:rsidRDefault="00152420" w:rsidP="00B051BA">
      <w:pPr>
        <w:widowControl/>
        <w:spacing w:line="600" w:lineRule="exact"/>
        <w:rPr>
          <w:rFonts w:ascii="华文宋体" w:eastAsia="华文宋体" w:hAnsi="华文宋体" w:cs="宋体"/>
          <w:kern w:val="0"/>
          <w:sz w:val="24"/>
          <w:szCs w:val="24"/>
        </w:rPr>
      </w:pPr>
    </w:p>
    <w:p w:rsidR="00152420" w:rsidRPr="00451AB3" w:rsidRDefault="00152420" w:rsidP="00B051BA">
      <w:pPr>
        <w:widowControl/>
        <w:spacing w:line="600" w:lineRule="exact"/>
        <w:ind w:firstLine="347"/>
        <w:rPr>
          <w:rFonts w:ascii="仿宋_GB2312" w:eastAsia="仿宋_GB2312" w:hAnsi="宋体" w:cs="宋体"/>
          <w:kern w:val="0"/>
          <w:sz w:val="32"/>
          <w:szCs w:val="32"/>
        </w:rPr>
      </w:pPr>
      <w:r w:rsidRPr="00451AB3">
        <w:rPr>
          <w:rFonts w:ascii="仿宋_GB2312" w:eastAsia="仿宋_GB2312" w:hAnsi="宋体" w:cs="宋体" w:hint="eastAsia"/>
          <w:kern w:val="0"/>
          <w:sz w:val="32"/>
          <w:szCs w:val="32"/>
        </w:rPr>
        <w:t xml:space="preserve">五、论证结果 </w:t>
      </w:r>
    </w:p>
    <w:p w:rsidR="00152420" w:rsidRPr="00451AB3" w:rsidRDefault="00AE6B8C" w:rsidP="00AE6B8C">
      <w:pPr>
        <w:widowControl/>
        <w:spacing w:line="600" w:lineRule="exact"/>
        <w:ind w:firstLine="709"/>
        <w:rPr>
          <w:rFonts w:ascii="仿宋_GB2312" w:eastAsia="仿宋_GB2312" w:hAnsi="宋体" w:cs="宋体"/>
          <w:kern w:val="0"/>
          <w:sz w:val="32"/>
          <w:szCs w:val="32"/>
        </w:rPr>
      </w:pPr>
      <w:r w:rsidRPr="00451AB3">
        <w:rPr>
          <w:rFonts w:ascii="仿宋_GB2312" w:eastAsia="仿宋_GB2312" w:hAnsi="宋体" w:cs="宋体" w:hint="eastAsia"/>
          <w:kern w:val="0"/>
          <w:sz w:val="32"/>
          <w:szCs w:val="32"/>
        </w:rPr>
        <w:t>根据</w:t>
      </w:r>
      <w:r w:rsidR="00152420" w:rsidRPr="00451AB3">
        <w:rPr>
          <w:rFonts w:ascii="仿宋_GB2312" w:eastAsia="仿宋_GB2312" w:hAnsi="宋体" w:cs="宋体" w:hint="eastAsia"/>
          <w:kern w:val="0"/>
          <w:sz w:val="32"/>
          <w:szCs w:val="32"/>
        </w:rPr>
        <w:t>财金〔2015〕21号文要求，“每一年度全部PPP项目需要从预算中安排的支出责任，占一般公共预算支出比例应当不超过10%</w:t>
      </w:r>
      <w:r w:rsidR="009C46FC" w:rsidRPr="00451AB3">
        <w:rPr>
          <w:rFonts w:ascii="仿宋_GB2312" w:eastAsia="仿宋_GB2312" w:hAnsi="宋体" w:cs="宋体" w:hint="eastAsia"/>
          <w:kern w:val="0"/>
          <w:sz w:val="32"/>
          <w:szCs w:val="32"/>
        </w:rPr>
        <w:t>”</w:t>
      </w:r>
      <w:r w:rsidR="00152420" w:rsidRPr="00451AB3">
        <w:rPr>
          <w:rFonts w:ascii="仿宋_GB2312" w:eastAsia="仿宋_GB2312" w:hAnsi="宋体" w:cs="宋体" w:hint="eastAsia"/>
          <w:kern w:val="0"/>
          <w:sz w:val="32"/>
          <w:szCs w:val="32"/>
        </w:rPr>
        <w:t xml:space="preserve">。 </w:t>
      </w:r>
    </w:p>
    <w:p w:rsidR="00152420" w:rsidRPr="00451AB3" w:rsidRDefault="00907B30" w:rsidP="009C46FC">
      <w:pPr>
        <w:widowControl/>
        <w:spacing w:line="600" w:lineRule="exact"/>
        <w:ind w:firstLine="567"/>
        <w:rPr>
          <w:rFonts w:ascii="仿宋_GB2312" w:eastAsia="仿宋_GB2312" w:hAnsi="宋体" w:cs="宋体"/>
          <w:kern w:val="0"/>
          <w:sz w:val="32"/>
          <w:szCs w:val="32"/>
        </w:rPr>
      </w:pPr>
      <w:r w:rsidRPr="00451AB3">
        <w:rPr>
          <w:rFonts w:ascii="仿宋_GB2312" w:eastAsia="仿宋_GB2312" w:hAnsi="宋体" w:cs="宋体" w:hint="eastAsia"/>
          <w:kern w:val="0"/>
          <w:sz w:val="32"/>
          <w:szCs w:val="32"/>
        </w:rPr>
        <w:lastRenderedPageBreak/>
        <w:t>常州国家高新区（新北区）</w:t>
      </w:r>
      <w:r w:rsidR="00152420" w:rsidRPr="00451AB3">
        <w:rPr>
          <w:rFonts w:ascii="仿宋_GB2312" w:eastAsia="仿宋_GB2312" w:hAnsi="宋体" w:cs="宋体" w:hint="eastAsia"/>
          <w:kern w:val="0"/>
          <w:sz w:val="32"/>
          <w:szCs w:val="32"/>
        </w:rPr>
        <w:t xml:space="preserve">已入库PPP项目政府支出责任，在全生命周期内各年度支出占一般公共预算支出的比例均在10%以内，符合财政部相关要求。具体占比情况如下表：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4"/>
        <w:gridCol w:w="1074"/>
        <w:gridCol w:w="1188"/>
        <w:gridCol w:w="1188"/>
        <w:gridCol w:w="1283"/>
        <w:gridCol w:w="1187"/>
      </w:tblGrid>
      <w:tr w:rsidR="00152420" w:rsidRPr="00451AB3" w:rsidTr="00082875">
        <w:trPr>
          <w:trHeight w:val="300"/>
        </w:trPr>
        <w:tc>
          <w:tcPr>
            <w:tcW w:w="1944"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1074"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2</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3</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4</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5</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6</w:t>
            </w:r>
          </w:p>
        </w:tc>
      </w:tr>
      <w:tr w:rsidR="00152420" w:rsidRPr="00451AB3" w:rsidTr="00BE22A6">
        <w:trPr>
          <w:trHeight w:hRule="exact" w:val="852"/>
        </w:trPr>
        <w:tc>
          <w:tcPr>
            <w:tcW w:w="1944"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支出责任/预算支出</w:t>
            </w:r>
          </w:p>
        </w:tc>
        <w:tc>
          <w:tcPr>
            <w:tcW w:w="1074"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1.7</w:t>
            </w:r>
            <w:r w:rsidR="00082875" w:rsidRPr="00451AB3">
              <w:rPr>
                <w:rFonts w:ascii="华文宋体" w:eastAsia="华文宋体" w:hAnsi="华文宋体" w:cs="宋体" w:hint="eastAsia"/>
                <w:kern w:val="0"/>
                <w:sz w:val="24"/>
                <w:szCs w:val="24"/>
              </w:rPr>
              <w:t>%</w:t>
            </w:r>
          </w:p>
        </w:tc>
        <w:tc>
          <w:tcPr>
            <w:tcW w:w="1188"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0.9</w:t>
            </w:r>
            <w:r w:rsidR="00082875" w:rsidRPr="00451AB3">
              <w:rPr>
                <w:rFonts w:ascii="华文宋体" w:eastAsia="华文宋体" w:hAnsi="华文宋体" w:cs="宋体" w:hint="eastAsia"/>
                <w:kern w:val="0"/>
                <w:sz w:val="24"/>
                <w:szCs w:val="24"/>
              </w:rPr>
              <w:t>%</w:t>
            </w:r>
          </w:p>
        </w:tc>
        <w:tc>
          <w:tcPr>
            <w:tcW w:w="1188"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2.1</w:t>
            </w:r>
            <w:r w:rsidR="00082875" w:rsidRPr="00451AB3">
              <w:rPr>
                <w:rFonts w:ascii="华文宋体" w:eastAsia="华文宋体" w:hAnsi="华文宋体" w:cs="宋体" w:hint="eastAsia"/>
                <w:kern w:val="0"/>
                <w:sz w:val="24"/>
                <w:szCs w:val="24"/>
              </w:rPr>
              <w:t>%</w:t>
            </w:r>
          </w:p>
        </w:tc>
        <w:tc>
          <w:tcPr>
            <w:tcW w:w="1283"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082875" w:rsidRPr="00451AB3">
              <w:rPr>
                <w:rFonts w:ascii="华文宋体" w:eastAsia="华文宋体" w:hAnsi="华文宋体" w:cs="宋体" w:hint="eastAsia"/>
                <w:kern w:val="0"/>
                <w:sz w:val="24"/>
                <w:szCs w:val="24"/>
              </w:rPr>
              <w:t>%</w:t>
            </w:r>
          </w:p>
        </w:tc>
        <w:tc>
          <w:tcPr>
            <w:tcW w:w="1187"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1.9</w:t>
            </w:r>
            <w:r w:rsidR="00082875" w:rsidRPr="00451AB3">
              <w:rPr>
                <w:rFonts w:ascii="华文宋体" w:eastAsia="华文宋体" w:hAnsi="华文宋体" w:cs="宋体" w:hint="eastAsia"/>
                <w:kern w:val="0"/>
                <w:sz w:val="24"/>
                <w:szCs w:val="24"/>
              </w:rPr>
              <w:t>%</w:t>
            </w:r>
          </w:p>
        </w:tc>
      </w:tr>
      <w:tr w:rsidR="00152420" w:rsidRPr="00451AB3" w:rsidTr="00A4183E">
        <w:trPr>
          <w:trHeight w:val="860"/>
        </w:trPr>
        <w:tc>
          <w:tcPr>
            <w:tcW w:w="1944"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1074"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7</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8</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202</w:t>
            </w:r>
            <w:r w:rsidR="0098341B" w:rsidRPr="00451AB3">
              <w:rPr>
                <w:rFonts w:ascii="华文宋体" w:eastAsia="华文宋体" w:hAnsi="华文宋体" w:cs="宋体" w:hint="eastAsia"/>
                <w:kern w:val="0"/>
                <w:sz w:val="24"/>
                <w:szCs w:val="24"/>
              </w:rPr>
              <w:t>9</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98341B" w:rsidRPr="00451AB3">
              <w:rPr>
                <w:rFonts w:ascii="华文宋体" w:eastAsia="华文宋体" w:hAnsi="华文宋体" w:cs="宋体" w:hint="eastAsia"/>
                <w:kern w:val="0"/>
                <w:sz w:val="24"/>
                <w:szCs w:val="24"/>
              </w:rPr>
              <w:t>30</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w:t>
            </w:r>
            <w:r w:rsidR="0098341B" w:rsidRPr="00451AB3">
              <w:rPr>
                <w:rFonts w:ascii="华文宋体" w:eastAsia="华文宋体" w:hAnsi="华文宋体" w:cs="宋体" w:hint="eastAsia"/>
                <w:kern w:val="0"/>
                <w:sz w:val="24"/>
                <w:szCs w:val="24"/>
              </w:rPr>
              <w:t>31</w:t>
            </w:r>
          </w:p>
        </w:tc>
      </w:tr>
      <w:tr w:rsidR="00152420" w:rsidRPr="00451AB3" w:rsidTr="00082875">
        <w:trPr>
          <w:trHeight w:val="260"/>
        </w:trPr>
        <w:tc>
          <w:tcPr>
            <w:tcW w:w="1944"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支出责任/预算支出</w:t>
            </w:r>
          </w:p>
        </w:tc>
        <w:tc>
          <w:tcPr>
            <w:tcW w:w="1074"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1.8</w:t>
            </w:r>
            <w:r w:rsidR="00082875" w:rsidRPr="00451AB3">
              <w:rPr>
                <w:rFonts w:ascii="华文宋体" w:eastAsia="华文宋体" w:hAnsi="华文宋体" w:cs="宋体" w:hint="eastAsia"/>
                <w:kern w:val="0"/>
                <w:sz w:val="24"/>
                <w:szCs w:val="24"/>
              </w:rPr>
              <w:t>%</w:t>
            </w:r>
          </w:p>
        </w:tc>
        <w:tc>
          <w:tcPr>
            <w:tcW w:w="1188"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1.7</w:t>
            </w:r>
            <w:r w:rsidR="00082875" w:rsidRPr="00451AB3">
              <w:rPr>
                <w:rFonts w:ascii="华文宋体" w:eastAsia="华文宋体" w:hAnsi="华文宋体" w:cs="宋体" w:hint="eastAsia"/>
                <w:kern w:val="0"/>
                <w:sz w:val="24"/>
                <w:szCs w:val="24"/>
              </w:rPr>
              <w:t>%</w:t>
            </w:r>
          </w:p>
        </w:tc>
        <w:tc>
          <w:tcPr>
            <w:tcW w:w="1188"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1.5</w:t>
            </w:r>
            <w:r w:rsidR="00082875" w:rsidRPr="00451AB3">
              <w:rPr>
                <w:rFonts w:ascii="华文宋体" w:eastAsia="华文宋体" w:hAnsi="华文宋体" w:cs="宋体" w:hint="eastAsia"/>
                <w:kern w:val="0"/>
                <w:sz w:val="24"/>
                <w:szCs w:val="24"/>
              </w:rPr>
              <w:t>%</w:t>
            </w:r>
          </w:p>
        </w:tc>
        <w:tc>
          <w:tcPr>
            <w:tcW w:w="1283"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1.5</w:t>
            </w:r>
            <w:r w:rsidR="00082875" w:rsidRPr="00451AB3">
              <w:rPr>
                <w:rFonts w:ascii="华文宋体" w:eastAsia="华文宋体" w:hAnsi="华文宋体" w:cs="宋体" w:hint="eastAsia"/>
                <w:kern w:val="0"/>
                <w:sz w:val="24"/>
                <w:szCs w:val="24"/>
              </w:rPr>
              <w:t>%</w:t>
            </w:r>
          </w:p>
        </w:tc>
        <w:tc>
          <w:tcPr>
            <w:tcW w:w="1187"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1.0</w:t>
            </w:r>
            <w:r w:rsidR="00082875" w:rsidRPr="00451AB3">
              <w:rPr>
                <w:rFonts w:ascii="华文宋体" w:eastAsia="华文宋体" w:hAnsi="华文宋体" w:cs="宋体" w:hint="eastAsia"/>
                <w:kern w:val="0"/>
                <w:sz w:val="24"/>
                <w:szCs w:val="24"/>
              </w:rPr>
              <w:t>%</w:t>
            </w:r>
          </w:p>
        </w:tc>
      </w:tr>
      <w:tr w:rsidR="00152420" w:rsidRPr="00451AB3" w:rsidTr="00082875">
        <w:trPr>
          <w:trHeight w:val="270"/>
        </w:trPr>
        <w:tc>
          <w:tcPr>
            <w:tcW w:w="1944"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1074"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2</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3</w:t>
            </w:r>
          </w:p>
        </w:tc>
        <w:tc>
          <w:tcPr>
            <w:tcW w:w="1188"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4</w:t>
            </w:r>
          </w:p>
        </w:tc>
        <w:tc>
          <w:tcPr>
            <w:tcW w:w="1283"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5</w:t>
            </w:r>
          </w:p>
        </w:tc>
        <w:tc>
          <w:tcPr>
            <w:tcW w:w="1187" w:type="dxa"/>
            <w:vAlign w:val="center"/>
          </w:tcPr>
          <w:p w:rsidR="00152420" w:rsidRPr="00451AB3" w:rsidRDefault="00152420"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203</w:t>
            </w:r>
            <w:r w:rsidR="0098341B" w:rsidRPr="00451AB3">
              <w:rPr>
                <w:rFonts w:ascii="华文宋体" w:eastAsia="华文宋体" w:hAnsi="华文宋体" w:cs="宋体" w:hint="eastAsia"/>
                <w:kern w:val="0"/>
                <w:sz w:val="24"/>
                <w:szCs w:val="24"/>
              </w:rPr>
              <w:t>6</w:t>
            </w:r>
          </w:p>
        </w:tc>
      </w:tr>
      <w:tr w:rsidR="00152420" w:rsidRPr="00451AB3" w:rsidTr="00082875">
        <w:trPr>
          <w:trHeight w:val="275"/>
        </w:trPr>
        <w:tc>
          <w:tcPr>
            <w:tcW w:w="1944" w:type="dxa"/>
            <w:vAlign w:val="center"/>
          </w:tcPr>
          <w:p w:rsidR="00152420" w:rsidRPr="00451AB3" w:rsidRDefault="00152420" w:rsidP="00B051B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支出责任/预算支出</w:t>
            </w:r>
          </w:p>
        </w:tc>
        <w:tc>
          <w:tcPr>
            <w:tcW w:w="1074"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1.0</w:t>
            </w:r>
            <w:r w:rsidR="00082875" w:rsidRPr="00451AB3">
              <w:rPr>
                <w:rFonts w:ascii="华文宋体" w:eastAsia="华文宋体" w:hAnsi="华文宋体" w:cs="宋体" w:hint="eastAsia"/>
                <w:kern w:val="0"/>
                <w:sz w:val="24"/>
                <w:szCs w:val="24"/>
              </w:rPr>
              <w:t>%</w:t>
            </w:r>
          </w:p>
        </w:tc>
        <w:tc>
          <w:tcPr>
            <w:tcW w:w="1188"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0.9%</w:t>
            </w:r>
          </w:p>
        </w:tc>
        <w:tc>
          <w:tcPr>
            <w:tcW w:w="1188"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0.9%</w:t>
            </w:r>
          </w:p>
        </w:tc>
        <w:tc>
          <w:tcPr>
            <w:tcW w:w="1283"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0.8%</w:t>
            </w:r>
          </w:p>
        </w:tc>
        <w:tc>
          <w:tcPr>
            <w:tcW w:w="1187" w:type="dxa"/>
            <w:vAlign w:val="center"/>
          </w:tcPr>
          <w:p w:rsidR="00152420" w:rsidRPr="00451AB3" w:rsidRDefault="00451AB3" w:rsidP="00B051BA">
            <w:pPr>
              <w:widowControl/>
              <w:spacing w:line="6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0.8%</w:t>
            </w:r>
          </w:p>
        </w:tc>
      </w:tr>
      <w:tr w:rsidR="00451AB3" w:rsidRPr="00451AB3" w:rsidTr="00082875">
        <w:trPr>
          <w:trHeight w:val="275"/>
        </w:trPr>
        <w:tc>
          <w:tcPr>
            <w:tcW w:w="1944" w:type="dxa"/>
            <w:vAlign w:val="center"/>
          </w:tcPr>
          <w:p w:rsidR="00451AB3" w:rsidRPr="00451AB3" w:rsidRDefault="00451AB3" w:rsidP="0037334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年度</w:t>
            </w:r>
          </w:p>
        </w:tc>
        <w:tc>
          <w:tcPr>
            <w:tcW w:w="1074"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r w:rsidRPr="00451AB3">
              <w:rPr>
                <w:rFonts w:ascii="华文宋体" w:eastAsia="华文宋体" w:hAnsi="华文宋体" w:cs="宋体" w:hint="eastAsia"/>
                <w:kern w:val="0"/>
                <w:sz w:val="24"/>
                <w:szCs w:val="24"/>
              </w:rPr>
              <w:t>2037</w:t>
            </w:r>
          </w:p>
        </w:tc>
        <w:tc>
          <w:tcPr>
            <w:tcW w:w="1188"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r w:rsidRPr="00451AB3">
              <w:rPr>
                <w:rFonts w:ascii="华文宋体" w:eastAsia="华文宋体" w:hAnsi="华文宋体" w:cs="宋体" w:hint="eastAsia"/>
                <w:kern w:val="0"/>
                <w:sz w:val="24"/>
                <w:szCs w:val="24"/>
              </w:rPr>
              <w:t>2038</w:t>
            </w:r>
          </w:p>
        </w:tc>
        <w:tc>
          <w:tcPr>
            <w:tcW w:w="1188"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p>
        </w:tc>
        <w:tc>
          <w:tcPr>
            <w:tcW w:w="1283"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p>
        </w:tc>
        <w:tc>
          <w:tcPr>
            <w:tcW w:w="1187"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p>
        </w:tc>
      </w:tr>
      <w:tr w:rsidR="00451AB3" w:rsidRPr="00451AB3" w:rsidTr="00082875">
        <w:trPr>
          <w:trHeight w:val="275"/>
        </w:trPr>
        <w:tc>
          <w:tcPr>
            <w:tcW w:w="1944" w:type="dxa"/>
            <w:vAlign w:val="center"/>
          </w:tcPr>
          <w:p w:rsidR="00451AB3" w:rsidRPr="00451AB3" w:rsidRDefault="00451AB3" w:rsidP="0037334A">
            <w:pPr>
              <w:widowControl/>
              <w:spacing w:line="400" w:lineRule="exact"/>
              <w:rPr>
                <w:rFonts w:ascii="华文宋体" w:eastAsia="华文宋体" w:hAnsi="华文宋体" w:cs="宋体"/>
                <w:kern w:val="0"/>
                <w:sz w:val="24"/>
                <w:szCs w:val="24"/>
              </w:rPr>
            </w:pPr>
            <w:r w:rsidRPr="00451AB3">
              <w:rPr>
                <w:rFonts w:ascii="华文宋体" w:eastAsia="华文宋体" w:hAnsi="华文宋体" w:cs="宋体" w:hint="eastAsia"/>
                <w:kern w:val="0"/>
                <w:sz w:val="24"/>
                <w:szCs w:val="24"/>
              </w:rPr>
              <w:t>支出责任/预算支出</w:t>
            </w:r>
          </w:p>
        </w:tc>
        <w:tc>
          <w:tcPr>
            <w:tcW w:w="1074"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r w:rsidRPr="00451AB3">
              <w:rPr>
                <w:rFonts w:ascii="华文宋体" w:eastAsia="华文宋体" w:hAnsi="华文宋体" w:cs="宋体" w:hint="eastAsia"/>
                <w:kern w:val="0"/>
                <w:sz w:val="24"/>
                <w:szCs w:val="24"/>
              </w:rPr>
              <w:t>0.7%</w:t>
            </w:r>
          </w:p>
        </w:tc>
        <w:tc>
          <w:tcPr>
            <w:tcW w:w="1188"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r w:rsidRPr="00451AB3">
              <w:rPr>
                <w:rFonts w:ascii="华文宋体" w:eastAsia="华文宋体" w:hAnsi="华文宋体" w:cs="宋体" w:hint="eastAsia"/>
                <w:kern w:val="0"/>
                <w:sz w:val="24"/>
                <w:szCs w:val="24"/>
              </w:rPr>
              <w:t>0.7%</w:t>
            </w:r>
          </w:p>
        </w:tc>
        <w:tc>
          <w:tcPr>
            <w:tcW w:w="1188"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p>
        </w:tc>
        <w:tc>
          <w:tcPr>
            <w:tcW w:w="1283"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p>
        </w:tc>
        <w:tc>
          <w:tcPr>
            <w:tcW w:w="1187" w:type="dxa"/>
            <w:vAlign w:val="center"/>
          </w:tcPr>
          <w:p w:rsidR="00451AB3" w:rsidRPr="00451AB3" w:rsidRDefault="00451AB3" w:rsidP="00B051BA">
            <w:pPr>
              <w:widowControl/>
              <w:spacing w:line="600" w:lineRule="exact"/>
              <w:rPr>
                <w:rFonts w:ascii="华文宋体" w:eastAsia="华文宋体" w:hAnsi="华文宋体" w:cs="宋体" w:hint="eastAsia"/>
                <w:kern w:val="0"/>
                <w:sz w:val="24"/>
                <w:szCs w:val="24"/>
              </w:rPr>
            </w:pPr>
          </w:p>
        </w:tc>
      </w:tr>
    </w:tbl>
    <w:p w:rsidR="00152420" w:rsidRDefault="00152420" w:rsidP="00B051BA">
      <w:pPr>
        <w:widowControl/>
        <w:spacing w:line="600" w:lineRule="exact"/>
      </w:pPr>
    </w:p>
    <w:sectPr w:rsidR="00152420" w:rsidSect="002F1677">
      <w:pgSz w:w="11906" w:h="16838"/>
      <w:pgMar w:top="1440" w:right="184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73" w:rsidRDefault="00E05D73" w:rsidP="00A4183E">
      <w:r>
        <w:separator/>
      </w:r>
    </w:p>
  </w:endnote>
  <w:endnote w:type="continuationSeparator" w:id="1">
    <w:p w:rsidR="00E05D73" w:rsidRDefault="00E05D73" w:rsidP="00A41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73" w:rsidRDefault="00E05D73" w:rsidP="00A4183E">
      <w:r>
        <w:separator/>
      </w:r>
    </w:p>
  </w:footnote>
  <w:footnote w:type="continuationSeparator" w:id="1">
    <w:p w:rsidR="00E05D73" w:rsidRDefault="00E05D73" w:rsidP="00A41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420"/>
    <w:rsid w:val="00082875"/>
    <w:rsid w:val="00096A6D"/>
    <w:rsid w:val="000B09B7"/>
    <w:rsid w:val="000D0A85"/>
    <w:rsid w:val="000F31AB"/>
    <w:rsid w:val="00152420"/>
    <w:rsid w:val="00190FB1"/>
    <w:rsid w:val="002206DE"/>
    <w:rsid w:val="00246F61"/>
    <w:rsid w:val="002F1677"/>
    <w:rsid w:val="00301B4C"/>
    <w:rsid w:val="003401DB"/>
    <w:rsid w:val="00364EEB"/>
    <w:rsid w:val="00395DA7"/>
    <w:rsid w:val="00451AB3"/>
    <w:rsid w:val="00460DDB"/>
    <w:rsid w:val="004D268D"/>
    <w:rsid w:val="00541F62"/>
    <w:rsid w:val="00566B67"/>
    <w:rsid w:val="005E6E7B"/>
    <w:rsid w:val="006268AC"/>
    <w:rsid w:val="006321BC"/>
    <w:rsid w:val="0065312A"/>
    <w:rsid w:val="00667891"/>
    <w:rsid w:val="006D1C7A"/>
    <w:rsid w:val="007242A7"/>
    <w:rsid w:val="007321F1"/>
    <w:rsid w:val="0075776A"/>
    <w:rsid w:val="00763724"/>
    <w:rsid w:val="007A6F11"/>
    <w:rsid w:val="007E114B"/>
    <w:rsid w:val="00855631"/>
    <w:rsid w:val="00907B30"/>
    <w:rsid w:val="009546F8"/>
    <w:rsid w:val="0098341B"/>
    <w:rsid w:val="009C46FC"/>
    <w:rsid w:val="00A10439"/>
    <w:rsid w:val="00A4183E"/>
    <w:rsid w:val="00AA3B72"/>
    <w:rsid w:val="00AD7C75"/>
    <w:rsid w:val="00AE6B8C"/>
    <w:rsid w:val="00B02E44"/>
    <w:rsid w:val="00B051BA"/>
    <w:rsid w:val="00B81EAC"/>
    <w:rsid w:val="00BE22A6"/>
    <w:rsid w:val="00C272CA"/>
    <w:rsid w:val="00C45240"/>
    <w:rsid w:val="00C61392"/>
    <w:rsid w:val="00CB0F29"/>
    <w:rsid w:val="00DB700B"/>
    <w:rsid w:val="00E05D73"/>
    <w:rsid w:val="00E174F5"/>
    <w:rsid w:val="00E964A7"/>
    <w:rsid w:val="00EE0038"/>
    <w:rsid w:val="00FE7B3D"/>
    <w:rsid w:val="00FF6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1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183E"/>
    <w:rPr>
      <w:sz w:val="18"/>
      <w:szCs w:val="18"/>
    </w:rPr>
  </w:style>
  <w:style w:type="paragraph" w:styleId="a4">
    <w:name w:val="footer"/>
    <w:basedOn w:val="a"/>
    <w:link w:val="Char0"/>
    <w:uiPriority w:val="99"/>
    <w:semiHidden/>
    <w:unhideWhenUsed/>
    <w:rsid w:val="00A418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18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274</Words>
  <Characters>1563</Characters>
  <Application>Microsoft Office Word</Application>
  <DocSecurity>0</DocSecurity>
  <Lines>13</Lines>
  <Paragraphs>3</Paragraphs>
  <ScaleCrop>false</ScaleCrop>
  <Company>www.diannaotuan.com</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常州国家高新区（新北区）财政局</dc:creator>
  <cp:lastModifiedBy>常州国家高新区（新北区）财政局</cp:lastModifiedBy>
  <cp:revision>6</cp:revision>
  <cp:lastPrinted>2021-04-20T03:08:00Z</cp:lastPrinted>
  <dcterms:created xsi:type="dcterms:W3CDTF">2022-02-21T02:58:00Z</dcterms:created>
  <dcterms:modified xsi:type="dcterms:W3CDTF">2022-02-23T06:34:00Z</dcterms:modified>
</cp:coreProperties>
</file>