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jc w:val="center"/>
        <w:textAlignment w:val="auto"/>
        <w:rPr>
          <w:rFonts w:hint="eastAsia" w:ascii="方正小标宋简体" w:hAnsi="方正小标宋简体" w:eastAsia="方正小标宋简体" w:cs="方正小标宋简体"/>
          <w:b w:val="0"/>
          <w:bCs w:val="0"/>
          <w:i w:val="0"/>
          <w:caps w:val="0"/>
          <w:color w:val="auto"/>
          <w:spacing w:val="-11"/>
          <w:sz w:val="44"/>
          <w:szCs w:val="44"/>
          <w:highlight w:val="none"/>
          <w:lang w:val="en-US" w:eastAsia="zh-CN"/>
        </w:rPr>
      </w:pPr>
      <w:r>
        <w:rPr>
          <w:rFonts w:hint="eastAsia" w:ascii="方正小标宋简体" w:hAnsi="方正小标宋简体" w:eastAsia="方正小标宋简体" w:cs="方正小标宋简体"/>
          <w:b w:val="0"/>
          <w:bCs w:val="0"/>
          <w:i w:val="0"/>
          <w:caps w:val="0"/>
          <w:color w:val="auto"/>
          <w:spacing w:val="-11"/>
          <w:sz w:val="44"/>
          <w:szCs w:val="44"/>
          <w:highlight w:val="none"/>
          <w:lang w:val="en-US" w:eastAsia="zh-CN"/>
        </w:rPr>
        <w:t>西夏墅镇2022年工作总结及2023年工作计划</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center" w:pos="4212"/>
          <w:tab w:val="left" w:pos="7041"/>
        </w:tabs>
        <w:kinsoku/>
        <w:wordWrap/>
        <w:overflowPunct/>
        <w:topLinePunct w:val="0"/>
        <w:autoSpaceDE/>
        <w:autoSpaceDN/>
        <w:bidi w:val="0"/>
        <w:adjustRightInd/>
        <w:snapToGrid/>
        <w:spacing w:before="0" w:beforeAutospacing="0" w:after="0" w:afterAutospacing="0" w:line="560" w:lineRule="exact"/>
        <w:ind w:leftChars="0" w:right="0" w:rightChars="0"/>
        <w:jc w:val="left"/>
        <w:textAlignment w:val="auto"/>
        <w:rPr>
          <w:rFonts w:hint="eastAsia" w:ascii="楷体_GB2312" w:hAnsi="楷体_GB2312" w:eastAsia="楷体_GB2312" w:cs="楷体_GB2312"/>
          <w:b w:val="0"/>
          <w:bCs w:val="0"/>
          <w:i w:val="0"/>
          <w:caps w:val="0"/>
          <w:color w:val="auto"/>
          <w:spacing w:val="0"/>
          <w:sz w:val="32"/>
          <w:szCs w:val="32"/>
          <w:highlight w:val="none"/>
          <w:lang w:val="en-US" w:eastAsia="zh-CN"/>
        </w:rPr>
      </w:pPr>
      <w:r>
        <w:rPr>
          <w:rFonts w:hint="eastAsia" w:ascii="方正小标宋简体" w:hAnsi="方正小标宋简体" w:eastAsia="方正小标宋简体" w:cs="方正小标宋简体"/>
          <w:b w:val="0"/>
          <w:bCs w:val="0"/>
          <w:i w:val="0"/>
          <w:caps w:val="0"/>
          <w:color w:val="auto"/>
          <w:spacing w:val="0"/>
          <w:sz w:val="44"/>
          <w:szCs w:val="44"/>
          <w:highlight w:val="none"/>
          <w:lang w:val="en-US" w:eastAsia="zh-CN"/>
        </w:rPr>
        <w:tab/>
      </w:r>
      <w:r>
        <w:rPr>
          <w:rFonts w:hint="eastAsia" w:ascii="楷体_GB2312" w:hAnsi="楷体_GB2312" w:eastAsia="楷体_GB2312" w:cs="楷体_GB2312"/>
          <w:b w:val="0"/>
          <w:bCs w:val="0"/>
          <w:i w:val="0"/>
          <w:caps w:val="0"/>
          <w:color w:val="auto"/>
          <w:spacing w:val="0"/>
          <w:sz w:val="32"/>
          <w:szCs w:val="32"/>
          <w:highlight w:val="none"/>
          <w:lang w:val="en-US" w:eastAsia="zh-CN"/>
        </w:rPr>
        <w:t>西夏墅镇党委、政府</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center" w:pos="4212"/>
          <w:tab w:val="left" w:pos="7041"/>
        </w:tabs>
        <w:kinsoku/>
        <w:wordWrap/>
        <w:overflowPunct/>
        <w:topLinePunct w:val="0"/>
        <w:autoSpaceDE/>
        <w:autoSpaceDN/>
        <w:bidi w:val="0"/>
        <w:adjustRightInd/>
        <w:snapToGrid/>
        <w:spacing w:before="0" w:beforeAutospacing="0" w:after="0" w:afterAutospacing="0" w:line="560" w:lineRule="exact"/>
        <w:ind w:leftChars="0" w:right="0" w:rightChars="0"/>
        <w:jc w:val="left"/>
        <w:textAlignment w:val="auto"/>
        <w:rPr>
          <w:rFonts w:hint="eastAsia" w:ascii="楷体_GB2312" w:hAnsi="楷体_GB2312" w:eastAsia="楷体_GB2312" w:cs="楷体_GB2312"/>
          <w:b w:val="0"/>
          <w:bCs w:val="0"/>
          <w:i w:val="0"/>
          <w:caps w:val="0"/>
          <w:color w:val="auto"/>
          <w:spacing w:val="0"/>
          <w:sz w:val="32"/>
          <w:szCs w:val="32"/>
          <w:highlight w:val="none"/>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7"/>
          <w:rFonts w:hint="eastAsia" w:ascii="仿宋_GB2312" w:hAnsi="仿宋_GB2312" w:eastAsia="仿宋_GB2312" w:cs="仿宋_GB2312"/>
          <w:b w:val="0"/>
          <w:bCs w:val="0"/>
          <w:sz w:val="32"/>
          <w:szCs w:val="32"/>
          <w:lang w:val="en-US" w:eastAsia="zh-CN"/>
        </w:rPr>
      </w:pPr>
      <w:r>
        <w:rPr>
          <w:rStyle w:val="7"/>
          <w:rFonts w:hint="eastAsia" w:ascii="仿宋_GB2312" w:hAnsi="仿宋_GB2312" w:eastAsia="仿宋_GB2312" w:cs="仿宋_GB2312"/>
          <w:b w:val="0"/>
          <w:bCs w:val="0"/>
          <w:sz w:val="32"/>
          <w:szCs w:val="32"/>
          <w:lang w:val="en-US" w:eastAsia="zh-CN"/>
        </w:rPr>
        <w:t>今年以来，西夏墅镇坚决贯彻落实“疫情要防住、经济要稳住、发展要安全”的重大要求，聚焦全市“532”发展战略，紧紧围绕区委区政府决策部署，以16个专班推进机制为抓手，扎实推进各项工作，经济社会发展稳中有进。</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0" w:firstLine="640" w:firstLineChars="200"/>
        <w:jc w:val="both"/>
        <w:textAlignment w:val="auto"/>
        <w:rPr>
          <w:rStyle w:val="7"/>
          <w:rFonts w:hint="eastAsia" w:ascii="黑体" w:hAnsi="黑体" w:eastAsia="黑体" w:cs="黑体"/>
          <w:b w:val="0"/>
          <w:bCs w:val="0"/>
          <w:sz w:val="32"/>
          <w:szCs w:val="32"/>
          <w:lang w:val="en-US" w:eastAsia="zh-CN"/>
        </w:rPr>
      </w:pPr>
      <w:r>
        <w:rPr>
          <w:rStyle w:val="7"/>
          <w:rFonts w:hint="eastAsia" w:ascii="黑体" w:hAnsi="黑体" w:eastAsia="黑体" w:cs="黑体"/>
          <w:b w:val="0"/>
          <w:bCs w:val="0"/>
          <w:sz w:val="32"/>
          <w:szCs w:val="32"/>
          <w:lang w:val="en-US" w:eastAsia="zh-CN"/>
        </w:rPr>
        <w:t>坚持转型升级，经济向好态势持续巩固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Style w:val="7"/>
          <w:rFonts w:hint="eastAsia" w:ascii="仿宋_GB2312" w:hAnsi="仿宋_GB2312" w:eastAsia="仿宋_GB2312" w:cs="仿宋_GB2312"/>
          <w:b w:val="0"/>
          <w:bCs w:val="0"/>
          <w:sz w:val="32"/>
          <w:szCs w:val="32"/>
          <w:lang w:val="en-US" w:eastAsia="zh-CN"/>
        </w:rPr>
        <w:t>高效统筹疫情防控和经济社会发展，</w:t>
      </w:r>
      <w:r>
        <w:rPr>
          <w:rFonts w:hint="eastAsia" w:ascii="仿宋_GB2312" w:hAnsi="仿宋_GB2312" w:eastAsia="仿宋_GB2312" w:cs="仿宋_GB2312"/>
          <w:b w:val="0"/>
          <w:bCs w:val="0"/>
          <w:sz w:val="32"/>
          <w:szCs w:val="32"/>
          <w:highlight w:val="none"/>
        </w:rPr>
        <w:t>预计</w:t>
      </w:r>
      <w:r>
        <w:rPr>
          <w:rFonts w:hint="eastAsia" w:ascii="仿宋_GB2312" w:hAnsi="仿宋_GB2312" w:eastAsia="仿宋_GB2312" w:cs="仿宋_GB2312"/>
          <w:b w:val="0"/>
          <w:bCs w:val="0"/>
          <w:sz w:val="32"/>
          <w:szCs w:val="32"/>
          <w:highlight w:val="none"/>
          <w:lang w:val="en-US" w:eastAsia="zh-CN"/>
        </w:rPr>
        <w:t>全年</w:t>
      </w:r>
      <w:r>
        <w:rPr>
          <w:rFonts w:hint="eastAsia" w:ascii="仿宋_GB2312" w:hAnsi="仿宋_GB2312" w:eastAsia="仿宋_GB2312" w:cs="仿宋_GB2312"/>
          <w:b w:val="0"/>
          <w:bCs w:val="0"/>
          <w:sz w:val="32"/>
          <w:szCs w:val="32"/>
          <w:highlight w:val="none"/>
        </w:rPr>
        <w:t>实现地区生产总值</w:t>
      </w:r>
      <w:r>
        <w:rPr>
          <w:rFonts w:hint="eastAsia" w:ascii="仿宋_GB2312" w:hAnsi="仿宋_GB2312" w:eastAsia="仿宋_GB2312" w:cs="仿宋_GB2312"/>
          <w:b w:val="0"/>
          <w:bCs w:val="0"/>
          <w:sz w:val="32"/>
          <w:szCs w:val="32"/>
          <w:highlight w:val="none"/>
          <w:lang w:val="en-US" w:eastAsia="zh-CN"/>
        </w:rPr>
        <w:t>80.57</w:t>
      </w:r>
      <w:r>
        <w:rPr>
          <w:rFonts w:hint="eastAsia" w:ascii="仿宋_GB2312" w:hAnsi="仿宋_GB2312" w:eastAsia="仿宋_GB2312" w:cs="仿宋_GB2312"/>
          <w:b w:val="0"/>
          <w:bCs w:val="0"/>
          <w:sz w:val="32"/>
          <w:szCs w:val="32"/>
          <w:highlight w:val="none"/>
        </w:rPr>
        <w:t>亿元，同比增长</w:t>
      </w:r>
      <w:r>
        <w:rPr>
          <w:rFonts w:hint="eastAsia" w:ascii="仿宋_GB2312" w:hAnsi="仿宋_GB2312" w:eastAsia="仿宋_GB2312" w:cs="仿宋_GB2312"/>
          <w:b w:val="0"/>
          <w:bCs w:val="0"/>
          <w:sz w:val="32"/>
          <w:szCs w:val="32"/>
          <w:highlight w:val="none"/>
          <w:lang w:val="en-US" w:eastAsia="zh-CN"/>
        </w:rPr>
        <w:t>6.5</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eastAsia="zh-CN"/>
        </w:rPr>
        <w:t>规上</w:t>
      </w:r>
      <w:r>
        <w:rPr>
          <w:rFonts w:hint="eastAsia" w:ascii="仿宋_GB2312" w:hAnsi="仿宋_GB2312" w:eastAsia="仿宋_GB2312" w:cs="仿宋_GB2312"/>
          <w:b w:val="0"/>
          <w:bCs w:val="0"/>
          <w:sz w:val="32"/>
          <w:szCs w:val="32"/>
        </w:rPr>
        <w:t>工业总产值</w:t>
      </w:r>
      <w:r>
        <w:rPr>
          <w:rFonts w:hint="eastAsia" w:ascii="仿宋_GB2312" w:hAnsi="仿宋_GB2312" w:eastAsia="仿宋_GB2312" w:cs="仿宋_GB2312"/>
          <w:b w:val="0"/>
          <w:bCs w:val="0"/>
          <w:sz w:val="32"/>
          <w:szCs w:val="32"/>
          <w:lang w:val="en-US" w:eastAsia="zh-CN"/>
        </w:rPr>
        <w:t>138</w:t>
      </w:r>
      <w:r>
        <w:rPr>
          <w:rFonts w:hint="eastAsia" w:ascii="仿宋_GB2312" w:hAnsi="仿宋_GB2312" w:eastAsia="仿宋_GB2312" w:cs="仿宋_GB2312"/>
          <w:b w:val="0"/>
          <w:bCs w:val="0"/>
          <w:sz w:val="32"/>
          <w:szCs w:val="32"/>
        </w:rPr>
        <w:t>亿元，同比增长</w:t>
      </w:r>
      <w:r>
        <w:rPr>
          <w:rFonts w:hint="eastAsia" w:ascii="仿宋_GB2312" w:hAnsi="仿宋_GB2312" w:eastAsia="仿宋_GB2312" w:cs="仿宋_GB2312"/>
          <w:b w:val="0"/>
          <w:bCs w:val="0"/>
          <w:sz w:val="32"/>
          <w:szCs w:val="32"/>
          <w:lang w:val="en-US" w:eastAsia="zh-CN"/>
        </w:rPr>
        <w:t>8.6</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highlight w:val="none"/>
        </w:rPr>
        <w:t>完成一般公共预算收入</w:t>
      </w:r>
      <w:r>
        <w:rPr>
          <w:rFonts w:hint="eastAsia" w:ascii="仿宋_GB2312" w:hAnsi="仿宋_GB2312" w:eastAsia="仿宋_GB2312" w:cs="仿宋_GB2312"/>
          <w:b w:val="0"/>
          <w:bCs w:val="0"/>
          <w:sz w:val="32"/>
          <w:szCs w:val="32"/>
          <w:highlight w:val="none"/>
          <w:lang w:val="en-US" w:eastAsia="zh-CN"/>
        </w:rPr>
        <w:t>4.5</w:t>
      </w:r>
      <w:r>
        <w:rPr>
          <w:rFonts w:hint="eastAsia" w:ascii="仿宋_GB2312" w:hAnsi="仿宋_GB2312" w:eastAsia="仿宋_GB2312" w:cs="仿宋_GB2312"/>
          <w:b w:val="0"/>
          <w:bCs w:val="0"/>
          <w:sz w:val="32"/>
          <w:szCs w:val="32"/>
          <w:highlight w:val="none"/>
        </w:rPr>
        <w:t>亿元，</w:t>
      </w:r>
      <w:r>
        <w:rPr>
          <w:rFonts w:hint="eastAsia" w:ascii="仿宋_GB2312" w:hAnsi="仿宋_GB2312" w:eastAsia="仿宋_GB2312" w:cs="仿宋_GB2312"/>
          <w:b w:val="0"/>
          <w:bCs w:val="0"/>
          <w:sz w:val="32"/>
          <w:szCs w:val="32"/>
          <w:highlight w:val="none"/>
          <w:lang w:val="en-US" w:eastAsia="zh-CN"/>
        </w:rPr>
        <w:t>同比增长3%。</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楷体_GB2312" w:hAnsi="楷体_GB2312" w:eastAsia="楷体_GB2312" w:cs="楷体_GB2312"/>
          <w:b w:val="0"/>
          <w:bCs w:val="0"/>
          <w:kern w:val="2"/>
          <w:sz w:val="32"/>
          <w:szCs w:val="32"/>
          <w:lang w:val="en-US" w:eastAsia="zh-CN" w:bidi="ar-SA"/>
        </w:rPr>
        <w:t>产业培育成效显著。</w:t>
      </w:r>
      <w:r>
        <w:rPr>
          <w:rFonts w:hint="eastAsia" w:ascii="仿宋_GB2312" w:hAnsi="仿宋_GB2312" w:eastAsia="仿宋_GB2312" w:cs="仿宋_GB2312"/>
          <w:b w:val="0"/>
          <w:bCs w:val="0"/>
          <w:sz w:val="32"/>
          <w:szCs w:val="32"/>
          <w:highlight w:val="none"/>
          <w:lang w:val="en-US" w:eastAsia="zh-CN"/>
        </w:rPr>
        <w:t>聚焦优质企业培育，今年以来培育</w:t>
      </w:r>
      <w:r>
        <w:rPr>
          <w:rFonts w:hint="eastAsia" w:ascii="仿宋_GB2312" w:hAnsi="仿宋_GB2312" w:eastAsia="仿宋_GB2312" w:cs="仿宋_GB2312"/>
          <w:b w:val="0"/>
          <w:bCs w:val="0"/>
          <w:color w:val="auto"/>
          <w:kern w:val="2"/>
          <w:sz w:val="32"/>
          <w:szCs w:val="32"/>
          <w:highlight w:val="none"/>
          <w:lang w:val="en-US" w:eastAsia="zh-CN"/>
        </w:rPr>
        <w:t>省级</w:t>
      </w:r>
      <w:r>
        <w:rPr>
          <w:rFonts w:hint="eastAsia" w:ascii="仿宋_GB2312" w:hAnsi="仿宋_GB2312" w:eastAsia="仿宋_GB2312" w:cs="仿宋_GB2312"/>
          <w:b w:val="0"/>
          <w:bCs w:val="0"/>
          <w:sz w:val="32"/>
          <w:szCs w:val="32"/>
          <w:highlight w:val="none"/>
        </w:rPr>
        <w:t>“专精特新”企</w:t>
      </w:r>
      <w:r>
        <w:rPr>
          <w:rFonts w:hint="eastAsia" w:ascii="仿宋_GB2312" w:hAnsi="仿宋_GB2312" w:eastAsia="仿宋_GB2312" w:cs="仿宋_GB2312"/>
          <w:b w:val="0"/>
          <w:bCs w:val="0"/>
          <w:sz w:val="32"/>
          <w:szCs w:val="32"/>
          <w:highlight w:val="none"/>
          <w:lang w:val="en-US" w:eastAsia="zh-CN"/>
        </w:rPr>
        <w:t>业2家，四星级上云企业10家。新材料行业预计全年实现销售50.52亿元，同比增长4.1%；刀工具行业预计全年实现销售53.12亿元，同比增长5.2%。西夏墅工具小镇智能智造服务集聚区获评市级现代服务业集聚发展示范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楷体_GB2312" w:hAnsi="楷体_GB2312" w:eastAsia="楷体_GB2312" w:cs="楷体_GB2312"/>
          <w:b w:val="0"/>
          <w:bCs w:val="0"/>
          <w:kern w:val="2"/>
          <w:sz w:val="32"/>
          <w:szCs w:val="32"/>
          <w:lang w:val="en-US" w:eastAsia="zh-CN" w:bidi="ar-SA"/>
        </w:rPr>
        <w:t>重大项目带动发力。</w:t>
      </w:r>
      <w:r>
        <w:rPr>
          <w:rFonts w:hint="eastAsia" w:ascii="仿宋_GB2312" w:hAnsi="仿宋_GB2312" w:eastAsia="仿宋_GB2312" w:cs="仿宋_GB2312"/>
          <w:b w:val="0"/>
          <w:bCs w:val="0"/>
          <w:sz w:val="32"/>
          <w:szCs w:val="32"/>
          <w:highlight w:val="none"/>
          <w:lang w:val="en-US" w:eastAsia="zh-CN"/>
        </w:rPr>
        <w:t>扎实推进9个市、区重点项目建设，引进新湖印染、沙特卡等5个项目，新创智能碳纤维全产业链综合利用项目年内签约。专班推进352亩工业用地提质增效，连片盘活君斯特、美格地块，提高亩均效益。</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7"/>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kern w:val="2"/>
          <w:sz w:val="32"/>
          <w:szCs w:val="32"/>
          <w:lang w:val="en-US" w:eastAsia="zh-CN" w:bidi="ar-SA"/>
        </w:rPr>
        <w:t>创新资源加速集聚。</w:t>
      </w:r>
      <w:r>
        <w:rPr>
          <w:rFonts w:hint="eastAsia" w:ascii="仿宋_GB2312" w:hAnsi="仿宋_GB2312" w:eastAsia="仿宋_GB2312" w:cs="仿宋_GB2312"/>
          <w:b w:val="0"/>
          <w:bCs w:val="0"/>
          <w:sz w:val="32"/>
          <w:szCs w:val="32"/>
          <w:highlight w:val="none"/>
          <w:lang w:val="en-US" w:eastAsia="zh-CN"/>
        </w:rPr>
        <w:t>西夏墅工具研究院孵化器成功认定为省级科技企业孵化器，新增</w:t>
      </w:r>
      <w:r>
        <w:rPr>
          <w:rFonts w:hint="eastAsia" w:ascii="仿宋_GB2312" w:hAnsi="仿宋_GB2312" w:eastAsia="仿宋_GB2312" w:cs="仿宋_GB2312"/>
          <w:b w:val="0"/>
          <w:bCs w:val="0"/>
          <w:color w:val="auto"/>
          <w:kern w:val="2"/>
          <w:sz w:val="32"/>
          <w:szCs w:val="32"/>
          <w:highlight w:val="none"/>
          <w:lang w:val="en-US" w:eastAsia="zh-CN"/>
        </w:rPr>
        <w:t>省级工程技术研究中心1家，</w:t>
      </w:r>
      <w:r>
        <w:rPr>
          <w:rFonts w:hint="eastAsia" w:ascii="仿宋_GB2312" w:hAnsi="仿宋_GB2312" w:eastAsia="仿宋_GB2312" w:cs="仿宋_GB2312"/>
          <w:b w:val="0"/>
          <w:bCs w:val="0"/>
          <w:sz w:val="32"/>
          <w:szCs w:val="32"/>
          <w:lang w:val="en-US" w:eastAsia="zh-CN"/>
        </w:rPr>
        <w:t>申报</w:t>
      </w:r>
      <w:r>
        <w:rPr>
          <w:rFonts w:hint="eastAsia" w:ascii="仿宋_GB2312" w:hAnsi="仿宋_GB2312" w:eastAsia="仿宋_GB2312" w:cs="仿宋_GB2312"/>
          <w:b w:val="0"/>
          <w:bCs w:val="0"/>
          <w:color w:val="auto"/>
          <w:kern w:val="2"/>
          <w:sz w:val="32"/>
          <w:szCs w:val="32"/>
          <w:highlight w:val="none"/>
        </w:rPr>
        <w:t>高新技术企业</w:t>
      </w:r>
      <w:r>
        <w:rPr>
          <w:rFonts w:hint="eastAsia" w:ascii="仿宋_GB2312" w:hAnsi="仿宋_GB2312" w:eastAsia="仿宋_GB2312" w:cs="仿宋_GB2312"/>
          <w:b w:val="0"/>
          <w:bCs w:val="0"/>
          <w:color w:val="auto"/>
          <w:kern w:val="2"/>
          <w:sz w:val="32"/>
          <w:szCs w:val="32"/>
          <w:highlight w:val="none"/>
          <w:lang w:val="en-US" w:eastAsia="zh-CN"/>
        </w:rPr>
        <w:t>60</w:t>
      </w:r>
      <w:r>
        <w:rPr>
          <w:rFonts w:hint="eastAsia" w:ascii="仿宋_GB2312" w:hAnsi="仿宋_GB2312" w:eastAsia="仿宋_GB2312" w:cs="仿宋_GB2312"/>
          <w:b w:val="0"/>
          <w:bCs w:val="0"/>
          <w:color w:val="auto"/>
          <w:kern w:val="2"/>
          <w:sz w:val="32"/>
          <w:szCs w:val="32"/>
          <w:highlight w:val="none"/>
        </w:rPr>
        <w:t>家</w:t>
      </w:r>
      <w:r>
        <w:rPr>
          <w:rFonts w:hint="eastAsia" w:ascii="仿宋_GB2312" w:hAnsi="仿宋_GB2312" w:eastAsia="仿宋_GB2312" w:cs="仿宋_GB2312"/>
          <w:b w:val="0"/>
          <w:bCs w:val="0"/>
          <w:sz w:val="32"/>
          <w:szCs w:val="32"/>
          <w:lang w:eastAsia="zh-CN"/>
        </w:rPr>
        <w:t>。加强招才引智工作，</w:t>
      </w:r>
      <w:r>
        <w:rPr>
          <w:rFonts w:hint="eastAsia" w:ascii="仿宋_GB2312" w:hAnsi="仿宋_GB2312" w:eastAsia="仿宋_GB2312" w:cs="仿宋_GB2312"/>
          <w:b w:val="0"/>
          <w:bCs w:val="0"/>
          <w:sz w:val="32"/>
          <w:szCs w:val="32"/>
        </w:rPr>
        <w:t>引进HW人才12人，龙城英才计划创新类认定2人</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志伟、美墅</w:t>
      </w:r>
      <w:r>
        <w:rPr>
          <w:rFonts w:hint="eastAsia" w:ascii="仿宋_GB2312" w:hAnsi="仿宋_GB2312" w:eastAsia="仿宋_GB2312" w:cs="仿宋_GB2312"/>
          <w:b w:val="0"/>
          <w:bCs w:val="0"/>
          <w:sz w:val="32"/>
          <w:szCs w:val="32"/>
          <w:lang w:eastAsia="zh-CN"/>
        </w:rPr>
        <w:t>人才公寓年内竣工，可为人才提供</w:t>
      </w:r>
      <w:r>
        <w:rPr>
          <w:rFonts w:hint="eastAsia" w:ascii="仿宋_GB2312" w:hAnsi="仿宋_GB2312" w:eastAsia="仿宋_GB2312" w:cs="仿宋_GB2312"/>
          <w:b w:val="0"/>
          <w:bCs w:val="0"/>
          <w:sz w:val="32"/>
          <w:szCs w:val="32"/>
          <w:lang w:val="en-US" w:eastAsia="zh-CN"/>
        </w:rPr>
        <w:t>700余套安居住房。</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0" w:firstLine="640" w:firstLineChars="200"/>
        <w:jc w:val="both"/>
        <w:textAlignment w:val="auto"/>
        <w:rPr>
          <w:rStyle w:val="7"/>
          <w:rFonts w:hint="eastAsia" w:ascii="黑体" w:hAnsi="黑体" w:eastAsia="黑体" w:cs="黑体"/>
          <w:b w:val="0"/>
          <w:bCs w:val="0"/>
          <w:sz w:val="32"/>
          <w:szCs w:val="32"/>
          <w:lang w:val="en-US" w:eastAsia="zh-CN"/>
        </w:rPr>
      </w:pPr>
      <w:r>
        <w:rPr>
          <w:rStyle w:val="7"/>
          <w:rFonts w:hint="eastAsia" w:ascii="黑体" w:hAnsi="黑体" w:eastAsia="黑体" w:cs="黑体"/>
          <w:b w:val="0"/>
          <w:bCs w:val="0"/>
          <w:sz w:val="32"/>
          <w:szCs w:val="32"/>
          <w:lang w:val="en-US" w:eastAsia="zh-CN"/>
        </w:rPr>
        <w:t>坚持一体推进，城乡融合迈出坚实步伐</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7"/>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以宜居宜业为目标，统筹城乡发展，释放发展潜力</w:t>
      </w:r>
      <w:r>
        <w:rPr>
          <w:rStyle w:val="7"/>
          <w:rFonts w:hint="eastAsia" w:ascii="仿宋_GB2312" w:hAnsi="仿宋_GB2312" w:eastAsia="仿宋_GB2312" w:cs="仿宋_GB2312"/>
          <w:b w:val="0"/>
          <w:bCs w:val="0"/>
          <w:sz w:val="32"/>
          <w:szCs w:val="32"/>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b w:val="0"/>
          <w:bCs w:val="0"/>
          <w:kern w:val="2"/>
          <w:sz w:val="32"/>
          <w:szCs w:val="32"/>
          <w:lang w:val="en-US" w:eastAsia="zh-CN" w:bidi="ar-SA"/>
        </w:rPr>
        <w:t>现代农业蓬勃发展。</w:t>
      </w:r>
      <w:r>
        <w:rPr>
          <w:rFonts w:hint="eastAsia" w:ascii="仿宋_GB2312" w:hAnsi="仿宋_GB2312" w:eastAsia="仿宋_GB2312" w:cs="仿宋_GB2312"/>
          <w:b w:val="0"/>
          <w:bCs w:val="0"/>
          <w:sz w:val="32"/>
          <w:szCs w:val="32"/>
          <w:lang w:val="en-US" w:eastAsia="zh-CN"/>
        </w:rPr>
        <w:t>有序推进省级农业产业示范园创建工作，建成</w:t>
      </w:r>
      <w:r>
        <w:rPr>
          <w:rFonts w:hint="eastAsia" w:ascii="仿宋_GB2312" w:hAnsi="仿宋_GB2312" w:eastAsia="仿宋_GB2312" w:cs="仿宋_GB2312"/>
          <w:b w:val="0"/>
          <w:bCs w:val="0"/>
          <w:sz w:val="32"/>
          <w:szCs w:val="32"/>
          <w:lang w:eastAsia="zh-CN"/>
        </w:rPr>
        <w:t>现代智慧水稻园</w:t>
      </w:r>
      <w:r>
        <w:rPr>
          <w:rFonts w:hint="eastAsia" w:ascii="仿宋_GB2312" w:hAnsi="仿宋_GB2312" w:eastAsia="仿宋_GB2312" w:cs="仿宋_GB2312"/>
          <w:b w:val="0"/>
          <w:bCs w:val="0"/>
          <w:sz w:val="32"/>
          <w:szCs w:val="32"/>
          <w:lang w:val="en-US" w:eastAsia="zh-CN"/>
        </w:rPr>
        <w:t>高标准秧田</w:t>
      </w:r>
      <w:r>
        <w:rPr>
          <w:rFonts w:hint="eastAsia" w:ascii="仿宋_GB2312" w:hAnsi="仿宋_GB2312" w:eastAsia="仿宋_GB2312" w:cs="仿宋_GB2312"/>
          <w:b w:val="0"/>
          <w:bCs w:val="0"/>
          <w:sz w:val="32"/>
          <w:szCs w:val="32"/>
          <w:lang w:eastAsia="zh-CN"/>
        </w:rPr>
        <w:t>、现代农业展示园展</w:t>
      </w:r>
      <w:r>
        <w:rPr>
          <w:rFonts w:hint="eastAsia" w:ascii="仿宋_GB2312" w:hAnsi="仿宋_GB2312" w:eastAsia="仿宋_GB2312" w:cs="仿宋_GB2312"/>
          <w:b w:val="0"/>
          <w:bCs w:val="0"/>
          <w:sz w:val="32"/>
          <w:szCs w:val="32"/>
          <w:highlight w:val="none"/>
          <w:lang w:eastAsia="zh-CN"/>
        </w:rPr>
        <w:t>示中心</w:t>
      </w:r>
      <w:r>
        <w:rPr>
          <w:rFonts w:hint="eastAsia" w:ascii="仿宋_GB2312" w:hAnsi="仿宋_GB2312" w:eastAsia="仿宋_GB2312" w:cs="仿宋_GB2312"/>
          <w:b w:val="0"/>
          <w:bCs w:val="0"/>
          <w:sz w:val="32"/>
          <w:szCs w:val="32"/>
          <w:highlight w:val="none"/>
          <w:lang w:val="en-US" w:eastAsia="zh-CN"/>
        </w:rPr>
        <w:t>等8个项目，园区获评“省级粮食生产无人化农场”。积极推进土地复耕，新增水稻种植面积</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900余</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亩。</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mallCap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乡村建设稳步推进。</w:t>
      </w:r>
      <w:r>
        <w:rPr>
          <w:rFonts w:hint="eastAsia" w:ascii="仿宋_GB2312" w:hAnsi="仿宋_GB2312" w:eastAsia="仿宋_GB2312" w:cs="仿宋_GB2312"/>
          <w:b w:val="0"/>
          <w:bCs w:val="0"/>
          <w:sz w:val="32"/>
          <w:szCs w:val="32"/>
          <w:highlight w:val="none"/>
          <w:lang w:val="en-US" w:eastAsia="zh-CN"/>
        </w:rPr>
        <w:t>扎实推进东南李家村美丽乡村建设，稻田酒店、星光营地等项目相继落地，稻米文化馆建成开放，乡村经济业态不断丰富。高标准推进梅林村居民集聚点建设，打造现代化宜居农房96套。积极推进</w:t>
      </w:r>
      <w:r>
        <w:rPr>
          <w:rFonts w:hint="eastAsia" w:ascii="仿宋_GB2312" w:hAnsi="仿宋_GB2312" w:eastAsia="仿宋_GB2312" w:cs="仿宋_GB2312"/>
          <w:b w:val="0"/>
          <w:bCs w:val="0"/>
          <w:smallCaps w:val="0"/>
          <w:kern w:val="2"/>
          <w:sz w:val="32"/>
          <w:szCs w:val="32"/>
          <w:lang w:val="zh-CN" w:eastAsia="zh-CN" w:bidi="ar-SA"/>
        </w:rPr>
        <w:t>全省农村乱占耕地建房问题专项整治试点工作，</w:t>
      </w:r>
      <w:r>
        <w:rPr>
          <w:rFonts w:hint="eastAsia" w:ascii="仿宋_GB2312" w:hAnsi="仿宋_GB2312" w:eastAsia="仿宋_GB2312" w:cs="仿宋_GB2312"/>
          <w:b w:val="0"/>
          <w:bCs w:val="0"/>
          <w:sz w:val="32"/>
          <w:szCs w:val="32"/>
          <w:lang w:val="en-US" w:eastAsia="zh-CN"/>
        </w:rPr>
        <w:t>分类</w:t>
      </w:r>
      <w:r>
        <w:rPr>
          <w:rFonts w:hint="eastAsia" w:ascii="仿宋_GB2312" w:hAnsi="仿宋_GB2312" w:eastAsia="仿宋_GB2312" w:cs="仿宋_GB2312"/>
          <w:b w:val="0"/>
          <w:bCs w:val="0"/>
          <w:smallCaps w:val="0"/>
          <w:kern w:val="2"/>
          <w:sz w:val="32"/>
          <w:szCs w:val="32"/>
          <w:lang w:val="en-US" w:eastAsia="zh-CN" w:bidi="ar-SA"/>
        </w:rPr>
        <w:t>处置</w:t>
      </w:r>
      <w:r>
        <w:rPr>
          <w:rFonts w:hint="eastAsia" w:ascii="仿宋_GB2312" w:hAnsi="仿宋_GB2312" w:eastAsia="仿宋_GB2312" w:cs="仿宋_GB2312"/>
          <w:b w:val="0"/>
          <w:bCs w:val="0"/>
          <w:smallCaps w:val="0"/>
          <w:kern w:val="2"/>
          <w:sz w:val="32"/>
          <w:szCs w:val="32"/>
          <w:lang w:val="zh-CN" w:eastAsia="zh-CN" w:bidi="ar-SA"/>
        </w:rPr>
        <w:t>违法占用耕地行为</w:t>
      </w:r>
      <w:r>
        <w:rPr>
          <w:rFonts w:hint="eastAsia" w:ascii="仿宋_GB2312" w:hAnsi="仿宋_GB2312" w:eastAsia="仿宋_GB2312" w:cs="仿宋_GB2312"/>
          <w:b w:val="0"/>
          <w:bCs w:val="0"/>
          <w:smallCaps w:val="0"/>
          <w:kern w:val="2"/>
          <w:sz w:val="32"/>
          <w:szCs w:val="32"/>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楷体_GB2312" w:hAnsi="楷体_GB2312" w:eastAsia="楷体_GB2312" w:cs="楷体_GB2312"/>
          <w:b w:val="0"/>
          <w:bCs w:val="0"/>
          <w:kern w:val="2"/>
          <w:sz w:val="32"/>
          <w:szCs w:val="32"/>
          <w:lang w:val="en-US" w:eastAsia="zh-CN" w:bidi="ar-SA"/>
        </w:rPr>
        <w:t>镇区配套日益完善。</w:t>
      </w:r>
      <w:r>
        <w:rPr>
          <w:rFonts w:hint="eastAsia" w:ascii="仿宋_GB2312" w:hAnsi="仿宋_GB2312" w:eastAsia="仿宋_GB2312" w:cs="仿宋_GB2312"/>
          <w:b w:val="0"/>
          <w:bCs w:val="0"/>
          <w:color w:val="auto"/>
          <w:sz w:val="32"/>
          <w:szCs w:val="32"/>
          <w:highlight w:val="none"/>
          <w:lang w:val="en-US" w:eastAsia="zh-CN"/>
        </w:rPr>
        <w:t>香山福园四期安置房已完成安置工作，全镇已拆迁项目在外过渡群众全部安置到位。西夏墅初级中学新建项目正在进行精装修、景观绿化施工，预计11月底完工。北桥动迁签约任务基本完成，11月将启动南桥动迁</w:t>
      </w:r>
      <w:r>
        <w:rPr>
          <w:rFonts w:hint="eastAsia" w:ascii="仿宋_GB2312" w:hAnsi="仿宋_GB2312" w:eastAsia="仿宋_GB2312" w:cs="仿宋_GB2312"/>
          <w:b w:val="0"/>
          <w:bCs w:val="0"/>
          <w:sz w:val="32"/>
          <w:szCs w:val="32"/>
          <w:lang w:eastAsia="zh-CN"/>
        </w:rPr>
        <w:t>工程。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楷体_GB2312" w:hAnsi="楷体_GB2312" w:eastAsia="楷体_GB2312" w:cs="楷体_GB2312"/>
          <w:b w:val="0"/>
          <w:bCs w:val="0"/>
          <w:kern w:val="2"/>
          <w:sz w:val="32"/>
          <w:szCs w:val="32"/>
          <w:lang w:val="en-US" w:eastAsia="zh-CN" w:bidi="ar-SA"/>
        </w:rPr>
        <w:t>生态环境持续优化。</w:t>
      </w:r>
      <w:r>
        <w:rPr>
          <w:rFonts w:hint="eastAsia" w:ascii="仿宋_GB2312" w:hAnsi="仿宋_GB2312" w:eastAsia="仿宋_GB2312" w:cs="仿宋_GB2312"/>
          <w:b w:val="0"/>
          <w:bCs w:val="0"/>
          <w:color w:val="auto"/>
          <w:sz w:val="32"/>
          <w:szCs w:val="32"/>
          <w:highlight w:val="none"/>
          <w:shd w:val="clear" w:color="auto" w:fill="auto"/>
          <w:lang w:val="en-US" w:eastAsia="zh-CN"/>
        </w:rPr>
        <w:t>高质量完成第二轮中央环保督察反馈问题整改，强化“双随</w:t>
      </w:r>
      <w:r>
        <w:rPr>
          <w:rFonts w:hint="eastAsia" w:ascii="仿宋_GB2312" w:hAnsi="仿宋_GB2312" w:eastAsia="仿宋_GB2312" w:cs="仿宋_GB2312"/>
          <w:b w:val="0"/>
          <w:bCs w:val="0"/>
          <w:color w:val="auto"/>
          <w:sz w:val="32"/>
          <w:szCs w:val="32"/>
          <w:highlight w:val="none"/>
          <w:lang w:val="en-US" w:eastAsia="zh-CN"/>
        </w:rPr>
        <w:t>机”环境监管，累计出动4000余人次检查各类企业1200家次。</w:t>
      </w:r>
      <w:r>
        <w:rPr>
          <w:rFonts w:hint="eastAsia" w:ascii="仿宋_GB2312" w:hAnsi="仿宋_GB2312" w:eastAsia="仿宋_GB2312" w:cs="仿宋_GB2312"/>
          <w:b w:val="0"/>
          <w:bCs w:val="0"/>
          <w:color w:val="auto"/>
          <w:sz w:val="32"/>
          <w:szCs w:val="32"/>
          <w:lang w:val="en-US" w:eastAsia="zh-CN"/>
        </w:rPr>
        <w:t>落实“河长制”工作要求，有序推进</w:t>
      </w:r>
      <w:r>
        <w:rPr>
          <w:rFonts w:hint="eastAsia" w:ascii="仿宋_GB2312" w:hAnsi="仿宋_GB2312" w:eastAsia="仿宋_GB2312" w:cs="仿宋_GB2312"/>
          <w:b w:val="0"/>
          <w:bCs w:val="0"/>
          <w:color w:val="auto"/>
          <w:sz w:val="32"/>
          <w:szCs w:val="32"/>
          <w:highlight w:val="none"/>
          <w:lang w:val="en-US" w:eastAsia="zh-CN"/>
        </w:rPr>
        <w:t>生态河道、小微水体整治，完成</w:t>
      </w:r>
      <w:r>
        <w:rPr>
          <w:rFonts w:hint="eastAsia" w:ascii="仿宋_GB2312" w:hAnsi="仿宋_GB2312" w:eastAsia="仿宋_GB2312" w:cs="仿宋_GB2312"/>
          <w:b w:val="0"/>
          <w:bCs w:val="0"/>
          <w:color w:val="auto"/>
          <w:sz w:val="32"/>
          <w:szCs w:val="32"/>
          <w:highlight w:val="none"/>
          <w:shd w:val="clear" w:color="auto" w:fill="auto"/>
          <w:lang w:val="en-US" w:eastAsia="zh-CN"/>
        </w:rPr>
        <w:t>38座沟塘、3.8万方土方清淤工作。</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0" w:firstLine="640" w:firstLineChars="200"/>
        <w:jc w:val="both"/>
        <w:textAlignment w:val="auto"/>
        <w:rPr>
          <w:rStyle w:val="7"/>
          <w:rFonts w:hint="eastAsia" w:ascii="黑体" w:hAnsi="黑体" w:eastAsia="黑体" w:cs="黑体"/>
          <w:b w:val="0"/>
          <w:bCs w:val="0"/>
          <w:sz w:val="32"/>
          <w:szCs w:val="32"/>
          <w:lang w:val="en-US" w:eastAsia="zh-CN"/>
        </w:rPr>
      </w:pPr>
      <w:r>
        <w:rPr>
          <w:rStyle w:val="7"/>
          <w:rFonts w:hint="eastAsia" w:ascii="黑体" w:hAnsi="黑体" w:eastAsia="黑体" w:cs="黑体"/>
          <w:b w:val="0"/>
          <w:bCs w:val="0"/>
          <w:sz w:val="32"/>
          <w:szCs w:val="32"/>
          <w:lang w:val="en-US" w:eastAsia="zh-CN"/>
        </w:rPr>
        <w:t>坚持民生优先，社会事业收获丰硕成果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聚焦群众关切，优化服务保障，群众幸福感显著增强。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b w:val="0"/>
          <w:bCs w:val="0"/>
          <w:color w:val="auto"/>
          <w:spacing w:val="0"/>
          <w:sz w:val="32"/>
          <w:szCs w:val="32"/>
          <w:lang w:val="en-US" w:eastAsia="zh-CN"/>
        </w:rPr>
      </w:pPr>
      <w:r>
        <w:rPr>
          <w:rFonts w:hint="eastAsia" w:ascii="楷体_GB2312" w:hAnsi="楷体_GB2312" w:eastAsia="楷体_GB2312" w:cs="楷体_GB2312"/>
          <w:b w:val="0"/>
          <w:bCs w:val="0"/>
          <w:kern w:val="2"/>
          <w:sz w:val="32"/>
          <w:szCs w:val="32"/>
          <w:lang w:val="en-US" w:eastAsia="zh-CN" w:bidi="ar-SA"/>
        </w:rPr>
        <w:t>民生福祉不断增进。</w:t>
      </w:r>
      <w:r>
        <w:rPr>
          <w:rFonts w:hint="eastAsia" w:ascii="仿宋_GB2312" w:eastAsia="仿宋_GB2312"/>
          <w:b w:val="0"/>
          <w:bCs w:val="0"/>
          <w:color w:val="auto"/>
          <w:spacing w:val="0"/>
          <w:sz w:val="32"/>
          <w:szCs w:val="32"/>
        </w:rPr>
        <w:t>认真</w:t>
      </w:r>
      <w:r>
        <w:rPr>
          <w:rFonts w:hint="eastAsia" w:ascii="仿宋_GB2312" w:eastAsia="仿宋_GB2312"/>
          <w:b w:val="0"/>
          <w:bCs w:val="0"/>
          <w:color w:val="auto"/>
          <w:spacing w:val="0"/>
          <w:sz w:val="32"/>
          <w:szCs w:val="32"/>
          <w:lang w:eastAsia="zh-CN"/>
        </w:rPr>
        <w:t>做好</w:t>
      </w:r>
      <w:r>
        <w:rPr>
          <w:rFonts w:hint="eastAsia" w:ascii="仿宋_GB2312" w:eastAsia="仿宋_GB2312"/>
          <w:b w:val="0"/>
          <w:bCs w:val="0"/>
          <w:color w:val="auto"/>
          <w:spacing w:val="0"/>
          <w:sz w:val="32"/>
          <w:szCs w:val="32"/>
        </w:rPr>
        <w:t>低保动态管理</w:t>
      </w:r>
      <w:r>
        <w:rPr>
          <w:rFonts w:hint="eastAsia" w:ascii="仿宋_GB2312" w:eastAsia="仿宋_GB2312"/>
          <w:b w:val="0"/>
          <w:bCs w:val="0"/>
          <w:color w:val="auto"/>
          <w:spacing w:val="0"/>
          <w:sz w:val="32"/>
          <w:szCs w:val="32"/>
          <w:lang w:eastAsia="zh-CN"/>
        </w:rPr>
        <w:t>、社</w:t>
      </w:r>
      <w:r>
        <w:rPr>
          <w:rFonts w:hint="eastAsia" w:ascii="仿宋_GB2312" w:eastAsia="仿宋_GB2312"/>
          <w:b w:val="0"/>
          <w:bCs w:val="0"/>
          <w:color w:val="auto"/>
          <w:spacing w:val="0"/>
          <w:sz w:val="32"/>
          <w:szCs w:val="32"/>
          <w:highlight w:val="none"/>
          <w:lang w:eastAsia="zh-CN"/>
        </w:rPr>
        <w:t>会救助工作</w:t>
      </w:r>
      <w:r>
        <w:rPr>
          <w:rFonts w:hint="eastAsia" w:ascii="仿宋_GB2312" w:eastAsia="仿宋_GB2312"/>
          <w:b w:val="0"/>
          <w:bCs w:val="0"/>
          <w:color w:val="auto"/>
          <w:spacing w:val="0"/>
          <w:sz w:val="32"/>
          <w:szCs w:val="32"/>
          <w:highlight w:val="none"/>
        </w:rPr>
        <w:t>，</w:t>
      </w:r>
      <w:r>
        <w:rPr>
          <w:rFonts w:hint="eastAsia" w:ascii="仿宋_GB2312" w:eastAsia="仿宋_GB2312"/>
          <w:b w:val="0"/>
          <w:bCs w:val="0"/>
          <w:color w:val="auto"/>
          <w:spacing w:val="0"/>
          <w:sz w:val="32"/>
          <w:szCs w:val="32"/>
          <w:highlight w:val="none"/>
          <w:lang w:eastAsia="zh-CN"/>
        </w:rPr>
        <w:t>累计发放各类保</w:t>
      </w:r>
      <w:r>
        <w:rPr>
          <w:rFonts w:hint="eastAsia" w:ascii="仿宋_GB2312" w:eastAsia="仿宋_GB2312"/>
          <w:b w:val="0"/>
          <w:bCs w:val="0"/>
          <w:color w:val="auto"/>
          <w:spacing w:val="0"/>
          <w:sz w:val="32"/>
          <w:szCs w:val="32"/>
          <w:highlight w:val="none"/>
          <w:lang w:val="en-US" w:eastAsia="zh-CN"/>
        </w:rPr>
        <w:t>障金1000余</w:t>
      </w:r>
      <w:r>
        <w:rPr>
          <w:rFonts w:hint="eastAsia" w:ascii="仿宋_GB2312" w:eastAsia="仿宋_GB2312"/>
          <w:b w:val="0"/>
          <w:bCs w:val="0"/>
          <w:color w:val="auto"/>
          <w:spacing w:val="0"/>
          <w:sz w:val="32"/>
          <w:szCs w:val="32"/>
          <w:lang w:val="en-US" w:eastAsia="zh-CN"/>
        </w:rPr>
        <w:t>万元</w:t>
      </w:r>
      <w:r>
        <w:rPr>
          <w:rFonts w:hint="eastAsia" w:ascii="仿宋_GB2312" w:eastAsia="仿宋_GB2312"/>
          <w:b w:val="0"/>
          <w:bCs w:val="0"/>
          <w:color w:val="auto"/>
          <w:spacing w:val="0"/>
          <w:sz w:val="32"/>
          <w:szCs w:val="32"/>
          <w:lang w:eastAsia="zh-CN"/>
        </w:rPr>
        <w:t>。</w:t>
      </w:r>
      <w:r>
        <w:rPr>
          <w:rFonts w:hint="eastAsia" w:ascii="仿宋_GB2312" w:eastAsia="仿宋_GB2312"/>
          <w:b w:val="0"/>
          <w:bCs w:val="0"/>
          <w:color w:val="auto"/>
          <w:spacing w:val="0"/>
          <w:sz w:val="32"/>
          <w:szCs w:val="32"/>
          <w:lang w:val="en-US" w:eastAsia="zh-CN"/>
        </w:rPr>
        <w:t>开设为民服务网上大厅，建设“15分钟医保服务圈”示范点，让群众“近”享便利。线上线下开展招聘活动，300余名求职者与企业达成初步意向。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b w:val="0"/>
          <w:bCs w:val="0"/>
          <w:color w:val="auto"/>
          <w:spacing w:val="0"/>
          <w:sz w:val="32"/>
          <w:szCs w:val="32"/>
          <w:lang w:val="en-US" w:eastAsia="zh-CN"/>
        </w:rPr>
      </w:pPr>
      <w:r>
        <w:rPr>
          <w:rFonts w:hint="eastAsia" w:ascii="楷体_GB2312" w:hAnsi="楷体_GB2312" w:eastAsia="楷体_GB2312" w:cs="楷体_GB2312"/>
          <w:b w:val="0"/>
          <w:bCs w:val="0"/>
          <w:kern w:val="2"/>
          <w:sz w:val="32"/>
          <w:szCs w:val="32"/>
          <w:highlight w:val="none"/>
          <w:lang w:val="en-US" w:eastAsia="zh-CN" w:bidi="ar-SA"/>
        </w:rPr>
        <w:t>公共服务优质均衡。</w:t>
      </w:r>
      <w:r>
        <w:rPr>
          <w:rStyle w:val="7"/>
          <w:rFonts w:hint="eastAsia" w:ascii="仿宋_GB2312" w:hAnsi="仿宋_GB2312" w:eastAsia="仿宋_GB2312" w:cs="仿宋_GB2312"/>
          <w:b w:val="0"/>
          <w:bCs w:val="0"/>
          <w:sz w:val="32"/>
          <w:szCs w:val="32"/>
          <w:lang w:val="en-US" w:eastAsia="zh-CN"/>
        </w:rPr>
        <w:t>西</w:t>
      </w:r>
      <w:r>
        <w:rPr>
          <w:rFonts w:hint="eastAsia" w:ascii="仿宋_GB2312" w:eastAsia="仿宋_GB2312"/>
          <w:b w:val="0"/>
          <w:bCs w:val="0"/>
          <w:color w:val="auto"/>
          <w:spacing w:val="0"/>
          <w:sz w:val="32"/>
          <w:szCs w:val="32"/>
          <w:lang w:val="en-US" w:eastAsia="zh-CN"/>
        </w:rPr>
        <w:t>夏墅镇中心幼儿园荣获全国幼儿基本体操视频展示金奖，西夏墅中学荣获省青少年科技教育协会三星级先进集体，浦河实验学校创成江苏省健康教育促进学校（金牌学校），办学特色不断彰显。卫生院CT设备投入使用，医疗服务水平不断提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kern w:val="2"/>
          <w:sz w:val="32"/>
          <w:szCs w:val="32"/>
          <w:lang w:val="en-US" w:eastAsia="zh-CN" w:bidi="ar-SA"/>
        </w:rPr>
        <w:t>社会治理卓有成效。</w:t>
      </w:r>
      <w:r>
        <w:rPr>
          <w:rFonts w:hint="eastAsia" w:ascii="仿宋_GB2312" w:hAnsi="仿宋_GB2312" w:eastAsia="仿宋_GB2312" w:cs="仿宋_GB2312"/>
          <w:b w:val="0"/>
          <w:bCs w:val="0"/>
          <w:sz w:val="32"/>
          <w:szCs w:val="32"/>
          <w:lang w:eastAsia="zh-CN"/>
        </w:rPr>
        <w:t>创新“润展宣释”工作法，培育“法律明白人”</w:t>
      </w:r>
      <w:r>
        <w:rPr>
          <w:rFonts w:hint="eastAsia" w:ascii="仿宋_GB2312" w:hAnsi="仿宋_GB2312" w:eastAsia="仿宋_GB2312" w:cs="仿宋_GB2312"/>
          <w:b w:val="0"/>
          <w:bCs w:val="0"/>
          <w:sz w:val="32"/>
          <w:szCs w:val="32"/>
          <w:lang w:val="en-US" w:eastAsia="zh-CN"/>
        </w:rPr>
        <w:t>200余名</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开展普法宣</w:t>
      </w:r>
      <w:r>
        <w:rPr>
          <w:rFonts w:hint="eastAsia" w:ascii="仿宋_GB2312" w:hAnsi="仿宋_GB2312" w:eastAsia="仿宋_GB2312" w:cs="仿宋_GB2312"/>
          <w:b w:val="0"/>
          <w:bCs w:val="0"/>
          <w:sz w:val="32"/>
          <w:szCs w:val="32"/>
          <w:highlight w:val="none"/>
          <w:lang w:val="en-US" w:eastAsia="zh-CN"/>
        </w:rPr>
        <w:t>传35场</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积极推进</w:t>
      </w:r>
      <w:r>
        <w:rPr>
          <w:rStyle w:val="7"/>
          <w:rFonts w:hint="eastAsia" w:ascii="仿宋_GB2312" w:hAnsi="仿宋_GB2312" w:eastAsia="仿宋_GB2312" w:cs="仿宋_GB2312"/>
          <w:b w:val="0"/>
          <w:bCs w:val="0"/>
          <w:sz w:val="32"/>
          <w:szCs w:val="32"/>
          <w:lang w:val="en-US" w:eastAsia="zh-CN"/>
        </w:rPr>
        <w:t>非诉讼服务</w:t>
      </w:r>
      <w:r>
        <w:rPr>
          <w:rFonts w:hint="eastAsia" w:ascii="仿宋_GB2312" w:hAnsi="仿宋_GB2312" w:eastAsia="仿宋_GB2312" w:cs="仿宋_GB2312"/>
          <w:b w:val="0"/>
          <w:bCs w:val="0"/>
          <w:sz w:val="32"/>
          <w:szCs w:val="32"/>
          <w:lang w:val="en-US" w:eastAsia="zh-CN"/>
        </w:rPr>
        <w:t>中心建设，化解信访积案2件，赴京上访保持“零”登记。强化网格联动，网格事项办结率达99.3%。建成全区唯一的省级阳光帮扶基地，精准帮扶特殊人群。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kern w:val="2"/>
          <w:sz w:val="32"/>
          <w:szCs w:val="32"/>
          <w:lang w:val="en-US" w:eastAsia="zh-CN" w:bidi="ar-SA"/>
        </w:rPr>
        <w:t>安全基础持续稳固。</w:t>
      </w:r>
      <w:r>
        <w:rPr>
          <w:rFonts w:hint="eastAsia" w:ascii="仿宋_GB2312" w:eastAsia="仿宋_GB2312"/>
          <w:color w:val="auto"/>
          <w:spacing w:val="0"/>
          <w:sz w:val="32"/>
          <w:szCs w:val="32"/>
          <w:lang w:val="en-US" w:eastAsia="zh-CN"/>
        </w:rPr>
        <w:t>做好常态化疫情</w:t>
      </w:r>
      <w:r>
        <w:rPr>
          <w:rFonts w:hint="default" w:ascii="仿宋_GB2312" w:eastAsia="仿宋_GB2312"/>
          <w:color w:val="auto"/>
          <w:spacing w:val="0"/>
          <w:sz w:val="32"/>
          <w:szCs w:val="32"/>
          <w:lang w:val="en-US" w:eastAsia="zh-CN"/>
        </w:rPr>
        <w:t>防控</w:t>
      </w:r>
      <w:r>
        <w:rPr>
          <w:rFonts w:hint="eastAsia" w:ascii="仿宋_GB2312" w:eastAsia="仿宋_GB2312"/>
          <w:color w:val="auto"/>
          <w:spacing w:val="0"/>
          <w:sz w:val="32"/>
          <w:szCs w:val="32"/>
          <w:lang w:val="en-US" w:eastAsia="zh-CN"/>
        </w:rPr>
        <w:t>工作，管控重点人员1.4万余人，核酸检测95万余人次，守护群众生命健康安全。</w:t>
      </w:r>
      <w:r>
        <w:rPr>
          <w:rFonts w:hint="eastAsia" w:ascii="仿宋_GB2312" w:hAnsi="仿宋_GB2312" w:eastAsia="仿宋_GB2312" w:cs="仿宋_GB2312"/>
          <w:b w:val="0"/>
          <w:bCs w:val="0"/>
          <w:sz w:val="32"/>
          <w:szCs w:val="32"/>
          <w:lang w:val="en-US" w:eastAsia="zh-CN"/>
        </w:rPr>
        <w:t>统筹推进安全生产专项整治三年行动和安全生产大检查，发现问题隐患1735个，完成整改1662个。深化“危污乱散低”出清提升行动，27家企业列入整治清单，年内整改完成11家。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0" w:firstLine="640" w:firstLineChars="200"/>
        <w:jc w:val="both"/>
        <w:textAlignment w:val="auto"/>
        <w:rPr>
          <w:rStyle w:val="7"/>
          <w:rFonts w:hint="eastAsia" w:ascii="黑体" w:hAnsi="黑体" w:eastAsia="黑体" w:cs="黑体"/>
          <w:b w:val="0"/>
          <w:bCs w:val="0"/>
          <w:sz w:val="32"/>
          <w:szCs w:val="32"/>
          <w:lang w:val="en-US" w:eastAsia="zh-CN"/>
        </w:rPr>
      </w:pPr>
      <w:r>
        <w:rPr>
          <w:rStyle w:val="7"/>
          <w:rFonts w:hint="eastAsia" w:ascii="黑体" w:hAnsi="黑体" w:eastAsia="黑体" w:cs="黑体"/>
          <w:b w:val="0"/>
          <w:bCs w:val="0"/>
          <w:sz w:val="32"/>
          <w:szCs w:val="32"/>
          <w:lang w:val="en-US" w:eastAsia="zh-CN"/>
        </w:rPr>
        <w:t>坚持全面从严，党的建设取得过硬成效</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管党治党不放松，正风肃纪不停步，作风效能得到提升。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基层党建不断深化。</w:t>
      </w:r>
      <w:r>
        <w:rPr>
          <w:rFonts w:hint="eastAsia" w:ascii="仿宋_GB2312" w:hAnsi="仿宋_GB2312" w:eastAsia="仿宋_GB2312" w:cs="仿宋_GB2312"/>
          <w:b w:val="0"/>
          <w:bCs w:val="0"/>
          <w:sz w:val="32"/>
          <w:szCs w:val="32"/>
          <w:lang w:val="en-US" w:eastAsia="zh-CN"/>
        </w:rPr>
        <w:t>加强“锋墅彤行”镇级党建品牌建设，建设龙城红色驿站2个，龙城红色服务吧10个。创新党员教育形式，《我和稻田有个约会》《指尖“纪”事》分获全市党</w:t>
      </w:r>
      <w:r>
        <w:rPr>
          <w:rFonts w:hint="eastAsia" w:ascii="仿宋_GB2312" w:hAnsi="仿宋_GB2312" w:eastAsia="仿宋_GB2312" w:cs="仿宋_GB2312"/>
          <w:b w:val="0"/>
          <w:bCs w:val="0"/>
          <w:color w:val="000000"/>
          <w:kern w:val="2"/>
          <w:sz w:val="32"/>
          <w:szCs w:val="32"/>
          <w:lang w:val="en-US" w:eastAsia="zh-CN" w:bidi="ar-SA"/>
        </w:rPr>
        <w:t>员教育全媒体作品创作大赛特别奖和一等奖。</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kern w:val="2"/>
          <w:sz w:val="32"/>
          <w:szCs w:val="32"/>
          <w:lang w:val="en-US" w:eastAsia="zh-CN" w:bidi="ar-SA"/>
        </w:rPr>
        <w:t>干部队伍持续优化。</w:t>
      </w:r>
      <w:r>
        <w:rPr>
          <w:rFonts w:hint="eastAsia" w:ascii="仿宋_GB2312" w:hAnsi="仿宋_GB2312" w:eastAsia="仿宋_GB2312" w:cs="仿宋_GB2312"/>
          <w:b w:val="0"/>
          <w:bCs w:val="0"/>
          <w:sz w:val="32"/>
          <w:szCs w:val="32"/>
          <w:lang w:val="en-US" w:eastAsia="zh-CN"/>
        </w:rPr>
        <w:t>以“精锐工程”为抓手，完善年轻干部选育管用“全链条”培养机制。实行“青蓝1+N”导师帮带制度，组织开展能力训练6次，选派53名年轻干部到疫情防控、文明城市创建等一线磨砺。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政治生态有效净化。</w:t>
      </w:r>
      <w:r>
        <w:rPr>
          <w:rFonts w:hint="eastAsia" w:ascii="仿宋_GB2312" w:hAnsi="仿宋_GB2312" w:eastAsia="仿宋_GB2312" w:cs="仿宋_GB2312"/>
          <w:b w:val="0"/>
          <w:bCs w:val="0"/>
          <w:sz w:val="32"/>
          <w:szCs w:val="32"/>
          <w:lang w:val="en-US" w:eastAsia="zh-CN"/>
        </w:rPr>
        <w:t>全面落实党风廉政建设“两个责任”，开展“三资”专项监督，催缴资金近16万元。</w:t>
      </w:r>
      <w:r>
        <w:rPr>
          <w:rFonts w:hint="eastAsia" w:ascii="仿宋_GB2312" w:hAnsi="仿宋_GB2312" w:eastAsia="仿宋_GB2312" w:cs="仿宋_GB2312"/>
          <w:b w:val="0"/>
          <w:bCs w:val="0"/>
          <w:color w:val="000000"/>
          <w:kern w:val="2"/>
          <w:sz w:val="32"/>
          <w:szCs w:val="32"/>
          <w:lang w:val="en-US" w:eastAsia="zh-CN" w:bidi="ar-SA"/>
        </w:rPr>
        <w:t>发布《督查专报》8期，通报违反工作纪律等问题13起。</w:t>
      </w:r>
      <w:r>
        <w:rPr>
          <w:rFonts w:hint="eastAsia" w:ascii="仿宋_GB2312" w:hAnsi="仿宋_GB2312" w:eastAsia="仿宋_GB2312" w:cs="仿宋_GB2312"/>
          <w:b w:val="0"/>
          <w:bCs w:val="0"/>
          <w:sz w:val="32"/>
          <w:szCs w:val="32"/>
          <w:lang w:val="en-US" w:eastAsia="zh-CN"/>
        </w:rPr>
        <w:t>举办“势起竞潮头 墅写新篇章”活动，以面对面问政助推作风转变。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heme="minorBidi"/>
          <w:b w:val="0"/>
          <w:bCs w:val="0"/>
          <w:kern w:val="2"/>
          <w:sz w:val="32"/>
          <w:szCs w:val="32"/>
          <w:highlight w:val="none"/>
          <w:lang w:val="en-US" w:eastAsia="zh-CN" w:bidi="ar-SA"/>
        </w:rPr>
      </w:pPr>
      <w:r>
        <w:rPr>
          <w:rFonts w:hint="eastAsia" w:ascii="仿宋_GB2312" w:hAnsi="仿宋_GB2312" w:eastAsia="仿宋_GB2312" w:cs="仿宋_GB2312"/>
          <w:b w:val="0"/>
          <w:bCs w:val="0"/>
          <w:color w:val="000000"/>
          <w:sz w:val="32"/>
          <w:szCs w:val="32"/>
        </w:rPr>
        <w:t>在充分肯定成绩的同时，我们也清醒的认识到，工作中还存在一些薄弱环节：</w:t>
      </w:r>
      <w:r>
        <w:rPr>
          <w:rFonts w:hint="eastAsia" w:ascii="仿宋_GB2312" w:eastAsia="仿宋_GB2312"/>
          <w:b/>
          <w:bCs/>
          <w:sz w:val="32"/>
          <w:szCs w:val="32"/>
          <w:highlight w:val="none"/>
          <w:lang w:eastAsia="zh-CN"/>
        </w:rPr>
        <w:t>一是产业集群不够强大。</w:t>
      </w:r>
      <w:r>
        <w:rPr>
          <w:rFonts w:hint="eastAsia" w:ascii="仿宋_GB2312" w:hAnsi="仿宋_GB2312" w:eastAsia="仿宋_GB2312" w:cs="仿宋_GB2312"/>
          <w:b w:val="0"/>
          <w:bCs w:val="0"/>
          <w:color w:val="000000"/>
          <w:sz w:val="32"/>
          <w:szCs w:val="32"/>
          <w:lang w:eastAsia="zh-CN"/>
        </w:rPr>
        <w:t>刀工具、新材料两个主导产业都未突破百亿级规模，</w:t>
      </w:r>
      <w:r>
        <w:rPr>
          <w:rFonts w:hint="eastAsia" w:ascii="仿宋_GB2312" w:hAnsi="Times New Roman" w:eastAsia="仿宋_GB2312"/>
          <w:b w:val="0"/>
          <w:bCs w:val="0"/>
          <w:sz w:val="32"/>
          <w:szCs w:val="32"/>
          <w:highlight w:val="none"/>
          <w:lang w:eastAsia="zh-CN"/>
        </w:rPr>
        <w:t>缺乏龙头企业、</w:t>
      </w:r>
      <w:r>
        <w:rPr>
          <w:rFonts w:hint="eastAsia" w:ascii="仿宋_GB2312" w:hAnsi="Times New Roman" w:eastAsia="仿宋_GB2312"/>
          <w:b w:val="0"/>
          <w:bCs w:val="0"/>
          <w:sz w:val="32"/>
          <w:szCs w:val="32"/>
          <w:highlight w:val="none"/>
        </w:rPr>
        <w:t>“链主”企业</w:t>
      </w:r>
      <w:r>
        <w:rPr>
          <w:rFonts w:hint="eastAsia" w:ascii="仿宋_GB2312" w:hAnsi="Times New Roman" w:eastAsia="仿宋_GB2312"/>
          <w:b w:val="0"/>
          <w:bCs w:val="0"/>
          <w:sz w:val="32"/>
          <w:szCs w:val="32"/>
          <w:highlight w:val="none"/>
          <w:lang w:eastAsia="zh-CN"/>
        </w:rPr>
        <w:t>。</w:t>
      </w:r>
      <w:r>
        <w:rPr>
          <w:rFonts w:hint="eastAsia" w:ascii="仿宋_GB2312" w:eastAsia="仿宋_GB2312"/>
          <w:b/>
          <w:bCs/>
          <w:sz w:val="32"/>
          <w:szCs w:val="32"/>
          <w:highlight w:val="none"/>
          <w:lang w:val="en-US" w:eastAsia="zh-CN"/>
        </w:rPr>
        <w:t>二</w:t>
      </w:r>
      <w:r>
        <w:rPr>
          <w:rFonts w:hint="eastAsia" w:ascii="仿宋_GB2312" w:eastAsia="仿宋_GB2312"/>
          <w:b/>
          <w:bCs/>
          <w:sz w:val="32"/>
          <w:szCs w:val="32"/>
          <w:highlight w:val="none"/>
          <w:lang w:eastAsia="zh-CN"/>
        </w:rPr>
        <w:t>是资源要素存在瓶颈。</w:t>
      </w:r>
      <w:r>
        <w:rPr>
          <w:rFonts w:hint="eastAsia" w:ascii="仿宋_GB2312" w:hAnsi="Times New Roman" w:eastAsia="仿宋_GB2312"/>
          <w:b w:val="0"/>
          <w:bCs w:val="0"/>
          <w:sz w:val="32"/>
          <w:szCs w:val="32"/>
          <w:highlight w:val="none"/>
          <w:lang w:eastAsia="zh-CN"/>
        </w:rPr>
        <w:t>存量土地稀少，增量空间有限，能耗和</w:t>
      </w:r>
      <w:r>
        <w:rPr>
          <w:rFonts w:hint="default" w:ascii="仿宋_GB2312" w:hAnsi="Times New Roman" w:eastAsia="仿宋_GB2312"/>
          <w:b w:val="0"/>
          <w:bCs w:val="0"/>
          <w:sz w:val="32"/>
          <w:szCs w:val="32"/>
          <w:highlight w:val="none"/>
          <w:lang w:eastAsia="zh-CN"/>
        </w:rPr>
        <w:t>环境容量指标日趋紧张</w:t>
      </w:r>
      <w:r>
        <w:rPr>
          <w:rFonts w:hint="eastAsia" w:ascii="仿宋_GB2312" w:hAnsi="Times New Roman" w:eastAsia="仿宋_GB2312"/>
          <w:b w:val="0"/>
          <w:bCs w:val="0"/>
          <w:sz w:val="32"/>
          <w:szCs w:val="32"/>
          <w:highlight w:val="none"/>
          <w:lang w:eastAsia="zh-CN"/>
        </w:rPr>
        <w:t>，制约了优质项目落地。</w:t>
      </w:r>
      <w:r>
        <w:rPr>
          <w:rFonts w:hint="eastAsia" w:ascii="仿宋_GB2312" w:eastAsia="仿宋_GB2312"/>
          <w:b/>
          <w:bCs/>
          <w:sz w:val="32"/>
          <w:szCs w:val="32"/>
          <w:highlight w:val="none"/>
          <w:lang w:val="en-US" w:eastAsia="zh-CN"/>
        </w:rPr>
        <w:t>三是财政运行较为困难。</w:t>
      </w:r>
      <w:r>
        <w:rPr>
          <w:rFonts w:hint="eastAsia" w:ascii="仿宋_GB2312" w:hAnsi="Times New Roman" w:eastAsia="仿宋_GB2312"/>
          <w:b w:val="0"/>
          <w:bCs w:val="0"/>
          <w:sz w:val="32"/>
          <w:szCs w:val="32"/>
          <w:highlight w:val="none"/>
          <w:lang w:val="en-US" w:eastAsia="zh-CN"/>
        </w:rPr>
        <w:t>今年政府财政收入预计约2亿元，刚性支出约3亿元，收支缺口达1亿元，财政</w:t>
      </w:r>
      <w:r>
        <w:rPr>
          <w:rFonts w:hint="eastAsia" w:ascii="仿宋_GB2312" w:hAnsi="Times New Roman" w:eastAsia="仿宋_GB2312"/>
          <w:b w:val="0"/>
          <w:bCs w:val="0"/>
          <w:sz w:val="32"/>
          <w:szCs w:val="32"/>
          <w:highlight w:val="none"/>
          <w:lang w:eastAsia="zh-CN"/>
        </w:rPr>
        <w:t>收入难以</w:t>
      </w:r>
      <w:r>
        <w:rPr>
          <w:rFonts w:hint="default" w:ascii="仿宋_GB2312" w:hAnsi="Times New Roman" w:eastAsia="仿宋_GB2312"/>
          <w:b w:val="0"/>
          <w:bCs w:val="0"/>
          <w:sz w:val="32"/>
          <w:szCs w:val="32"/>
          <w:highlight w:val="none"/>
          <w:lang w:eastAsia="zh-CN"/>
        </w:rPr>
        <w:t>覆盖支出需</w:t>
      </w:r>
      <w:r>
        <w:rPr>
          <w:rFonts w:hint="eastAsia" w:ascii="仿宋_GB2312" w:hAnsi="Times New Roman" w:eastAsia="仿宋_GB2312"/>
          <w:b w:val="0"/>
          <w:bCs w:val="0"/>
          <w:sz w:val="32"/>
          <w:szCs w:val="32"/>
          <w:highlight w:val="none"/>
          <w:lang w:eastAsia="zh-CN"/>
        </w:rPr>
        <w:t>求</w:t>
      </w:r>
      <w:r>
        <w:rPr>
          <w:rFonts w:hint="eastAsia" w:ascii="仿宋_GB2312" w:hAnsi="Times New Roman" w:eastAsia="仿宋_GB2312" w:cstheme="minorBidi"/>
          <w:b w:val="0"/>
          <w:bCs w:val="0"/>
          <w:kern w:val="2"/>
          <w:sz w:val="32"/>
          <w:szCs w:val="32"/>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heme="minorBidi"/>
          <w:b w:val="0"/>
          <w:bCs w:val="0"/>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heme="minorBidi"/>
          <w:b w:val="0"/>
          <w:bCs w:val="0"/>
          <w:kern w:val="2"/>
          <w:sz w:val="32"/>
          <w:szCs w:val="32"/>
          <w:highlight w:val="none"/>
          <w:lang w:val="en-US" w:eastAsia="zh-CN" w:bidi="ar-SA"/>
        </w:rPr>
      </w:pPr>
    </w:p>
    <w:p>
      <w:pPr>
        <w:keepNext w:val="0"/>
        <w:keepLines w:val="0"/>
        <w:pageBreakBefore w:val="0"/>
        <w:kinsoku/>
        <w:wordWrap/>
        <w:overflowPunct/>
        <w:topLinePunct w:val="0"/>
        <w:autoSpaceDE/>
        <w:autoSpaceDN/>
        <w:bidi w:val="0"/>
        <w:adjustRightInd/>
        <w:snapToGrid/>
        <w:spacing w:line="560" w:lineRule="exact"/>
        <w:ind w:leftChars="0"/>
        <w:jc w:val="center"/>
        <w:textAlignment w:val="auto"/>
        <w:rPr>
          <w:rFonts w:hint="eastAsia" w:ascii="黑体" w:hAnsi="黑体" w:eastAsia="黑体" w:cs="黑体"/>
          <w:b w:val="0"/>
          <w:bCs w:val="0"/>
          <w:i w:val="0"/>
          <w:caps w:val="0"/>
          <w:color w:val="auto"/>
          <w:spacing w:val="0"/>
          <w:kern w:val="0"/>
          <w:sz w:val="32"/>
          <w:szCs w:val="32"/>
          <w:highlight w:val="none"/>
          <w:lang w:val="en-US" w:eastAsia="zh-CN" w:bidi="ar"/>
        </w:rPr>
      </w:pPr>
      <w:r>
        <w:rPr>
          <w:rFonts w:hint="eastAsia" w:ascii="黑体" w:hAnsi="黑体" w:eastAsia="黑体" w:cs="黑体"/>
          <w:b w:val="0"/>
          <w:bCs w:val="0"/>
          <w:i w:val="0"/>
          <w:caps w:val="0"/>
          <w:color w:val="auto"/>
          <w:spacing w:val="0"/>
          <w:kern w:val="0"/>
          <w:sz w:val="32"/>
          <w:szCs w:val="32"/>
          <w:highlight w:val="none"/>
          <w:lang w:val="en-US" w:eastAsia="zh-CN" w:bidi="ar"/>
        </w:rPr>
        <w:t>2023年工作思路</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Times New Roman" w:eastAsia="仿宋_GB2312" w:cstheme="minorBidi"/>
          <w:b w:val="0"/>
          <w:bCs w:val="0"/>
          <w:kern w:val="2"/>
          <w:sz w:val="32"/>
          <w:szCs w:val="32"/>
          <w:highlight w:val="none"/>
          <w:lang w:val="en-US" w:eastAsia="zh-CN" w:bidi="ar-SA"/>
        </w:rPr>
      </w:pPr>
      <w:r>
        <w:rPr>
          <w:rFonts w:hint="eastAsia" w:ascii="仿宋_GB2312" w:hAnsi="Times New Roman" w:eastAsia="仿宋_GB2312" w:cstheme="minorBidi"/>
          <w:b w:val="0"/>
          <w:bCs w:val="0"/>
          <w:kern w:val="2"/>
          <w:sz w:val="32"/>
          <w:szCs w:val="32"/>
          <w:highlight w:val="none"/>
          <w:lang w:val="en-US" w:eastAsia="zh-CN" w:bidi="ar-SA"/>
        </w:rPr>
        <w:t>2023年，我们将深入贯彻落实党的二十大精神，</w:t>
      </w:r>
      <w:r>
        <w:rPr>
          <w:rFonts w:hint="eastAsia" w:ascii="仿宋_GB2312" w:hAnsi="仿宋_GB2312" w:eastAsia="仿宋_GB2312" w:cs="仿宋_GB2312"/>
          <w:b w:val="0"/>
          <w:bCs w:val="0"/>
          <w:color w:val="auto"/>
          <w:spacing w:val="0"/>
          <w:kern w:val="0"/>
          <w:sz w:val="32"/>
          <w:szCs w:val="24"/>
          <w:lang w:val="en-US" w:eastAsia="zh-CN" w:bidi="ar"/>
        </w:rPr>
        <w:t>围绕全市</w:t>
      </w:r>
      <w:r>
        <w:rPr>
          <w:rFonts w:hint="eastAsia" w:ascii="仿宋_GB2312" w:eastAsia="仿宋_GB2312"/>
          <w:b w:val="0"/>
          <w:bCs w:val="0"/>
          <w:snapToGrid w:val="0"/>
          <w:kern w:val="0"/>
          <w:sz w:val="32"/>
          <w:szCs w:val="32"/>
        </w:rPr>
        <w:t>“532”发展战略</w:t>
      </w:r>
      <w:r>
        <w:rPr>
          <w:rFonts w:hint="eastAsia" w:ascii="仿宋_GB2312" w:eastAsia="仿宋_GB2312"/>
          <w:b w:val="0"/>
          <w:bCs w:val="0"/>
          <w:snapToGrid w:val="0"/>
          <w:kern w:val="0"/>
          <w:sz w:val="32"/>
          <w:szCs w:val="32"/>
          <w:lang w:eastAsia="zh-CN"/>
        </w:rPr>
        <w:t>，</w:t>
      </w:r>
      <w:r>
        <w:rPr>
          <w:rFonts w:hint="eastAsia" w:ascii="仿宋_GB2312" w:hAnsi="仿宋_GB2312" w:eastAsia="仿宋_GB2312" w:cs="仿宋_GB2312"/>
          <w:b w:val="0"/>
          <w:bCs w:val="0"/>
          <w:color w:val="auto"/>
          <w:spacing w:val="0"/>
          <w:kern w:val="0"/>
          <w:sz w:val="32"/>
          <w:szCs w:val="24"/>
          <w:lang w:val="en-US" w:eastAsia="zh-CN" w:bidi="ar"/>
        </w:rPr>
        <w:t>全面落实区委区政府决策部署，加快建设“产业特色镇、城市后花园、幸福宜居地”，为全区打造“六张高新名片”贡献西夏墅力量。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jc w:val="both"/>
        <w:textAlignment w:val="auto"/>
        <w:rPr>
          <w:rStyle w:val="7"/>
          <w:rFonts w:hint="eastAsia" w:ascii="黑体" w:hAnsi="黑体" w:eastAsia="黑体" w:cs="黑体"/>
          <w:b w:val="0"/>
          <w:bCs w:val="0"/>
          <w:sz w:val="32"/>
          <w:szCs w:val="32"/>
          <w:lang w:val="en-US" w:eastAsia="zh-CN"/>
        </w:rPr>
      </w:pPr>
      <w:r>
        <w:rPr>
          <w:rStyle w:val="7"/>
          <w:rFonts w:hint="eastAsia" w:ascii="黑体" w:hAnsi="黑体" w:eastAsia="黑体" w:cs="黑体"/>
          <w:b w:val="0"/>
          <w:bCs w:val="0"/>
          <w:sz w:val="32"/>
          <w:szCs w:val="32"/>
          <w:lang w:val="en-US" w:eastAsia="zh-CN"/>
        </w:rPr>
        <w:t>一、深耕优势产业，加快推动能级跃升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7"/>
          <w:rFonts w:hint="eastAsia" w:ascii="仿宋_GB2312" w:hAnsi="仿宋_GB2312" w:eastAsia="仿宋_GB2312" w:cs="仿宋_GB2312"/>
          <w:b w:val="0"/>
          <w:bCs w:val="0"/>
          <w:kern w:val="2"/>
          <w:sz w:val="32"/>
          <w:szCs w:val="32"/>
          <w:lang w:val="en-US" w:eastAsia="zh-CN" w:bidi="ar-SA"/>
        </w:rPr>
      </w:pPr>
      <w:r>
        <w:rPr>
          <w:rFonts w:hint="eastAsia" w:ascii="仿宋_GB2312" w:eastAsia="仿宋_GB2312"/>
          <w:b w:val="0"/>
          <w:bCs w:val="0"/>
          <w:color w:val="auto"/>
          <w:spacing w:val="0"/>
          <w:sz w:val="32"/>
          <w:szCs w:val="32"/>
          <w:lang w:val="en-US" w:eastAsia="zh-CN"/>
        </w:rPr>
        <w:t>坚持稳中求进工作总基调，</w:t>
      </w:r>
      <w:r>
        <w:rPr>
          <w:rStyle w:val="7"/>
          <w:rFonts w:hint="eastAsia" w:ascii="仿宋_GB2312" w:hAnsi="仿宋_GB2312" w:eastAsia="仿宋_GB2312" w:cs="仿宋_GB2312"/>
          <w:b w:val="0"/>
          <w:bCs w:val="0"/>
          <w:kern w:val="2"/>
          <w:sz w:val="32"/>
          <w:szCs w:val="32"/>
          <w:lang w:val="en-US" w:eastAsia="zh-CN" w:bidi="ar-SA"/>
        </w:rPr>
        <w:t>培育龙头企业，激活创新动能。</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7"/>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产业升级再发力。</w:t>
      </w:r>
      <w:r>
        <w:rPr>
          <w:rStyle w:val="7"/>
          <w:rFonts w:hint="eastAsia" w:ascii="仿宋_GB2312" w:hAnsi="仿宋_GB2312" w:eastAsia="仿宋_GB2312" w:cs="仿宋_GB2312"/>
          <w:b w:val="0"/>
          <w:bCs w:val="0"/>
          <w:kern w:val="2"/>
          <w:sz w:val="32"/>
          <w:szCs w:val="32"/>
          <w:lang w:val="en-US" w:eastAsia="zh-CN" w:bidi="ar-SA"/>
        </w:rPr>
        <w:t>聚焦企业需求主动靠前服务，引导新创智能、金牛研磨等企业向专精特新发展，打造特色产业集群。积极对接黑牡丹、中吴公司，做好资金成本测算，加快推进纺织印染园区转型升级。</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7"/>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招商引资再突破。</w:t>
      </w:r>
      <w:r>
        <w:rPr>
          <w:rStyle w:val="7"/>
          <w:rFonts w:hint="eastAsia" w:ascii="仿宋_GB2312" w:hAnsi="仿宋_GB2312" w:eastAsia="仿宋_GB2312" w:cs="仿宋_GB2312"/>
          <w:b w:val="0"/>
          <w:bCs w:val="0"/>
          <w:kern w:val="2"/>
          <w:sz w:val="32"/>
          <w:szCs w:val="32"/>
          <w:lang w:val="en-US" w:eastAsia="zh-CN" w:bidi="ar-SA"/>
        </w:rPr>
        <w:t>坚持项目为王，实行“招推服”一体化推进</w:t>
      </w:r>
      <w:r>
        <w:rPr>
          <w:rStyle w:val="7"/>
          <w:rFonts w:hint="eastAsia" w:ascii="仿宋_GB2312" w:hAnsi="仿宋_GB2312" w:eastAsia="仿宋_GB2312" w:cs="仿宋_GB2312"/>
          <w:b w:val="0"/>
          <w:bCs w:val="0"/>
          <w:kern w:val="2"/>
          <w:sz w:val="32"/>
          <w:szCs w:val="32"/>
          <w:highlight w:val="none"/>
          <w:lang w:val="en-US" w:eastAsia="zh-CN" w:bidi="ar-SA"/>
        </w:rPr>
        <w:t>，重点引进一批大项目，推动产业链式发展。</w:t>
      </w:r>
      <w:r>
        <w:rPr>
          <w:rStyle w:val="7"/>
          <w:rFonts w:hint="eastAsia" w:ascii="仿宋_GB2312" w:hAnsi="仿宋_GB2312" w:eastAsia="仿宋_GB2312" w:cs="仿宋_GB2312"/>
          <w:b w:val="0"/>
          <w:bCs w:val="0"/>
          <w:kern w:val="2"/>
          <w:sz w:val="32"/>
          <w:szCs w:val="32"/>
          <w:lang w:val="en-US" w:eastAsia="zh-CN" w:bidi="ar-SA"/>
        </w:rPr>
        <w:t>综合运用兼并重组、收购等方式，盘活低效工业用地。通过签订对赌协议，倒逼企业提升亩均税收。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highlight w:val="yellow"/>
          <w:lang w:eastAsia="zh-CN"/>
        </w:rPr>
      </w:pPr>
      <w:r>
        <w:rPr>
          <w:rFonts w:hint="eastAsia" w:ascii="楷体_GB2312" w:hAnsi="楷体_GB2312" w:eastAsia="楷体_GB2312" w:cs="楷体_GB2312"/>
          <w:b w:val="0"/>
          <w:bCs w:val="0"/>
          <w:kern w:val="2"/>
          <w:sz w:val="32"/>
          <w:szCs w:val="32"/>
          <w:lang w:val="en-US" w:eastAsia="zh-CN" w:bidi="ar-SA"/>
        </w:rPr>
        <w:t>创新动能再增强。</w:t>
      </w:r>
      <w:r>
        <w:rPr>
          <w:rStyle w:val="7"/>
          <w:rFonts w:hint="eastAsia" w:ascii="仿宋_GB2312" w:hAnsi="仿宋_GB2312" w:eastAsia="仿宋_GB2312" w:cs="仿宋_GB2312"/>
          <w:b w:val="0"/>
          <w:bCs w:val="0"/>
          <w:kern w:val="2"/>
          <w:sz w:val="32"/>
          <w:szCs w:val="32"/>
          <w:lang w:val="en-US" w:eastAsia="zh-CN" w:bidi="ar-SA"/>
        </w:rPr>
        <w:t>充分发挥海博工具产业研究院等现有载体功能，加快建设</w:t>
      </w:r>
      <w:r>
        <w:rPr>
          <w:rStyle w:val="7"/>
          <w:rFonts w:hint="eastAsia" w:ascii="仿宋_GB2312" w:hAnsi="仿宋_GB2312" w:eastAsia="仿宋_GB2312" w:cs="仿宋_GB2312"/>
          <w:b w:val="0"/>
          <w:bCs w:val="0"/>
          <w:kern w:val="2"/>
          <w:sz w:val="32"/>
          <w:szCs w:val="32"/>
          <w:highlight w:val="none"/>
          <w:lang w:val="en-US" w:eastAsia="zh-CN" w:bidi="ar-SA"/>
        </w:rPr>
        <w:t>新墅科创加速器，</w:t>
      </w:r>
      <w:r>
        <w:rPr>
          <w:rFonts w:hint="eastAsia" w:ascii="仿宋_GB2312" w:hAnsi="仿宋_GB2312" w:eastAsia="仿宋_GB2312" w:cs="仿宋_GB2312"/>
          <w:b w:val="0"/>
          <w:bCs w:val="0"/>
          <w:sz w:val="32"/>
          <w:szCs w:val="32"/>
          <w:highlight w:val="none"/>
          <w:lang w:eastAsia="zh-CN"/>
        </w:rPr>
        <w:t>梯次培育</w:t>
      </w:r>
      <w:r>
        <w:rPr>
          <w:rFonts w:hint="eastAsia" w:ascii="仿宋_GB2312" w:hAnsi="仿宋_GB2312" w:eastAsia="仿宋_GB2312" w:cs="仿宋_GB2312"/>
          <w:b w:val="0"/>
          <w:bCs w:val="0"/>
          <w:sz w:val="32"/>
          <w:szCs w:val="32"/>
          <w:highlight w:val="none"/>
        </w:rPr>
        <w:t>高新技术企业</w:t>
      </w:r>
      <w:r>
        <w:rPr>
          <w:rFonts w:hint="eastAsia" w:ascii="仿宋_GB2312" w:hAnsi="仿宋_GB2312" w:eastAsia="仿宋_GB2312" w:cs="仿宋_GB2312"/>
          <w:b w:val="0"/>
          <w:bCs w:val="0"/>
          <w:sz w:val="32"/>
          <w:szCs w:val="32"/>
          <w:highlight w:val="none"/>
          <w:lang w:eastAsia="zh-CN"/>
        </w:rPr>
        <w:t>，计划</w:t>
      </w:r>
      <w:r>
        <w:rPr>
          <w:rFonts w:hint="eastAsia" w:ascii="仿宋_GB2312" w:hAnsi="仿宋_GB2312" w:eastAsia="仿宋_GB2312" w:cs="仿宋_GB2312"/>
          <w:b w:val="0"/>
          <w:bCs w:val="0"/>
          <w:sz w:val="32"/>
          <w:szCs w:val="32"/>
          <w:highlight w:val="none"/>
        </w:rPr>
        <w:t>吸引5家科技型中小企业落户</w:t>
      </w:r>
      <w:r>
        <w:rPr>
          <w:rFonts w:hint="eastAsia" w:ascii="仿宋_GB2312" w:hAnsi="仿宋_GB2312" w:eastAsia="仿宋_GB2312" w:cs="仿宋_GB2312"/>
          <w:b w:val="0"/>
          <w:bCs w:val="0"/>
          <w:sz w:val="32"/>
          <w:szCs w:val="32"/>
          <w:highlight w:val="none"/>
          <w:lang w:eastAsia="zh-CN"/>
        </w:rPr>
        <w:t>。完善人才公寓配套建设，</w:t>
      </w:r>
      <w:r>
        <w:rPr>
          <w:rFonts w:hint="eastAsia" w:ascii="仿宋_GB2312" w:hAnsi="仿宋_GB2312" w:eastAsia="仿宋_GB2312" w:cs="仿宋_GB2312"/>
          <w:b w:val="0"/>
          <w:bCs w:val="0"/>
          <w:sz w:val="32"/>
          <w:szCs w:val="32"/>
          <w:highlight w:val="none"/>
        </w:rPr>
        <w:t>吸引高端人才</w:t>
      </w:r>
      <w:r>
        <w:rPr>
          <w:rFonts w:hint="eastAsia" w:ascii="仿宋_GB2312" w:hAnsi="仿宋_GB2312" w:eastAsia="仿宋_GB2312" w:cs="仿宋_GB2312"/>
          <w:b w:val="0"/>
          <w:bCs w:val="0"/>
          <w:sz w:val="32"/>
          <w:szCs w:val="32"/>
          <w:highlight w:val="none"/>
          <w:lang w:val="en-US" w:eastAsia="zh-CN"/>
        </w:rPr>
        <w:t>前来</w:t>
      </w:r>
      <w:r>
        <w:rPr>
          <w:rFonts w:hint="eastAsia" w:ascii="仿宋_GB2312" w:hAnsi="仿宋_GB2312" w:eastAsia="仿宋_GB2312" w:cs="仿宋_GB2312"/>
          <w:b w:val="0"/>
          <w:bCs w:val="0"/>
          <w:sz w:val="32"/>
          <w:szCs w:val="32"/>
          <w:highlight w:val="none"/>
        </w:rPr>
        <w:t>创业</w:t>
      </w:r>
      <w:r>
        <w:rPr>
          <w:rFonts w:hint="eastAsia" w:ascii="仿宋_GB2312" w:hAnsi="仿宋_GB2312" w:eastAsia="仿宋_GB2312" w:cs="仿宋_GB2312"/>
          <w:b w:val="0"/>
          <w:bCs w:val="0"/>
          <w:sz w:val="32"/>
          <w:szCs w:val="32"/>
          <w:highlight w:val="none"/>
          <w:lang w:val="en-US" w:eastAsia="zh-CN"/>
        </w:rPr>
        <w:t>就业</w:t>
      </w:r>
      <w:r>
        <w:rPr>
          <w:rFonts w:hint="eastAsia" w:ascii="仿宋_GB2312" w:hAnsi="仿宋_GB2312" w:eastAsia="仿宋_GB2312" w:cs="仿宋_GB2312"/>
          <w:b w:val="0"/>
          <w:bCs w:val="0"/>
          <w:sz w:val="32"/>
          <w:szCs w:val="32"/>
          <w:highlight w:val="none"/>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7"/>
          <w:rFonts w:hint="eastAsia" w:ascii="黑体" w:hAnsi="黑体" w:eastAsia="黑体" w:cs="黑体"/>
          <w:b w:val="0"/>
          <w:bCs w:val="0"/>
          <w:sz w:val="32"/>
          <w:szCs w:val="32"/>
          <w:lang w:val="en-US" w:eastAsia="zh-CN"/>
        </w:rPr>
      </w:pPr>
      <w:r>
        <w:rPr>
          <w:rStyle w:val="7"/>
          <w:rFonts w:hint="eastAsia" w:ascii="黑体" w:hAnsi="黑体" w:eastAsia="黑体" w:cs="黑体"/>
          <w:b w:val="0"/>
          <w:bCs w:val="0"/>
          <w:sz w:val="32"/>
          <w:szCs w:val="32"/>
          <w:lang w:val="en-US" w:eastAsia="zh-CN"/>
        </w:rPr>
        <w:t>二、厚植“三农”情怀，全面推进乡村振兴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坚持农业农村优先发展，加速三产融合，实现乡村蝶变。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7"/>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kern w:val="2"/>
          <w:sz w:val="32"/>
          <w:szCs w:val="32"/>
          <w:lang w:val="en-US" w:eastAsia="zh-CN" w:bidi="ar-SA"/>
        </w:rPr>
        <w:t>促进农业高质高效。</w:t>
      </w:r>
      <w:r>
        <w:rPr>
          <w:rStyle w:val="7"/>
          <w:rFonts w:hint="eastAsia" w:ascii="仿宋_GB2312" w:hAnsi="仿宋_GB2312" w:eastAsia="仿宋_GB2312" w:cs="仿宋_GB2312"/>
          <w:b w:val="0"/>
          <w:bCs w:val="0"/>
          <w:sz w:val="32"/>
          <w:szCs w:val="32"/>
          <w:lang w:val="en-US" w:eastAsia="zh-CN"/>
        </w:rPr>
        <w:t>持续优化农业产业结构，推进优质稻米、绿色果蔬产业规模化种植。重点招引农业龙头企业，打响园区农业品牌。新增水稻种植面积1000亩，推动粮食扩面增产。</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7"/>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kern w:val="2"/>
          <w:sz w:val="32"/>
          <w:szCs w:val="32"/>
          <w:lang w:val="en-US" w:eastAsia="zh-CN" w:bidi="ar-SA"/>
        </w:rPr>
        <w:t>推动乡村宜居宜业。</w:t>
      </w:r>
      <w:r>
        <w:rPr>
          <w:rStyle w:val="7"/>
          <w:rFonts w:hint="eastAsia" w:ascii="仿宋_GB2312" w:hAnsi="仿宋_GB2312" w:eastAsia="仿宋_GB2312" w:cs="仿宋_GB2312"/>
          <w:b w:val="0"/>
          <w:bCs w:val="0"/>
          <w:sz w:val="32"/>
          <w:szCs w:val="32"/>
          <w:lang w:val="en-US" w:eastAsia="zh-CN"/>
        </w:rPr>
        <w:t>加快推进梅林村居民集聚点建设，确保一期如期交付。以稻米文化为核心，打造“东南IP”。</w:t>
      </w:r>
      <w:r>
        <w:rPr>
          <w:rFonts w:hint="eastAsia" w:ascii="仿宋_GB2312" w:hAnsi="仿宋_GB2312" w:eastAsia="仿宋_GB2312" w:cs="仿宋_GB2312"/>
          <w:b w:val="0"/>
          <w:bCs w:val="0"/>
          <w:sz w:val="32"/>
          <w:szCs w:val="32"/>
          <w:lang w:val="en-US" w:eastAsia="zh-CN"/>
        </w:rPr>
        <w:t>加快推进</w:t>
      </w:r>
      <w:r>
        <w:rPr>
          <w:rStyle w:val="7"/>
          <w:rFonts w:hint="eastAsia" w:ascii="仿宋_GB2312" w:hAnsi="仿宋_GB2312" w:eastAsia="仿宋_GB2312" w:cs="仿宋_GB2312"/>
          <w:b w:val="0"/>
          <w:bCs w:val="0"/>
          <w:sz w:val="32"/>
          <w:szCs w:val="32"/>
          <w:lang w:val="en-US" w:eastAsia="zh-CN"/>
        </w:rPr>
        <w:t>稻田酒店运营，发展“民宿+文化体验”“民宿+特色餐饮”等新业态，让“美丽经济”更好赋能乡村振兴。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7"/>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带动农民富裕富足。</w:t>
      </w:r>
      <w:r>
        <w:rPr>
          <w:rStyle w:val="7"/>
          <w:rFonts w:hint="eastAsia" w:ascii="仿宋_GB2312" w:hAnsi="仿宋_GB2312" w:eastAsia="仿宋_GB2312" w:cs="仿宋_GB2312"/>
          <w:b w:val="0"/>
          <w:bCs w:val="0"/>
          <w:kern w:val="2"/>
          <w:sz w:val="32"/>
          <w:szCs w:val="32"/>
          <w:lang w:val="en-US" w:eastAsia="zh-CN" w:bidi="ar-SA"/>
        </w:rPr>
        <w:t>支持村（社区）建设标准厂房及物业项目，发展壮大新型农业经营主体，增强造血功能。积极对接隐居乡里，在原址原地上改造牛郎村农房，以多元经营模式拓展增收空间。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7"/>
          <w:rFonts w:hint="eastAsia" w:ascii="黑体" w:hAnsi="黑体" w:eastAsia="黑体" w:cs="黑体"/>
          <w:b w:val="0"/>
          <w:bCs w:val="0"/>
          <w:sz w:val="32"/>
          <w:szCs w:val="32"/>
          <w:lang w:val="en-US" w:eastAsia="zh-CN"/>
        </w:rPr>
      </w:pPr>
      <w:r>
        <w:rPr>
          <w:rStyle w:val="7"/>
          <w:rFonts w:hint="eastAsia" w:ascii="黑体" w:hAnsi="黑体" w:eastAsia="黑体" w:cs="黑体"/>
          <w:b w:val="0"/>
          <w:bCs w:val="0"/>
          <w:sz w:val="32"/>
          <w:szCs w:val="32"/>
          <w:lang w:val="en-US" w:eastAsia="zh-CN"/>
        </w:rPr>
        <w:t>三、注重内外兼修，着力提升城镇品质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7"/>
          <w:rFonts w:hint="eastAsia" w:ascii="仿宋_GB2312" w:hAnsi="仿宋_GB2312" w:eastAsia="仿宋_GB2312" w:cs="仿宋_GB2312"/>
          <w:b w:val="0"/>
          <w:bCs w:val="0"/>
          <w:kern w:val="2"/>
          <w:sz w:val="32"/>
          <w:szCs w:val="32"/>
          <w:lang w:val="en-US" w:eastAsia="zh-CN" w:bidi="ar-SA"/>
        </w:rPr>
      </w:pPr>
      <w:r>
        <w:rPr>
          <w:rStyle w:val="7"/>
          <w:rFonts w:hint="eastAsia" w:ascii="仿宋_GB2312" w:hAnsi="仿宋_GB2312" w:eastAsia="仿宋_GB2312" w:cs="仿宋_GB2312"/>
          <w:b w:val="0"/>
          <w:bCs w:val="0"/>
          <w:kern w:val="2"/>
          <w:sz w:val="32"/>
          <w:szCs w:val="32"/>
          <w:lang w:val="en-US" w:eastAsia="zh-CN" w:bidi="ar-SA"/>
        </w:rPr>
        <w:t>强化规划引领，加快补齐城镇建设短板，改善居民生活质量。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napToGrid/>
          <w:spacing w:val="0"/>
          <w:kern w:val="2"/>
          <w:sz w:val="32"/>
          <w:szCs w:val="32"/>
          <w:highlight w:val="none"/>
          <w:lang w:val="en-US" w:eastAsia="zh-CN"/>
        </w:rPr>
      </w:pPr>
      <w:r>
        <w:rPr>
          <w:rFonts w:hint="eastAsia" w:ascii="楷体_GB2312" w:hAnsi="楷体_GB2312" w:eastAsia="楷体_GB2312" w:cs="楷体_GB2312"/>
          <w:b w:val="0"/>
          <w:bCs w:val="0"/>
          <w:kern w:val="2"/>
          <w:sz w:val="32"/>
          <w:szCs w:val="32"/>
          <w:lang w:val="en-US" w:eastAsia="zh-CN" w:bidi="ar-SA"/>
        </w:rPr>
        <w:t>优化空间布局。</w:t>
      </w:r>
      <w:r>
        <w:rPr>
          <w:rFonts w:hint="eastAsia" w:ascii="仿宋_GB2312" w:hAnsi="仿宋_GB2312" w:eastAsia="仿宋_GB2312" w:cs="仿宋_GB2312"/>
          <w:b w:val="0"/>
          <w:bCs w:val="0"/>
          <w:snapToGrid/>
          <w:spacing w:val="0"/>
          <w:kern w:val="0"/>
          <w:sz w:val="32"/>
          <w:szCs w:val="32"/>
          <w:lang w:val="en-US" w:eastAsia="zh-CN"/>
        </w:rPr>
        <w:t>配合</w:t>
      </w:r>
      <w:r>
        <w:rPr>
          <w:rFonts w:hint="eastAsia" w:ascii="仿宋_GB2312" w:hAnsi="仿宋_GB2312" w:eastAsia="仿宋_GB2312" w:cs="仿宋_GB2312"/>
          <w:b w:val="0"/>
          <w:bCs w:val="0"/>
          <w:snapToGrid/>
          <w:spacing w:val="0"/>
          <w:kern w:val="2"/>
          <w:sz w:val="32"/>
          <w:szCs w:val="32"/>
          <w:highlight w:val="none"/>
          <w:lang w:val="en-US" w:eastAsia="zh-CN"/>
        </w:rPr>
        <w:t>做好国土空间规划编制工作，结合“三区三线”划定，进一步优化空间资源配置，统筹推进河东新镇区、老镇区、工业园区综合开发。</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kern w:val="2"/>
          <w:sz w:val="32"/>
          <w:szCs w:val="32"/>
          <w:lang w:val="en-US" w:eastAsia="zh-CN" w:bidi="ar-SA"/>
        </w:rPr>
        <w:t>完善功能配套。</w:t>
      </w:r>
      <w:r>
        <w:rPr>
          <w:rFonts w:hint="eastAsia" w:ascii="仿宋_GB2312" w:hAnsi="仿宋_GB2312" w:eastAsia="仿宋_GB2312" w:cs="仿宋_GB2312"/>
          <w:b w:val="0"/>
          <w:bCs w:val="0"/>
          <w:snapToGrid/>
          <w:spacing w:val="0"/>
          <w:kern w:val="2"/>
          <w:sz w:val="32"/>
          <w:szCs w:val="32"/>
          <w:highlight w:val="none"/>
          <w:lang w:val="en-US" w:eastAsia="zh-CN"/>
        </w:rPr>
        <w:t>有序推进香山福园三期安置房建设前期准备工作，实施西夏墅幼儿园改扩建工程。加快丽江路、茅山路等市政道路建设，完成城巷桥与S239省道接通工程，进一</w:t>
      </w:r>
      <w:r>
        <w:rPr>
          <w:rFonts w:hint="eastAsia" w:ascii="仿宋_GB2312" w:hAnsi="仿宋_GB2312" w:eastAsia="仿宋_GB2312" w:cs="仿宋_GB2312"/>
          <w:b w:val="0"/>
          <w:bCs w:val="0"/>
          <w:sz w:val="32"/>
          <w:szCs w:val="32"/>
          <w:lang w:val="en-US" w:eastAsia="zh-CN"/>
        </w:rPr>
        <w:t>步畅通交通路网。</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napToGrid/>
          <w:spacing w:val="0"/>
          <w:kern w:val="2"/>
          <w:sz w:val="32"/>
          <w:szCs w:val="32"/>
          <w:highlight w:val="none"/>
          <w:lang w:val="en-US" w:eastAsia="zh-CN"/>
        </w:rPr>
      </w:pPr>
      <w:r>
        <w:rPr>
          <w:rFonts w:hint="eastAsia" w:ascii="楷体_GB2312" w:hAnsi="楷体_GB2312" w:eastAsia="楷体_GB2312" w:cs="楷体_GB2312"/>
          <w:b w:val="0"/>
          <w:bCs w:val="0"/>
          <w:kern w:val="2"/>
          <w:sz w:val="32"/>
          <w:szCs w:val="32"/>
          <w:lang w:val="en-US" w:eastAsia="zh-CN" w:bidi="ar-SA"/>
        </w:rPr>
        <w:t>加强长效管理。</w:t>
      </w:r>
      <w:r>
        <w:rPr>
          <w:rFonts w:hint="eastAsia" w:ascii="仿宋_GB2312" w:hAnsi="仿宋_GB2312" w:eastAsia="仿宋_GB2312" w:cs="仿宋_GB2312"/>
          <w:b w:val="0"/>
          <w:bCs w:val="0"/>
          <w:snapToGrid/>
          <w:spacing w:val="0"/>
          <w:kern w:val="2"/>
          <w:sz w:val="32"/>
          <w:szCs w:val="32"/>
          <w:highlight w:val="none"/>
          <w:lang w:val="en-US" w:eastAsia="zh-CN"/>
        </w:rPr>
        <w:t>强化“城警联动”，加大联合执法力度，有效整治交通管理等难点问题。扎实开展绿化管理集中整治活动，推进垃圾分类工作，提升长效管理精细化水平。</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napToGrid/>
          <w:spacing w:val="0"/>
          <w:kern w:val="2"/>
          <w:sz w:val="32"/>
          <w:szCs w:val="32"/>
          <w:highlight w:val="none"/>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7"/>
          <w:rFonts w:hint="eastAsia" w:ascii="黑体" w:hAnsi="黑体" w:eastAsia="黑体" w:cs="黑体"/>
          <w:b w:val="0"/>
          <w:bCs w:val="0"/>
          <w:sz w:val="32"/>
          <w:szCs w:val="32"/>
          <w:lang w:val="en-US" w:eastAsia="zh-CN"/>
        </w:rPr>
      </w:pPr>
      <w:r>
        <w:rPr>
          <w:rStyle w:val="7"/>
          <w:rFonts w:hint="eastAsia" w:ascii="黑体" w:hAnsi="黑体" w:eastAsia="黑体" w:cs="黑体"/>
          <w:b w:val="0"/>
          <w:bCs w:val="0"/>
          <w:sz w:val="32"/>
          <w:szCs w:val="32"/>
          <w:lang w:val="en-US" w:eastAsia="zh-CN"/>
        </w:rPr>
        <w:t>四、践行为民宗旨，不断增进民生福祉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kern w:val="0"/>
          <w:sz w:val="32"/>
          <w:szCs w:val="32"/>
          <w:lang w:val="en-US" w:eastAsia="zh-CN" w:bidi="ar"/>
        </w:rPr>
        <w:t>着眼民生民</w:t>
      </w:r>
      <w:r>
        <w:rPr>
          <w:rFonts w:hint="eastAsia" w:ascii="仿宋_GB2312" w:hAnsi="仿宋_GB2312" w:eastAsia="仿宋_GB2312" w:cs="仿宋_GB2312"/>
          <w:b w:val="0"/>
          <w:bCs w:val="0"/>
          <w:sz w:val="32"/>
          <w:szCs w:val="32"/>
          <w:lang w:val="en-US" w:eastAsia="zh-CN"/>
        </w:rPr>
        <w:t>本，用心用情解决好群众急难愁盼问题。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kern w:val="2"/>
          <w:sz w:val="32"/>
          <w:szCs w:val="32"/>
          <w:lang w:val="en-US" w:eastAsia="zh-CN" w:bidi="ar-SA"/>
        </w:rPr>
        <w:t>提升便民服务水平。</w:t>
      </w:r>
      <w:r>
        <w:rPr>
          <w:rFonts w:hint="eastAsia" w:ascii="仿宋_GB2312" w:hAnsi="仿宋_GB2312" w:eastAsia="仿宋_GB2312" w:cs="仿宋_GB2312"/>
          <w:b w:val="0"/>
          <w:bCs w:val="0"/>
          <w:sz w:val="32"/>
          <w:szCs w:val="32"/>
        </w:rPr>
        <w:t>深化简政放权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推动公积金、交管等业务进驻便民服务大厅，</w:t>
      </w:r>
      <w:r>
        <w:rPr>
          <w:rFonts w:hint="eastAsia" w:ascii="仿宋_GB2312" w:hAnsi="仿宋_GB2312" w:eastAsia="仿宋_GB2312" w:cs="仿宋_GB2312"/>
          <w:b w:val="0"/>
          <w:bCs w:val="0"/>
          <w:sz w:val="32"/>
          <w:szCs w:val="32"/>
          <w:lang w:val="en-US" w:eastAsia="zh-CN"/>
        </w:rPr>
        <w:t>开展</w:t>
      </w:r>
      <w:r>
        <w:rPr>
          <w:rFonts w:hint="eastAsia" w:ascii="仿宋_GB2312" w:hAnsi="仿宋_GB2312" w:eastAsia="仿宋_GB2312" w:cs="仿宋_GB2312"/>
          <w:b w:val="0"/>
          <w:bCs w:val="0"/>
          <w:sz w:val="32"/>
          <w:szCs w:val="32"/>
        </w:rPr>
        <w:t>代办服务、上门服务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延伸服务触角</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改版升级</w:t>
      </w:r>
      <w:r>
        <w:rPr>
          <w:rFonts w:hint="eastAsia" w:ascii="仿宋_GB2312" w:hAnsi="仿宋_GB2312" w:eastAsia="仿宋_GB2312" w:cs="仿宋_GB2312"/>
          <w:b w:val="0"/>
          <w:bCs w:val="0"/>
          <w:sz w:val="32"/>
          <w:szCs w:val="32"/>
        </w:rPr>
        <w:t>政务服务旗舰店</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实现</w:t>
      </w:r>
      <w:r>
        <w:rPr>
          <w:rFonts w:hint="eastAsia" w:ascii="仿宋_GB2312" w:hAnsi="仿宋_GB2312" w:eastAsia="仿宋_GB2312" w:cs="仿宋_GB2312"/>
          <w:b w:val="0"/>
          <w:bCs w:val="0"/>
          <w:sz w:val="32"/>
          <w:szCs w:val="32"/>
        </w:rPr>
        <w:t>“综合查询、智能审批、跨域通办</w:t>
      </w:r>
      <w:r>
        <w:rPr>
          <w:rFonts w:hint="eastAsia" w:ascii="仿宋_GB2312" w:hAnsi="仿宋_GB2312" w:eastAsia="仿宋_GB2312" w:cs="仿宋_GB2312"/>
          <w:b w:val="0"/>
          <w:bCs w:val="0"/>
          <w:sz w:val="32"/>
          <w:szCs w:val="32"/>
          <w:lang w:val="en-US" w:eastAsia="zh-CN"/>
        </w:rPr>
        <w:t>”一站式服务。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kern w:val="2"/>
          <w:sz w:val="32"/>
          <w:szCs w:val="32"/>
          <w:lang w:val="en-US" w:eastAsia="zh-CN" w:bidi="ar-SA"/>
        </w:rPr>
        <w:t>加强基本民生保障。</w:t>
      </w:r>
      <w:r>
        <w:rPr>
          <w:rFonts w:hint="eastAsia" w:ascii="仿宋_GB2312" w:hAnsi="仿宋_GB2312" w:eastAsia="仿宋_GB2312" w:cs="仿宋_GB2312"/>
          <w:b w:val="0"/>
          <w:bCs w:val="0"/>
          <w:sz w:val="32"/>
          <w:szCs w:val="32"/>
          <w:lang w:val="en-US" w:eastAsia="zh-CN"/>
        </w:rPr>
        <w:t>持续做好社会救助工作，发挥慈善基金和教育基金补充作用，帮扶困难群众。积极探索养老机构公建民营合作模式，扩大优质养老服务供给。开展专场招聘活动，加大职业技能培训力度，提高城镇就业率。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kern w:val="2"/>
          <w:sz w:val="32"/>
          <w:szCs w:val="32"/>
          <w:lang w:val="en-US" w:eastAsia="zh-CN" w:bidi="ar-SA"/>
        </w:rPr>
        <w:t>优化公共服务供给。</w:t>
      </w:r>
      <w:r>
        <w:rPr>
          <w:rFonts w:hint="eastAsia" w:ascii="仿宋_GB2312" w:hAnsi="仿宋_GB2312" w:eastAsia="仿宋_GB2312" w:cs="仿宋_GB2312"/>
          <w:b w:val="0"/>
          <w:bCs w:val="0"/>
          <w:sz w:val="32"/>
          <w:szCs w:val="32"/>
          <w:lang w:val="en-US" w:eastAsia="zh-CN"/>
        </w:rPr>
        <w:t>积极推进西夏墅中心幼儿园创建“省级普惠托育机构”，实行西夏墅初高中分设办学，探索集团化办学模式。西夏墅卫生院深化</w:t>
      </w:r>
      <w:r>
        <w:rPr>
          <w:rFonts w:hint="eastAsia" w:ascii="仿宋_GB2312" w:hAnsi="仿宋_GB2312" w:eastAsia="仿宋_GB2312" w:cs="仿宋_GB2312"/>
          <w:b w:val="0"/>
          <w:bCs w:val="0"/>
          <w:sz w:val="32"/>
          <w:szCs w:val="32"/>
        </w:rPr>
        <w:t>“专科护理联盟”发展</w:t>
      </w:r>
      <w:r>
        <w:rPr>
          <w:rFonts w:hint="eastAsia" w:ascii="仿宋_GB2312" w:hAnsi="仿宋_GB2312" w:eastAsia="仿宋_GB2312" w:cs="仿宋_GB2312"/>
          <w:b w:val="0"/>
          <w:bCs w:val="0"/>
          <w:sz w:val="32"/>
          <w:szCs w:val="32"/>
          <w:lang w:val="en-US" w:eastAsia="zh-CN"/>
        </w:rPr>
        <w:t>，力争</w:t>
      </w:r>
      <w:r>
        <w:rPr>
          <w:rFonts w:hint="eastAsia" w:ascii="仿宋_GB2312" w:hAnsi="仿宋_GB2312" w:eastAsia="仿宋_GB2312" w:cs="仿宋_GB2312"/>
          <w:b w:val="0"/>
          <w:bCs w:val="0"/>
          <w:sz w:val="32"/>
          <w:szCs w:val="32"/>
        </w:rPr>
        <w:t>糖</w:t>
      </w:r>
      <w:r>
        <w:rPr>
          <w:rFonts w:hint="eastAsia" w:ascii="仿宋_GB2312" w:hAnsi="仿宋_GB2312" w:eastAsia="仿宋_GB2312" w:cs="仿宋_GB2312"/>
          <w:b w:val="0"/>
          <w:bCs w:val="0"/>
          <w:sz w:val="32"/>
          <w:szCs w:val="32"/>
          <w:lang w:val="en-US" w:eastAsia="zh-CN"/>
        </w:rPr>
        <w:t>尿病专科顺利通过省级验收。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7"/>
          <w:rFonts w:hint="eastAsia" w:ascii="黑体" w:hAnsi="黑体" w:eastAsia="黑体" w:cs="黑体"/>
          <w:b w:val="0"/>
          <w:bCs w:val="0"/>
          <w:sz w:val="32"/>
          <w:szCs w:val="32"/>
          <w:lang w:val="en-US" w:eastAsia="zh-CN"/>
        </w:rPr>
      </w:pPr>
      <w:r>
        <w:rPr>
          <w:rStyle w:val="7"/>
          <w:rFonts w:hint="eastAsia" w:ascii="黑体" w:hAnsi="黑体" w:eastAsia="黑体" w:cs="黑体"/>
          <w:b w:val="0"/>
          <w:bCs w:val="0"/>
          <w:sz w:val="32"/>
          <w:szCs w:val="32"/>
          <w:lang w:val="en-US" w:eastAsia="zh-CN"/>
        </w:rPr>
        <w:t>五、强化底线思维，切实筑牢发展根基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napToGrid/>
          <w:spacing w:val="0"/>
          <w:kern w:val="2"/>
          <w:sz w:val="32"/>
          <w:szCs w:val="32"/>
          <w:highlight w:val="none"/>
          <w:lang w:val="en-US" w:eastAsia="zh-CN"/>
        </w:rPr>
      </w:pPr>
      <w:r>
        <w:rPr>
          <w:rFonts w:hint="eastAsia" w:ascii="仿宋_GB2312" w:hAnsi="仿宋_GB2312" w:eastAsia="仿宋_GB2312" w:cs="仿宋_GB2312"/>
          <w:b w:val="0"/>
          <w:bCs w:val="0"/>
          <w:snapToGrid/>
          <w:spacing w:val="0"/>
          <w:kern w:val="2"/>
          <w:sz w:val="32"/>
          <w:szCs w:val="32"/>
          <w:highlight w:val="none"/>
          <w:lang w:val="en-US" w:eastAsia="zh-CN"/>
        </w:rPr>
        <w:t>坚持问题导向，采取有力举措防范化解重大风险。</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7"/>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kern w:val="2"/>
          <w:sz w:val="32"/>
          <w:szCs w:val="32"/>
          <w:lang w:val="en-US" w:eastAsia="zh-CN" w:bidi="ar-SA"/>
        </w:rPr>
        <w:t>夯实安全发展基础。</w:t>
      </w:r>
      <w:r>
        <w:rPr>
          <w:rStyle w:val="7"/>
          <w:rFonts w:hint="eastAsia" w:ascii="仿宋_GB2312" w:hAnsi="仿宋_GB2312" w:eastAsia="仿宋_GB2312" w:cs="仿宋_GB2312"/>
          <w:b w:val="0"/>
          <w:bCs w:val="0"/>
          <w:sz w:val="32"/>
          <w:szCs w:val="32"/>
          <w:lang w:val="en-US" w:eastAsia="zh-CN"/>
        </w:rPr>
        <w:t>加强日常监管，抓好源头治理，继续开展危化品、消防安全等重点行业领域专项整治，巩固安全生产专项整治三年行动成果。持续推进安全生产标准化达标创建，推动企业安全管理提档升级。</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7"/>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kern w:val="2"/>
          <w:sz w:val="32"/>
          <w:szCs w:val="32"/>
          <w:lang w:val="en-US" w:eastAsia="zh-CN" w:bidi="ar-SA"/>
        </w:rPr>
        <w:t>加强生态环境保护。</w:t>
      </w:r>
      <w:r>
        <w:rPr>
          <w:rStyle w:val="7"/>
          <w:rFonts w:hint="eastAsia" w:ascii="仿宋_GB2312" w:hAnsi="仿宋_GB2312" w:eastAsia="仿宋_GB2312" w:cs="仿宋_GB2312"/>
          <w:b w:val="0"/>
          <w:bCs w:val="0"/>
          <w:sz w:val="32"/>
          <w:szCs w:val="32"/>
          <w:lang w:val="en-US" w:eastAsia="zh-CN"/>
        </w:rPr>
        <w:t>聚焦环境突出问题，开展重点督察交办问题及各类信访件“回头看”。配合纺织印染园区改造提升，打好污染防治攻坚战</w:t>
      </w:r>
      <w:r>
        <w:rPr>
          <w:rFonts w:hint="eastAsia" w:ascii="Times New Roman" w:hAnsi="Times New Roman" w:eastAsia="仿宋_GB2312" w:cstheme="minorBidi"/>
          <w:b w:val="0"/>
          <w:bCs w:val="0"/>
          <w:color w:val="000000" w:themeColor="text1"/>
          <w:kern w:val="2"/>
          <w:sz w:val="32"/>
          <w:szCs w:val="32"/>
          <w:highlight w:val="none"/>
          <w:lang w:val="en-US" w:eastAsia="zh-CN" w:bidi="ar-SA"/>
          <w14:textFill>
            <w14:solidFill>
              <w14:schemeClr w14:val="tx1"/>
            </w14:solidFill>
          </w14:textFill>
        </w:rPr>
        <w:t>。</w:t>
      </w:r>
      <w:r>
        <w:rPr>
          <w:rStyle w:val="7"/>
          <w:rFonts w:hint="eastAsia" w:ascii="仿宋_GB2312" w:hAnsi="仿宋_GB2312" w:eastAsia="仿宋_GB2312" w:cs="仿宋_GB2312"/>
          <w:b w:val="0"/>
          <w:bCs w:val="0"/>
          <w:sz w:val="32"/>
          <w:szCs w:val="32"/>
          <w:lang w:val="en-US" w:eastAsia="zh-CN"/>
        </w:rPr>
        <w:t>系统推进浦西大沟、西横沟等河道生态环境修复及47条小微水体整治。</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kern w:val="2"/>
          <w:sz w:val="32"/>
          <w:szCs w:val="32"/>
          <w:lang w:val="en-US" w:eastAsia="zh-CN" w:bidi="ar-SA"/>
        </w:rPr>
        <w:t>维护社会和谐稳定。</w:t>
      </w:r>
      <w:r>
        <w:rPr>
          <w:rStyle w:val="7"/>
          <w:rFonts w:hint="eastAsia" w:ascii="仿宋_GB2312" w:hAnsi="仿宋_GB2312" w:eastAsia="仿宋_GB2312" w:cs="仿宋_GB2312"/>
          <w:b w:val="0"/>
          <w:bCs w:val="0"/>
          <w:sz w:val="32"/>
          <w:szCs w:val="32"/>
          <w:lang w:val="en-US" w:eastAsia="zh-CN"/>
        </w:rPr>
        <w:t>成立普法联盟，订单式推出普法活动。依托非诉讼服务中心，建立联调联动机制，实现矛盾纠纷一站式接收、一揽子调处、全链</w:t>
      </w:r>
      <w:r>
        <w:rPr>
          <w:rFonts w:hint="eastAsia" w:ascii="仿宋_GB2312" w:hAnsi="仿宋_GB2312" w:eastAsia="仿宋_GB2312" w:cs="仿宋_GB2312"/>
          <w:b w:val="0"/>
          <w:bCs w:val="0"/>
          <w:sz w:val="32"/>
          <w:szCs w:val="32"/>
          <w:lang w:val="en-US" w:eastAsia="zh-CN"/>
        </w:rPr>
        <w:t>条解决。深入开展网格大走访活动，增强社会治理效能。</w:t>
      </w:r>
      <w:bookmarkStart w:id="0" w:name="_GoBack"/>
      <w:bookmarkEnd w:id="0"/>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7"/>
          <w:rFonts w:hint="eastAsia" w:ascii="黑体" w:hAnsi="黑体" w:eastAsia="黑体" w:cs="黑体"/>
          <w:b w:val="0"/>
          <w:bCs w:val="0"/>
          <w:sz w:val="32"/>
          <w:szCs w:val="32"/>
          <w:lang w:val="en-US" w:eastAsia="zh-CN"/>
        </w:rPr>
      </w:pPr>
      <w:r>
        <w:rPr>
          <w:rStyle w:val="7"/>
          <w:rFonts w:hint="eastAsia" w:ascii="黑体" w:hAnsi="黑体" w:eastAsia="黑体" w:cs="黑体"/>
          <w:b w:val="0"/>
          <w:bCs w:val="0"/>
          <w:sz w:val="32"/>
          <w:szCs w:val="32"/>
          <w:lang w:val="en-US" w:eastAsia="zh-CN"/>
        </w:rPr>
        <w:t>六、加强党建引领，持续优化政治生态</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b w:val="0"/>
          <w:bCs w:val="0"/>
          <w:sz w:val="32"/>
          <w:szCs w:val="32"/>
        </w:rPr>
      </w:pPr>
      <w:r>
        <w:rPr>
          <w:rFonts w:hint="eastAsia" w:ascii="仿宋_GB2312" w:eastAsia="仿宋_GB2312"/>
          <w:b w:val="0"/>
          <w:bCs w:val="0"/>
          <w:sz w:val="32"/>
          <w:szCs w:val="32"/>
          <w:lang w:val="en-US" w:eastAsia="zh-CN"/>
        </w:rPr>
        <w:t>坚定不移推进全面从严治党，为全镇现代化建设</w:t>
      </w:r>
      <w:r>
        <w:rPr>
          <w:rFonts w:hint="eastAsia" w:ascii="仿宋_GB2312" w:eastAsia="仿宋_GB2312"/>
          <w:b w:val="0"/>
          <w:bCs w:val="0"/>
          <w:sz w:val="32"/>
          <w:szCs w:val="32"/>
        </w:rPr>
        <w:t>提供坚强保障。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kern w:val="2"/>
          <w:sz w:val="32"/>
          <w:szCs w:val="32"/>
          <w:lang w:val="en-US" w:eastAsia="zh-CN" w:bidi="ar-SA"/>
        </w:rPr>
        <w:t>深化理论武装。</w:t>
      </w:r>
      <w:r>
        <w:rPr>
          <w:rFonts w:hint="eastAsia" w:ascii="仿宋_GB2312" w:eastAsia="仿宋_GB2312" w:cs="Times New Roman"/>
          <w:b w:val="0"/>
          <w:bCs w:val="0"/>
          <w:w w:val="100"/>
          <w:sz w:val="32"/>
          <w:szCs w:val="32"/>
          <w:lang w:eastAsia="zh-CN"/>
        </w:rPr>
        <w:t>深入学习</w:t>
      </w:r>
      <w:r>
        <w:rPr>
          <w:rFonts w:hint="eastAsia" w:ascii="仿宋_GB2312" w:eastAsia="仿宋_GB2312" w:cs="Times New Roman"/>
          <w:b w:val="0"/>
          <w:bCs w:val="0"/>
          <w:w w:val="100"/>
          <w:sz w:val="32"/>
          <w:szCs w:val="32"/>
        </w:rPr>
        <w:t>贯彻</w:t>
      </w:r>
      <w:r>
        <w:rPr>
          <w:rFonts w:hint="eastAsia" w:ascii="仿宋_GB2312" w:eastAsia="仿宋_GB2312" w:cs="Times New Roman"/>
          <w:b w:val="0"/>
          <w:bCs w:val="0"/>
          <w:w w:val="100"/>
          <w:sz w:val="32"/>
          <w:szCs w:val="32"/>
          <w:lang w:eastAsia="zh-CN"/>
        </w:rPr>
        <w:t>党的二十大精神，</w:t>
      </w:r>
      <w:r>
        <w:rPr>
          <w:rFonts w:hint="eastAsia" w:ascii="仿宋_GB2312" w:eastAsia="仿宋_GB2312" w:cs="Times New Roman"/>
          <w:b w:val="0"/>
          <w:bCs w:val="0"/>
          <w:w w:val="100"/>
          <w:sz w:val="32"/>
          <w:szCs w:val="32"/>
          <w:lang w:val="en-US" w:eastAsia="zh-CN"/>
        </w:rPr>
        <w:t>通过集中学习、主题宣讲、交流研讨等多重形式，引导党员干部将</w:t>
      </w:r>
      <w:r>
        <w:rPr>
          <w:rFonts w:hint="eastAsia" w:ascii="仿宋_GB2312" w:eastAsia="仿宋_GB2312" w:cs="Times New Roman"/>
          <w:b w:val="0"/>
          <w:bCs w:val="0"/>
          <w:w w:val="100"/>
          <w:sz w:val="32"/>
          <w:szCs w:val="32"/>
          <w:lang w:eastAsia="zh-CN"/>
        </w:rPr>
        <w:t>思想行动统一到党的二十大精神上</w:t>
      </w:r>
      <w:r>
        <w:rPr>
          <w:rFonts w:hint="eastAsia" w:ascii="仿宋_GB2312" w:eastAsia="仿宋_GB2312" w:cs="Times New Roman"/>
          <w:b w:val="0"/>
          <w:bCs w:val="0"/>
          <w:w w:val="100"/>
          <w:sz w:val="32"/>
          <w:szCs w:val="32"/>
          <w:lang w:val="en-US" w:eastAsia="zh-CN"/>
        </w:rPr>
        <w:t>来，衷心拥护“两个确立”、忠诚践行“两个维护”，推动各项决策部署落地见效</w:t>
      </w:r>
      <w:r>
        <w:rPr>
          <w:rFonts w:hint="eastAsia" w:ascii="仿宋_GB2312" w:hAnsi="仿宋_GB2312" w:eastAsia="仿宋_GB2312" w:cs="仿宋_GB2312"/>
          <w:b w:val="0"/>
          <w:bCs w:val="0"/>
          <w:sz w:val="32"/>
          <w:szCs w:val="32"/>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kern w:val="2"/>
          <w:sz w:val="32"/>
          <w:szCs w:val="32"/>
          <w:lang w:val="en-US" w:eastAsia="zh-CN" w:bidi="ar-SA"/>
        </w:rPr>
        <w:t>建强基层堡垒。</w:t>
      </w:r>
      <w:r>
        <w:rPr>
          <w:rFonts w:hint="eastAsia" w:ascii="仿宋_GB2312" w:hAnsi="仿宋_GB2312" w:eastAsia="仿宋_GB2312" w:cs="仿宋_GB2312"/>
          <w:b w:val="0"/>
          <w:bCs w:val="0"/>
          <w:sz w:val="32"/>
          <w:szCs w:val="32"/>
          <w:lang w:val="en-US" w:eastAsia="zh-CN"/>
        </w:rPr>
        <w:t>强化党建引领网格治理，推进“一网格一支部一阵地”建设，将力量配到网格中，让党员沉到网格里。深化“精锐工程”内核，健全年轻干部日常发现、动态管理、持续培养、适时使用的“全链条”机制。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提升工作效能。</w:t>
      </w:r>
      <w:r>
        <w:rPr>
          <w:rFonts w:hint="eastAsia" w:ascii="仿宋_GB2312" w:hAnsi="仿宋_GB2312" w:eastAsia="仿宋_GB2312" w:cs="仿宋_GB2312"/>
          <w:b w:val="0"/>
          <w:bCs w:val="0"/>
          <w:sz w:val="32"/>
          <w:szCs w:val="32"/>
          <w:lang w:val="en-US" w:eastAsia="zh-CN"/>
        </w:rPr>
        <w:t>压紧压实“两个责任”，实行明察暗访常态化、惩戒问责常态化、通报曝光常态化，开展农村</w:t>
      </w:r>
      <w:r>
        <w:rPr>
          <w:rFonts w:hint="eastAsia" w:ascii="仿宋_GB2312" w:hAnsi="仿宋_GB2312" w:eastAsia="仿宋_GB2312" w:cs="仿宋_GB2312"/>
          <w:b w:val="0"/>
          <w:bCs w:val="0"/>
          <w:kern w:val="2"/>
          <w:sz w:val="32"/>
          <w:szCs w:val="32"/>
          <w:lang w:val="en-US" w:eastAsia="zh-CN" w:bidi="ar-SA"/>
        </w:rPr>
        <w:t>“三资”管理长效化监督，</w:t>
      </w:r>
      <w:r>
        <w:rPr>
          <w:rFonts w:hint="eastAsia" w:ascii="仿宋_GB2312" w:hAnsi="仿宋_GB2312" w:eastAsia="仿宋_GB2312" w:cs="仿宋_GB2312"/>
          <w:b w:val="0"/>
          <w:bCs w:val="0"/>
          <w:sz w:val="32"/>
          <w:szCs w:val="32"/>
          <w:lang w:val="en-US" w:eastAsia="zh-CN"/>
        </w:rPr>
        <w:t>持续推进作风转变</w:t>
      </w:r>
      <w:r>
        <w:rPr>
          <w:rFonts w:hint="default" w:ascii="仿宋_GB2312" w:hAnsi="仿宋_GB2312" w:eastAsia="仿宋_GB2312" w:cs="仿宋_GB2312"/>
          <w:b w:val="0"/>
          <w:bCs w:val="0"/>
          <w:sz w:val="32"/>
          <w:szCs w:val="32"/>
          <w:lang w:val="en-US" w:eastAsia="zh-CN"/>
        </w:rPr>
        <w:t>、效能提升</w:t>
      </w:r>
      <w:r>
        <w:rPr>
          <w:rFonts w:hint="eastAsia" w:ascii="仿宋_GB2312" w:hAnsi="仿宋_GB2312" w:eastAsia="仿宋_GB2312" w:cs="仿宋_GB2312"/>
          <w:b w:val="0"/>
          <w:bCs w:val="0"/>
          <w:kern w:val="2"/>
          <w:sz w:val="32"/>
          <w:szCs w:val="32"/>
          <w:lang w:val="en-US" w:eastAsia="zh-CN" w:bidi="ar-SA"/>
        </w:rPr>
        <w:t>。畅通信访举报渠道，加大纪律审查力度，</w:t>
      </w:r>
      <w:r>
        <w:rPr>
          <w:rFonts w:hint="eastAsia" w:ascii="仿宋_GB2312" w:hAnsi="仿宋_GB2312" w:eastAsia="仿宋_GB2312" w:cs="仿宋_GB2312"/>
          <w:b w:val="0"/>
          <w:bCs w:val="0"/>
          <w:spacing w:val="0"/>
          <w:sz w:val="32"/>
          <w:szCs w:val="32"/>
        </w:rPr>
        <w:t>营造</w:t>
      </w:r>
      <w:r>
        <w:rPr>
          <w:rFonts w:hint="eastAsia" w:ascii="仿宋_GB2312" w:hAnsi="仿宋_GB2312" w:eastAsia="仿宋_GB2312" w:cs="仿宋_GB2312"/>
          <w:b w:val="0"/>
          <w:bCs w:val="0"/>
          <w:spacing w:val="0"/>
          <w:sz w:val="32"/>
          <w:szCs w:val="32"/>
          <w:lang w:val="en-US" w:eastAsia="zh-CN"/>
        </w:rPr>
        <w:t>良好</w:t>
      </w:r>
      <w:r>
        <w:rPr>
          <w:rFonts w:hint="eastAsia" w:ascii="仿宋_GB2312" w:hAnsi="仿宋_GB2312" w:eastAsia="仿宋_GB2312" w:cs="仿宋_GB2312"/>
          <w:b w:val="0"/>
          <w:bCs w:val="0"/>
          <w:spacing w:val="0"/>
          <w:sz w:val="32"/>
          <w:szCs w:val="32"/>
        </w:rPr>
        <w:t>政治生态</w:t>
      </w:r>
      <w:r>
        <w:rPr>
          <w:rFonts w:hint="eastAsia" w:ascii="仿宋_GB2312" w:hAnsi="仿宋_GB2312" w:eastAsia="仿宋_GB2312" w:cs="仿宋_GB2312"/>
          <w:b w:val="0"/>
          <w:bCs w:val="0"/>
          <w:kern w:val="2"/>
          <w:sz w:val="32"/>
          <w:szCs w:val="32"/>
          <w:lang w:val="en-US" w:eastAsia="zh-CN" w:bidi="ar-SA"/>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000000"/>
          <w:sz w:val="32"/>
          <w:szCs w:val="32"/>
          <w:lang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0EB6AC"/>
    <w:multiLevelType w:val="singleLevel"/>
    <w:tmpl w:val="0E0EB6A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zZGE2NzZkOTBiMTI5M2Y5MjFjMTVmYjIyNTk2MDgifQ=="/>
  </w:docVars>
  <w:rsids>
    <w:rsidRoot w:val="090B13C6"/>
    <w:rsid w:val="04EE7F1F"/>
    <w:rsid w:val="090B13C6"/>
    <w:rsid w:val="0B2A05C4"/>
    <w:rsid w:val="0C544F48"/>
    <w:rsid w:val="0F4F5A5E"/>
    <w:rsid w:val="119C142F"/>
    <w:rsid w:val="11CA7AF2"/>
    <w:rsid w:val="13C92283"/>
    <w:rsid w:val="1BAF7FB0"/>
    <w:rsid w:val="1E197963"/>
    <w:rsid w:val="1F2111C5"/>
    <w:rsid w:val="20504EE9"/>
    <w:rsid w:val="212136FE"/>
    <w:rsid w:val="27606061"/>
    <w:rsid w:val="29606D8E"/>
    <w:rsid w:val="29FD638B"/>
    <w:rsid w:val="2AF57989"/>
    <w:rsid w:val="323B5CA2"/>
    <w:rsid w:val="35956011"/>
    <w:rsid w:val="37DA7D0B"/>
    <w:rsid w:val="380B629F"/>
    <w:rsid w:val="3F214472"/>
    <w:rsid w:val="445D419E"/>
    <w:rsid w:val="450A4ABE"/>
    <w:rsid w:val="49EC224C"/>
    <w:rsid w:val="4B7F2C4C"/>
    <w:rsid w:val="4C8E120D"/>
    <w:rsid w:val="4D423F31"/>
    <w:rsid w:val="4FA008F6"/>
    <w:rsid w:val="50EA500B"/>
    <w:rsid w:val="54DA789F"/>
    <w:rsid w:val="5A9009D2"/>
    <w:rsid w:val="5C186ED1"/>
    <w:rsid w:val="618346CB"/>
    <w:rsid w:val="63C35974"/>
    <w:rsid w:val="66350FC0"/>
    <w:rsid w:val="7013740D"/>
    <w:rsid w:val="77B43AFA"/>
    <w:rsid w:val="7E462F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4004</Words>
  <Characters>4108</Characters>
  <Lines>0</Lines>
  <Paragraphs>0</Paragraphs>
  <TotalTime>1</TotalTime>
  <ScaleCrop>false</ScaleCrop>
  <LinksUpToDate>false</LinksUpToDate>
  <CharactersWithSpaces>4111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2022-10-31T08:26:00Z</dcterms:created>
  <dc:creator>JLR</dc:creator>
  <cp:lastModifiedBy>JLR</cp:lastModifiedBy>
  <cp:lastPrinted>2022-11-01T09:06:37Z</cp:lastPrinted>
  <dcterms:modified xsi:type="dcterms:W3CDTF">2022-11-01T09:06:40Z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1E70385A52094C6FBEB942AFD4DAFEF7</vt:lpwstr>
  </property>
</Properties>
</file>