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03" w:rsidRDefault="002B0F03" w:rsidP="002B0F03">
      <w:pPr>
        <w:overflowPunct w:val="0"/>
        <w:autoSpaceDE w:val="0"/>
        <w:autoSpaceDN w:val="0"/>
        <w:spacing w:line="560" w:lineRule="exact"/>
        <w:jc w:val="left"/>
        <w:rPr>
          <w:rFonts w:ascii="Times New Roman" w:eastAsia="黑体" w:hAnsi="黑体" w:hint="eastAsia"/>
          <w:sz w:val="32"/>
          <w:szCs w:val="32"/>
        </w:rPr>
      </w:pPr>
      <w:r>
        <w:rPr>
          <w:rFonts w:ascii="Times New Roman" w:eastAsia="黑体" w:hAnsi="黑体"/>
          <w:sz w:val="32"/>
          <w:szCs w:val="32"/>
        </w:rPr>
        <w:t>附件</w:t>
      </w:r>
    </w:p>
    <w:p w:rsidR="002B0F03" w:rsidRDefault="002B0F03" w:rsidP="002B0F03">
      <w:pPr>
        <w:overflowPunct w:val="0"/>
        <w:autoSpaceDE w:val="0"/>
        <w:autoSpaceDN w:val="0"/>
        <w:spacing w:line="560" w:lineRule="exact"/>
        <w:jc w:val="center"/>
        <w:rPr>
          <w:rFonts w:ascii="Times New Roman" w:eastAsia="方正小标宋简体" w:hAnsi="Times New Roman"/>
          <w:sz w:val="44"/>
          <w:szCs w:val="44"/>
        </w:rPr>
      </w:pPr>
      <w:bookmarkStart w:id="0" w:name="_GoBack"/>
      <w:r>
        <w:rPr>
          <w:rFonts w:ascii="Times New Roman" w:eastAsia="方正小标宋简体" w:hAnsi="Times New Roman"/>
          <w:sz w:val="44"/>
          <w:szCs w:val="44"/>
        </w:rPr>
        <w:t>常州市</w:t>
      </w:r>
      <w:r>
        <w:rPr>
          <w:rFonts w:ascii="Times New Roman" w:eastAsia="方正小标宋简体" w:hAnsi="Times New Roman" w:hint="eastAsia"/>
          <w:sz w:val="44"/>
          <w:szCs w:val="44"/>
        </w:rPr>
        <w:t>新北区</w:t>
      </w:r>
      <w:r>
        <w:rPr>
          <w:rFonts w:ascii="Times New Roman" w:eastAsia="方正小标宋简体" w:hAnsi="Times New Roman"/>
          <w:sz w:val="44"/>
          <w:szCs w:val="44"/>
        </w:rPr>
        <w:t>202</w:t>
      </w:r>
      <w:r>
        <w:rPr>
          <w:rFonts w:ascii="Times New Roman" w:eastAsia="方正小标宋简体" w:hAnsi="Times New Roman" w:hint="eastAsia"/>
          <w:sz w:val="44"/>
          <w:szCs w:val="44"/>
        </w:rPr>
        <w:t>3</w:t>
      </w:r>
      <w:r>
        <w:rPr>
          <w:rFonts w:ascii="Times New Roman" w:eastAsia="方正小标宋简体" w:hAnsi="Times New Roman"/>
          <w:sz w:val="44"/>
          <w:szCs w:val="44"/>
        </w:rPr>
        <w:t>年农业转基因生物</w:t>
      </w:r>
    </w:p>
    <w:p w:rsidR="002B0F03" w:rsidRDefault="002B0F03" w:rsidP="002B0F03">
      <w:pPr>
        <w:overflowPunct w:val="0"/>
        <w:autoSpaceDE w:val="0"/>
        <w:autoSpaceDN w:val="0"/>
        <w:spacing w:before="120" w:line="560" w:lineRule="exact"/>
        <w:jc w:val="center"/>
        <w:rPr>
          <w:rFonts w:ascii="Times New Roman" w:hAnsi="Times New Roman"/>
          <w:snapToGrid w:val="0"/>
          <w:color w:val="000000"/>
          <w:kern w:val="0"/>
          <w:sz w:val="32"/>
          <w:szCs w:val="32"/>
          <w:lang w:bidi="ar"/>
        </w:rPr>
      </w:pPr>
      <w:r>
        <w:rPr>
          <w:rFonts w:ascii="Times New Roman" w:eastAsia="方正小标宋简体" w:hAnsi="Times New Roman"/>
          <w:sz w:val="44"/>
          <w:szCs w:val="44"/>
        </w:rPr>
        <w:t>监管工作任务分解表</w:t>
      </w:r>
      <w:bookmarkEnd w:id="0"/>
    </w:p>
    <w:tbl>
      <w:tblPr>
        <w:tblW w:w="538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79"/>
        <w:gridCol w:w="1857"/>
        <w:gridCol w:w="3704"/>
        <w:gridCol w:w="1561"/>
        <w:gridCol w:w="1268"/>
      </w:tblGrid>
      <w:tr w:rsidR="002B0F03" w:rsidTr="00A45461">
        <w:trPr>
          <w:trHeight w:val="454"/>
          <w:jc w:val="center"/>
        </w:trPr>
        <w:tc>
          <w:tcPr>
            <w:tcW w:w="323"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序号</w:t>
            </w:r>
          </w:p>
        </w:tc>
        <w:tc>
          <w:tcPr>
            <w:tcW w:w="1034"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工作重点</w:t>
            </w:r>
          </w:p>
        </w:tc>
        <w:tc>
          <w:tcPr>
            <w:tcW w:w="2064"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工作主要目标</w:t>
            </w:r>
          </w:p>
        </w:tc>
        <w:tc>
          <w:tcPr>
            <w:tcW w:w="869"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监管重点单位</w:t>
            </w:r>
            <w:proofErr w:type="gramStart"/>
            <w:r>
              <w:rPr>
                <w:rFonts w:ascii="仿宋_GB2312" w:eastAsia="仿宋_GB2312" w:hint="eastAsia"/>
                <w:szCs w:val="21"/>
              </w:rPr>
              <w:t>和</w:t>
            </w:r>
            <w:proofErr w:type="gramEnd"/>
          </w:p>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重点区域</w:t>
            </w:r>
          </w:p>
        </w:tc>
        <w:tc>
          <w:tcPr>
            <w:tcW w:w="707"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完成</w:t>
            </w:r>
          </w:p>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时限</w:t>
            </w:r>
          </w:p>
        </w:tc>
      </w:tr>
      <w:tr w:rsidR="002B0F03" w:rsidTr="00A45461">
        <w:trPr>
          <w:trHeight w:val="2109"/>
          <w:jc w:val="center"/>
        </w:trPr>
        <w:tc>
          <w:tcPr>
            <w:tcW w:w="323"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1</w:t>
            </w:r>
          </w:p>
        </w:tc>
        <w:tc>
          <w:tcPr>
            <w:tcW w:w="103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对批准进入中间试验、环境释放、生产性试验等安全评价环节进行全程动态监管</w:t>
            </w:r>
          </w:p>
        </w:tc>
        <w:tc>
          <w:tcPr>
            <w:tcW w:w="206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监督研发单位研发活动是否依法开展。严查中间试验是否依法报告、环境释放和生产性试验是否依法报批、基因编辑等新育种技术研究和中外合作转基因生物研究试验是否依法开展、安全控制措施是否落实</w:t>
            </w:r>
          </w:p>
        </w:tc>
        <w:tc>
          <w:tcPr>
            <w:tcW w:w="869"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proofErr w:type="gramStart"/>
            <w:r>
              <w:rPr>
                <w:rFonts w:ascii="仿宋_GB2312" w:eastAsia="仿宋_GB2312" w:hint="eastAsia"/>
                <w:szCs w:val="21"/>
              </w:rPr>
              <w:t>百格基因</w:t>
            </w:r>
            <w:proofErr w:type="gramEnd"/>
            <w:r>
              <w:rPr>
                <w:rFonts w:ascii="仿宋_GB2312" w:eastAsia="仿宋_GB2312" w:hint="eastAsia"/>
                <w:szCs w:val="21"/>
              </w:rPr>
              <w:t>、</w:t>
            </w:r>
            <w:proofErr w:type="gramStart"/>
            <w:r>
              <w:rPr>
                <w:rFonts w:ascii="仿宋_GB2312" w:eastAsia="仿宋_GB2312" w:hint="eastAsia"/>
                <w:szCs w:val="21"/>
              </w:rPr>
              <w:t>未米生物</w:t>
            </w:r>
            <w:proofErr w:type="gramEnd"/>
            <w:r>
              <w:rPr>
                <w:rFonts w:ascii="仿宋_GB2312" w:eastAsia="仿宋_GB2312" w:hint="eastAsia"/>
                <w:szCs w:val="21"/>
              </w:rPr>
              <w:t>等从事基因编辑有关公司</w:t>
            </w:r>
          </w:p>
        </w:tc>
        <w:tc>
          <w:tcPr>
            <w:tcW w:w="707" w:type="pct"/>
            <w:vAlign w:val="center"/>
          </w:tcPr>
          <w:p w:rsidR="002B0F03" w:rsidRDefault="002B0F03" w:rsidP="00A45461">
            <w:pPr>
              <w:adjustRightInd w:val="0"/>
              <w:snapToGrid w:val="0"/>
              <w:spacing w:line="280" w:lineRule="exact"/>
              <w:ind w:left="57" w:right="57"/>
              <w:jc w:val="center"/>
              <w:rPr>
                <w:rFonts w:ascii="仿宋_GB2312" w:eastAsia="仿宋_GB2312" w:hint="eastAsia"/>
                <w:szCs w:val="21"/>
              </w:rPr>
            </w:pPr>
            <w:r>
              <w:rPr>
                <w:rFonts w:ascii="仿宋_GB2312" w:eastAsia="仿宋_GB2312" w:hint="eastAsia"/>
                <w:szCs w:val="21"/>
              </w:rPr>
              <w:t>12月底前</w:t>
            </w:r>
          </w:p>
        </w:tc>
      </w:tr>
      <w:tr w:rsidR="002B0F03" w:rsidTr="00A45461">
        <w:trPr>
          <w:trHeight w:val="1297"/>
          <w:jc w:val="center"/>
        </w:trPr>
        <w:tc>
          <w:tcPr>
            <w:tcW w:w="323"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2</w:t>
            </w:r>
          </w:p>
        </w:tc>
        <w:tc>
          <w:tcPr>
            <w:tcW w:w="103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对区内涉农科研、育种单位试验基地全覆盖排查</w:t>
            </w:r>
          </w:p>
        </w:tc>
        <w:tc>
          <w:tcPr>
            <w:tcW w:w="206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严格农业转基因生物试验审批制度，防止转基因作物违规试验</w:t>
            </w:r>
          </w:p>
        </w:tc>
        <w:tc>
          <w:tcPr>
            <w:tcW w:w="869"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涉农科研、育种单位试验基地</w:t>
            </w:r>
          </w:p>
        </w:tc>
        <w:tc>
          <w:tcPr>
            <w:tcW w:w="707" w:type="pct"/>
            <w:vAlign w:val="center"/>
          </w:tcPr>
          <w:p w:rsidR="002B0F03" w:rsidRDefault="002B0F03" w:rsidP="00A45461">
            <w:pPr>
              <w:adjustRightInd w:val="0"/>
              <w:snapToGrid w:val="0"/>
              <w:spacing w:line="280" w:lineRule="exact"/>
              <w:ind w:left="57" w:right="57"/>
              <w:jc w:val="center"/>
              <w:rPr>
                <w:rFonts w:ascii="仿宋_GB2312" w:eastAsia="仿宋_GB2312" w:hint="eastAsia"/>
                <w:szCs w:val="21"/>
              </w:rPr>
            </w:pPr>
            <w:r>
              <w:rPr>
                <w:rFonts w:ascii="仿宋_GB2312" w:eastAsia="仿宋_GB2312" w:hint="eastAsia"/>
                <w:szCs w:val="21"/>
              </w:rPr>
              <w:t>10月底前</w:t>
            </w:r>
          </w:p>
        </w:tc>
      </w:tr>
      <w:tr w:rsidR="002B0F03" w:rsidTr="00A45461">
        <w:trPr>
          <w:trHeight w:val="1520"/>
          <w:jc w:val="center"/>
        </w:trPr>
        <w:tc>
          <w:tcPr>
            <w:tcW w:w="323"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3</w:t>
            </w:r>
          </w:p>
        </w:tc>
        <w:tc>
          <w:tcPr>
            <w:tcW w:w="103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配合上级对种子生产经营单位生产经营的玉米、水稻、大豆、小麦等种子依法进行转基因成分抽检</w:t>
            </w:r>
          </w:p>
        </w:tc>
        <w:tc>
          <w:tcPr>
            <w:tcW w:w="206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对全区种子生产经营单位生产经营的玉米、水稻等种子依法进行转基因成分抽检，打击非法行为</w:t>
            </w:r>
          </w:p>
        </w:tc>
        <w:tc>
          <w:tcPr>
            <w:tcW w:w="869"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种子企业、水稻制种基地等</w:t>
            </w:r>
          </w:p>
        </w:tc>
        <w:tc>
          <w:tcPr>
            <w:tcW w:w="707" w:type="pct"/>
            <w:vAlign w:val="center"/>
          </w:tcPr>
          <w:p w:rsidR="002B0F03" w:rsidRDefault="002B0F03" w:rsidP="00A45461">
            <w:pPr>
              <w:adjustRightInd w:val="0"/>
              <w:snapToGrid w:val="0"/>
              <w:spacing w:line="280" w:lineRule="exact"/>
              <w:ind w:left="57" w:right="57"/>
              <w:jc w:val="center"/>
              <w:rPr>
                <w:rFonts w:ascii="仿宋_GB2312" w:eastAsia="仿宋_GB2312" w:hint="eastAsia"/>
                <w:szCs w:val="21"/>
              </w:rPr>
            </w:pPr>
            <w:r>
              <w:rPr>
                <w:rFonts w:ascii="仿宋_GB2312" w:eastAsia="仿宋_GB2312" w:hint="eastAsia"/>
                <w:szCs w:val="21"/>
              </w:rPr>
              <w:t>12月底前</w:t>
            </w:r>
          </w:p>
        </w:tc>
      </w:tr>
      <w:tr w:rsidR="002B0F03" w:rsidTr="00A45461">
        <w:trPr>
          <w:trHeight w:val="1152"/>
          <w:jc w:val="center"/>
        </w:trPr>
        <w:tc>
          <w:tcPr>
            <w:tcW w:w="323"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4</w:t>
            </w:r>
          </w:p>
        </w:tc>
        <w:tc>
          <w:tcPr>
            <w:tcW w:w="103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对转基因生物进口贸易商、加工企业进行常规监督检查及明查暗访</w:t>
            </w:r>
          </w:p>
        </w:tc>
        <w:tc>
          <w:tcPr>
            <w:tcW w:w="2064" w:type="pct"/>
            <w:vAlign w:val="center"/>
          </w:tcPr>
          <w:p w:rsidR="002B0F03" w:rsidRDefault="002B0F03" w:rsidP="00A45461">
            <w:pPr>
              <w:pStyle w:val="Style2"/>
              <w:adjustRightInd w:val="0"/>
              <w:snapToGrid w:val="0"/>
              <w:spacing w:line="280" w:lineRule="exact"/>
              <w:ind w:left="57" w:right="57" w:firstLineChars="0" w:firstLine="0"/>
              <w:rPr>
                <w:rFonts w:ascii="仿宋_GB2312" w:eastAsia="仿宋_GB2312" w:hAnsi="Times New Roman" w:hint="eastAsia"/>
                <w:szCs w:val="21"/>
              </w:rPr>
            </w:pPr>
            <w:r>
              <w:rPr>
                <w:rFonts w:ascii="仿宋_GB2312" w:eastAsia="仿宋_GB2312" w:hAnsi="Times New Roman" w:hint="eastAsia"/>
                <w:szCs w:val="21"/>
              </w:rPr>
              <w:t>对进口转基因生物原料（用于加工原料）使用情况、运输、储藏、经营等环节的安全控制措施进行检查，防止转基因生物扩散</w:t>
            </w:r>
          </w:p>
        </w:tc>
        <w:tc>
          <w:tcPr>
            <w:tcW w:w="869"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大江饲料等有关进口贸易商、加工企业</w:t>
            </w:r>
          </w:p>
        </w:tc>
        <w:tc>
          <w:tcPr>
            <w:tcW w:w="707" w:type="pct"/>
            <w:vAlign w:val="center"/>
          </w:tcPr>
          <w:p w:rsidR="002B0F03" w:rsidRDefault="002B0F03" w:rsidP="00A45461">
            <w:pPr>
              <w:adjustRightInd w:val="0"/>
              <w:snapToGrid w:val="0"/>
              <w:spacing w:line="280" w:lineRule="exact"/>
              <w:ind w:left="57" w:right="57"/>
              <w:jc w:val="center"/>
              <w:rPr>
                <w:rFonts w:ascii="仿宋_GB2312" w:eastAsia="仿宋_GB2312" w:hint="eastAsia"/>
                <w:szCs w:val="21"/>
              </w:rPr>
            </w:pPr>
            <w:r>
              <w:rPr>
                <w:rFonts w:ascii="仿宋_GB2312" w:eastAsia="仿宋_GB2312" w:hint="eastAsia"/>
                <w:szCs w:val="21"/>
              </w:rPr>
              <w:t>12月底前</w:t>
            </w:r>
          </w:p>
        </w:tc>
      </w:tr>
      <w:tr w:rsidR="002B0F03" w:rsidTr="00A45461">
        <w:trPr>
          <w:trHeight w:val="1371"/>
          <w:jc w:val="center"/>
        </w:trPr>
        <w:tc>
          <w:tcPr>
            <w:tcW w:w="323"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5</w:t>
            </w:r>
          </w:p>
        </w:tc>
        <w:tc>
          <w:tcPr>
            <w:tcW w:w="103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配合省、市开展转基因监管工作督查</w:t>
            </w:r>
          </w:p>
        </w:tc>
        <w:tc>
          <w:tcPr>
            <w:tcW w:w="2064"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以转基因监管成效和科普宣传为重点，配合上级做好转基因监管督查工作</w:t>
            </w:r>
          </w:p>
        </w:tc>
        <w:tc>
          <w:tcPr>
            <w:tcW w:w="869"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r>
              <w:rPr>
                <w:rFonts w:ascii="仿宋_GB2312" w:eastAsia="仿宋_GB2312" w:hint="eastAsia"/>
                <w:szCs w:val="21"/>
              </w:rPr>
              <w:t>各镇（街道）农口单位</w:t>
            </w:r>
          </w:p>
        </w:tc>
        <w:tc>
          <w:tcPr>
            <w:tcW w:w="707" w:type="pct"/>
            <w:vAlign w:val="center"/>
          </w:tcPr>
          <w:p w:rsidR="002B0F03" w:rsidRDefault="002B0F03" w:rsidP="00A45461">
            <w:pPr>
              <w:adjustRightInd w:val="0"/>
              <w:snapToGrid w:val="0"/>
              <w:spacing w:line="280" w:lineRule="exact"/>
              <w:ind w:left="57" w:right="57"/>
              <w:jc w:val="center"/>
              <w:rPr>
                <w:rFonts w:ascii="仿宋_GB2312" w:eastAsia="仿宋_GB2312" w:hint="eastAsia"/>
                <w:szCs w:val="21"/>
              </w:rPr>
            </w:pPr>
            <w:r>
              <w:rPr>
                <w:rFonts w:ascii="仿宋_GB2312" w:eastAsia="仿宋_GB2312" w:hint="eastAsia"/>
                <w:szCs w:val="21"/>
              </w:rPr>
              <w:t>11月底前</w:t>
            </w:r>
          </w:p>
        </w:tc>
      </w:tr>
      <w:tr w:rsidR="002B0F03" w:rsidTr="00A45461">
        <w:trPr>
          <w:trHeight w:val="454"/>
          <w:jc w:val="center"/>
        </w:trPr>
        <w:tc>
          <w:tcPr>
            <w:tcW w:w="323" w:type="pct"/>
            <w:vAlign w:val="center"/>
          </w:tcPr>
          <w:p w:rsidR="002B0F03" w:rsidRDefault="002B0F03" w:rsidP="00A45461">
            <w:pPr>
              <w:adjustRightInd w:val="0"/>
              <w:snapToGrid w:val="0"/>
              <w:spacing w:line="280" w:lineRule="exact"/>
              <w:jc w:val="center"/>
              <w:rPr>
                <w:rFonts w:ascii="仿宋_GB2312" w:eastAsia="仿宋_GB2312" w:hint="eastAsia"/>
                <w:szCs w:val="21"/>
              </w:rPr>
            </w:pPr>
            <w:r>
              <w:rPr>
                <w:rFonts w:ascii="仿宋_GB2312" w:eastAsia="仿宋_GB2312" w:hint="eastAsia"/>
                <w:szCs w:val="21"/>
              </w:rPr>
              <w:t>6</w:t>
            </w:r>
          </w:p>
        </w:tc>
        <w:tc>
          <w:tcPr>
            <w:tcW w:w="1034" w:type="pct"/>
            <w:vAlign w:val="center"/>
          </w:tcPr>
          <w:p w:rsidR="002B0F03" w:rsidRDefault="002B0F03" w:rsidP="00A45461">
            <w:pPr>
              <w:adjustRightInd w:val="0"/>
              <w:snapToGrid w:val="0"/>
              <w:spacing w:line="280" w:lineRule="exact"/>
              <w:ind w:left="57" w:right="57"/>
              <w:jc w:val="center"/>
              <w:rPr>
                <w:rFonts w:ascii="仿宋_GB2312" w:eastAsia="仿宋_GB2312" w:hint="eastAsia"/>
                <w:szCs w:val="21"/>
              </w:rPr>
            </w:pPr>
            <w:r>
              <w:rPr>
                <w:rFonts w:ascii="仿宋_GB2312" w:eastAsia="仿宋_GB2312" w:hint="eastAsia"/>
                <w:szCs w:val="21"/>
              </w:rPr>
              <w:t>工作总结</w:t>
            </w:r>
          </w:p>
        </w:tc>
        <w:tc>
          <w:tcPr>
            <w:tcW w:w="2064" w:type="pct"/>
            <w:vAlign w:val="center"/>
          </w:tcPr>
          <w:p w:rsidR="002B0F03" w:rsidRDefault="002B0F03" w:rsidP="00A45461">
            <w:pPr>
              <w:adjustRightInd w:val="0"/>
              <w:snapToGrid w:val="0"/>
              <w:spacing w:line="280" w:lineRule="exact"/>
              <w:jc w:val="center"/>
              <w:rPr>
                <w:rFonts w:ascii="仿宋_GB2312" w:eastAsia="仿宋_GB2312" w:hint="eastAsia"/>
                <w:szCs w:val="21"/>
              </w:rPr>
            </w:pPr>
          </w:p>
        </w:tc>
        <w:tc>
          <w:tcPr>
            <w:tcW w:w="869" w:type="pct"/>
            <w:vAlign w:val="center"/>
          </w:tcPr>
          <w:p w:rsidR="002B0F03" w:rsidRDefault="002B0F03" w:rsidP="00A45461">
            <w:pPr>
              <w:adjustRightInd w:val="0"/>
              <w:snapToGrid w:val="0"/>
              <w:spacing w:line="280" w:lineRule="exact"/>
              <w:ind w:left="57" w:right="57"/>
              <w:rPr>
                <w:rFonts w:ascii="仿宋_GB2312" w:eastAsia="仿宋_GB2312" w:hint="eastAsia"/>
                <w:szCs w:val="21"/>
              </w:rPr>
            </w:pPr>
          </w:p>
        </w:tc>
        <w:tc>
          <w:tcPr>
            <w:tcW w:w="707" w:type="pct"/>
            <w:vAlign w:val="center"/>
          </w:tcPr>
          <w:p w:rsidR="002B0F03" w:rsidRDefault="002B0F03" w:rsidP="00A45461">
            <w:pPr>
              <w:adjustRightInd w:val="0"/>
              <w:snapToGrid w:val="0"/>
              <w:spacing w:line="280" w:lineRule="exact"/>
              <w:ind w:left="57" w:right="57"/>
              <w:jc w:val="center"/>
              <w:rPr>
                <w:rFonts w:ascii="仿宋_GB2312" w:eastAsia="仿宋_GB2312" w:hint="eastAsia"/>
                <w:szCs w:val="21"/>
              </w:rPr>
            </w:pPr>
            <w:r>
              <w:rPr>
                <w:rFonts w:ascii="仿宋_GB2312" w:eastAsia="仿宋_GB2312" w:hint="eastAsia"/>
                <w:szCs w:val="21"/>
              </w:rPr>
              <w:t>12月上旬</w:t>
            </w:r>
          </w:p>
        </w:tc>
      </w:tr>
    </w:tbl>
    <w:p w:rsidR="00770CB3" w:rsidRDefault="00770CB3"/>
    <w:sectPr w:rsidR="00770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03"/>
    <w:rsid w:val="002B0F03"/>
    <w:rsid w:val="0077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rsid w:val="002B0F03"/>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rsid w:val="002B0F03"/>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Company>Microsoft</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hangjie</dc:creator>
  <cp:lastModifiedBy>hangjie</cp:lastModifiedBy>
  <cp:revision>1</cp:revision>
  <dcterms:created xsi:type="dcterms:W3CDTF">2023-08-04T06:40:00Z</dcterms:created>
  <dcterms:modified xsi:type="dcterms:W3CDTF">2023-08-04T06:41:00Z</dcterms:modified>
</cp:coreProperties>
</file>