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</w:p>
    <w:p>
      <w:pPr>
        <w:jc w:val="left"/>
        <w:rPr>
          <w:rFonts w:ascii="黑体" w:hAnsi="黑体" w:eastAsia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/>
          <w:sz w:val="32"/>
          <w:szCs w:val="32"/>
        </w:rPr>
        <w:t>附件1</w:t>
      </w:r>
    </w:p>
    <w:p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新北区绿地养护分级管理质量标准</w:t>
      </w:r>
    </w:p>
    <w:tbl>
      <w:tblPr>
        <w:tblStyle w:val="7"/>
        <w:tblW w:w="154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3"/>
        <w:gridCol w:w="568"/>
        <w:gridCol w:w="2913"/>
        <w:gridCol w:w="3040"/>
        <w:gridCol w:w="2977"/>
        <w:gridCol w:w="2835"/>
        <w:gridCol w:w="25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tblHeader/>
          <w:jc w:val="center"/>
        </w:trPr>
        <w:tc>
          <w:tcPr>
            <w:tcW w:w="1101" w:type="dxa"/>
            <w:gridSpan w:val="2"/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管护类别</w:t>
            </w:r>
          </w:p>
        </w:tc>
        <w:tc>
          <w:tcPr>
            <w:tcW w:w="2913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特级管护绿地</w:t>
            </w:r>
          </w:p>
        </w:tc>
        <w:tc>
          <w:tcPr>
            <w:tcW w:w="3040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一级管护绿地</w:t>
            </w:r>
          </w:p>
        </w:tc>
        <w:tc>
          <w:tcPr>
            <w:tcW w:w="2977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二级管护绿地</w:t>
            </w:r>
          </w:p>
        </w:tc>
        <w:tc>
          <w:tcPr>
            <w:tcW w:w="2835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三级管护绿地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ascii="黑体" w:hAnsi="黑体" w:eastAsia="黑体" w:cs="黑体"/>
              </w:rPr>
            </w:pPr>
            <w:r>
              <w:rPr>
                <w:rFonts w:hint="eastAsia" w:ascii="黑体" w:hAnsi="黑体" w:eastAsia="黑体" w:cs="黑体"/>
              </w:rPr>
              <w:t>四级管护绿地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6" w:hRule="atLeast"/>
          <w:jc w:val="center"/>
        </w:trPr>
        <w:tc>
          <w:tcPr>
            <w:tcW w:w="53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绿化现场管理</w:t>
            </w:r>
          </w:p>
        </w:tc>
        <w:tc>
          <w:tcPr>
            <w:tcW w:w="568" w:type="dxa"/>
            <w:textDirection w:val="tbRlV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行道树</w:t>
            </w:r>
          </w:p>
        </w:tc>
        <w:tc>
          <w:tcPr>
            <w:tcW w:w="2913" w:type="dxa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群体植株树冠完整统一，生长旺盛，规格整齐有较好的遮荫和生态效果；规格一致，分枝点高度一致，树冠完整，树干挺直。无死树、缺株；无枯枝、断枝和生长不良枝、无萌生的芽条。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树穴形式统一，盖板或覆盖物完整，无空缺，种植地被的树穴地被生长良好。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新补植行道树品种与原行道树一致，规格适宜，胸径15cm以上，分枝点无偏差。新栽的植株必须有完整无损的树桩；扎缚规范、有效；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基本无有害生物危害状；无未处理的树洞和创面，树洞和创面质量好。</w:t>
            </w:r>
          </w:p>
        </w:tc>
        <w:tc>
          <w:tcPr>
            <w:tcW w:w="3040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群体植株面貌统一，生长良好，有遮荫效果；规格基本一致，树冠基本完整，树干基本挺直。无死树、缺株；无明显的枯枝、生长不良枝、基本无萌生的芽条。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树穴形式基本统一，盖板或覆盖物基本完整，无空缺，种植地被的树穴地被生长基本良好。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新补植行道树品种与原行道树一致，规格适宜，胸径在15cm以上，分枝点偏差在正负10cm内；保留3级及以上分枝。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基本无有害生物危害状；无5cm以上未处理的树洞和创面，树洞和创面质量基本良好。</w:t>
            </w:r>
          </w:p>
        </w:tc>
        <w:tc>
          <w:tcPr>
            <w:tcW w:w="2977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群体植株面貌基本统一，生长正常，有遮荫效果；树冠无明显缺损，树干无明显倾斜。无死树、缺株；基本无枯枝死杈。树穴有盖板或覆盖物，无空缺，种植地被的树穴地被生长正常。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新补植行道树品种与原行道树一致，规格适宜，胸径在12-15cm。分枝点偏差在正负20cm内；保留2级及以上分枝。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无明显有害生物危害状；无10cm以上未处理的树洞和创面，树洞和创面质量合格。</w:t>
            </w:r>
          </w:p>
        </w:tc>
        <w:tc>
          <w:tcPr>
            <w:tcW w:w="2835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群体植株面貌较统一，生长正常，有遮荫效果；树冠无明显缺损，树干无明显倾斜。无死树、缺株；无明显枯枝死杈。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树穴有覆盖物，无空缺。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新补植行道树品种与原行道树一致，规格适宜，胸径在12cm。分枝点偏差在正负30cm内；保留一级及以上分枝。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无明显影响景观的有害生物危害状；无影响安全和植株生长的树洞和创面，树洞和创面质量满足植物基本生长。</w:t>
            </w:r>
          </w:p>
        </w:tc>
        <w:tc>
          <w:tcPr>
            <w:tcW w:w="2552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植株生长正常，有遮荫效果；有基本树冠，无明显影响景观的枯枝死杈。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补植的行道树品种与原行道树一致，规格适宜，胸径在12cm。分枝点偏差在正负40cm内；保留1级及以上分枝。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无明显影响景观的有害生物危害状；无影响安全和植株生长的树洞和创面，树洞和创面质量满足植物基本生长。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9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乔</w:t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木</w:t>
            </w:r>
          </w:p>
        </w:tc>
        <w:tc>
          <w:tcPr>
            <w:tcW w:w="2913" w:type="dxa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树林、树丛群落结构合理，植株疏密得当，林冠线和林缘线清晰饱满。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孤植树树形完美，树冠饱满。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枝叶生长茂盛，基本无枯枝、病虫枝。</w:t>
            </w:r>
          </w:p>
          <w:p>
            <w:pPr>
              <w:jc w:val="left"/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3040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树林、树丛群落结构基本合理，植株疏密得当，林冠线和林缘线基本完整。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孤植树树形基本完美，树冠基本饱满。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枝叶生长正常，无明显枯枝、病虫枝。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2977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树林、树丛具有基本完整的外貌，有一定的群落结构。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孤植树树形基本完美，树冠基本饱满。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植株生长量和色泽正常，无严重影响景观的枯枝、病虫枝。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无明显有害生物危害状。</w:t>
            </w:r>
          </w:p>
        </w:tc>
        <w:tc>
          <w:tcPr>
            <w:tcW w:w="2835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树林、树丛具有基本的外貌，有一定的群落结构。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孤植树树形基本完整，树冠基本饱满。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植株生长量和色泽较正常，无严重影响景观的枯枝、病虫枝。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  <w:tc>
          <w:tcPr>
            <w:tcW w:w="2552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树林、树丛具有基本的外貌，有一定的群落结构。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孤植树树形基本完整，树冠基本饱满。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植株生长量和色泽较正常，无严重影响景观的枯枝、病虫枝。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花</w:t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灌</w:t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木</w:t>
            </w:r>
          </w:p>
        </w:tc>
        <w:tc>
          <w:tcPr>
            <w:tcW w:w="2913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花灌木株形丰满，枝叶茂密，开花适时，花后修剪及时合理，多次开花型花灌木适当控制花期。</w:t>
            </w:r>
          </w:p>
        </w:tc>
        <w:tc>
          <w:tcPr>
            <w:tcW w:w="3040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花灌木株形丰满，枝叶茂密，开花适时，花后修剪及时合理。</w:t>
            </w:r>
          </w:p>
        </w:tc>
        <w:tc>
          <w:tcPr>
            <w:tcW w:w="2977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花灌木株形丰满，开花适时，花后修剪及时合理。</w:t>
            </w:r>
          </w:p>
        </w:tc>
        <w:tc>
          <w:tcPr>
            <w:tcW w:w="2835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花灌木开花适时，花后能够进行修剪。</w:t>
            </w:r>
          </w:p>
        </w:tc>
        <w:tc>
          <w:tcPr>
            <w:tcW w:w="2552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花灌木开花适时。病虫害防治较及时。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7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绿篱（模纹、色块）等</w:t>
            </w:r>
          </w:p>
        </w:tc>
        <w:tc>
          <w:tcPr>
            <w:tcW w:w="2913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绿篱、模纹和色块等修剪及时。绿篱、模纹和色块保持轮廓清晰，线条流畅，自然丰满。</w:t>
            </w:r>
          </w:p>
          <w:p>
            <w:pPr>
              <w:pStyle w:val="2"/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造型植物轮廓清晰、线条流畅、形态优美。</w:t>
            </w:r>
          </w:p>
          <w:p>
            <w:pPr>
              <w:pStyle w:val="2"/>
              <w:jc w:val="left"/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绿篱、模纹和色块等修剪及时。绿篱、模纹和色块保持轮廓清晰，线条流畅，自然丰满。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造型植物轮廓清晰、线条流畅形态优美。</w:t>
            </w:r>
          </w:p>
          <w:p>
            <w:pPr>
              <w:pStyle w:val="2"/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绿篱、模纹和色块等修剪较及时。绿篱和造型植物轮廓基本清晰，线条基本流畅。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基本无明显的有害生物危害状。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绿篱、模纹和色块等能定期修剪。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绿篱、模纹和色块等修剪合理。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2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textDirection w:val="tbRlV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攀援植物</w:t>
            </w:r>
          </w:p>
        </w:tc>
        <w:tc>
          <w:tcPr>
            <w:tcW w:w="29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根据不同植物的攀缘特点，及时采取相应的技术措施，生长旺盛。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及时清除枯枝，疏删老弱藤蔓；开花的攀缘植物适时开花。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基本无有害生物危害状，被害株率≤2%。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根据不同植物的攀缘特点，能及时采取相应的技术措施，生长良好。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及时清除枯枝，疏删老弱藤蔓；开花的攀缘植物能适时开花。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基本无有害生物危害状，被害株率≤5%。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开花的攀缘植物能适时开花。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无明显影响景观的有害生物危害状，被害面积≤10%。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攀缘植物能正常生长。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攀缘植物能正常生长。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3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textDirection w:val="tbRlV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地被花卉</w:t>
            </w:r>
          </w:p>
        </w:tc>
        <w:tc>
          <w:tcPr>
            <w:tcW w:w="2913" w:type="dxa"/>
            <w:vAlign w:val="center"/>
          </w:tcPr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多年生地被植物（含花境）和露地一、二年生花卉生长健壮，株行距适宜，色彩鲜艳，花期整齐，图案清晰。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无缺株、倒伏，残花量不大于5％。</w:t>
            </w:r>
          </w:p>
          <w:p>
            <w:pPr>
              <w:jc w:val="left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多年生地被植物（含花境）和露地一、二年生花卉生长健壮，株行距适宜，色彩鲜艳，花期整齐，图案清晰。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无缺株、倒伏，残花量不大于10％。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多年生地被植物（含花境）和露地一、二年生花卉栽植轮廓较清晰、美观，覆盖率98%以上。</w:t>
            </w:r>
            <w:r>
              <w:rPr>
                <w:rFonts w:hint="eastAsia" w:ascii="仿宋_GB2312" w:eastAsia="仿宋_GB2312"/>
              </w:rPr>
              <w:br w:type="textWrapping"/>
            </w:r>
            <w:r>
              <w:rPr>
                <w:rFonts w:hint="eastAsia" w:ascii="仿宋_GB2312" w:eastAsia="仿宋_GB2312"/>
              </w:rPr>
              <w:t>无明显残缺、残花、残叶、杂草等,残花量不大于15%。</w:t>
            </w:r>
            <w:r>
              <w:rPr>
                <w:rFonts w:hint="eastAsia" w:ascii="仿宋_GB2312" w:eastAsia="仿宋_GB2312"/>
              </w:rPr>
              <w:br w:type="textWrapping"/>
            </w:r>
            <w:r>
              <w:rPr>
                <w:rFonts w:hint="eastAsia" w:ascii="仿宋_GB2312" w:eastAsia="仿宋_GB2312"/>
              </w:rPr>
              <w:t>无明显有害生物危害状。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多年生地被植物覆盖率90%以上。生长正常，开花适时。</w:t>
            </w:r>
            <w:r>
              <w:rPr>
                <w:rFonts w:hint="eastAsia" w:ascii="仿宋_GB2312" w:eastAsia="仿宋_GB2312"/>
              </w:rPr>
              <w:br w:type="textWrapping"/>
            </w: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多年生地被植物生长正常，开花适时。</w:t>
            </w:r>
            <w:r>
              <w:rPr>
                <w:rFonts w:hint="eastAsia" w:ascii="仿宋_GB2312" w:eastAsia="仿宋_GB2312"/>
              </w:rPr>
              <w:br w:type="textWrapping"/>
            </w: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9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textDirection w:val="tbRlV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</w:t>
            </w:r>
          </w:p>
        </w:tc>
        <w:tc>
          <w:tcPr>
            <w:tcW w:w="2913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草坪覆盖率99%以上，草坪由绿色叶片层全部覆盖，看不见枯草或其他颜色，外观均匀一致；草坪内杂草率≤1%。</w:t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草坪外观整齐，边缘线清晰，生长旺盛，草根不裸露；无可视斑秃；生长季节不枯黄，修剪及时，绿地内杂草率≤2%。</w:t>
            </w:r>
            <w:r>
              <w:rPr>
                <w:rFonts w:hint="eastAsia" w:ascii="仿宋_GB2312" w:eastAsia="仿宋_GB2312"/>
              </w:rPr>
              <w:br w:type="textWrapping"/>
            </w:r>
            <w:r>
              <w:rPr>
                <w:rFonts w:hint="eastAsia" w:ascii="仿宋_GB2312" w:eastAsia="仿宋_GB2312"/>
              </w:rPr>
              <w:t>基本无有害生物危害状。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草坪覆盖率95%以上，单块斑秃面积不超过0.2m</w:t>
            </w:r>
            <w:r>
              <w:rPr>
                <w:rFonts w:hint="eastAsia" w:ascii="仿宋_GB2312" w:eastAsia="仿宋_GB2312"/>
                <w:vertAlign w:val="superscript"/>
              </w:rPr>
              <w:t>2</w:t>
            </w:r>
            <w:r>
              <w:rPr>
                <w:rFonts w:hint="eastAsia" w:ascii="仿宋_GB2312" w:eastAsia="仿宋_GB2312"/>
              </w:rPr>
              <w:t>或10m</w:t>
            </w:r>
            <w:r>
              <w:rPr>
                <w:rFonts w:hint="eastAsia" w:ascii="仿宋_GB2312" w:eastAsia="仿宋_GB2312"/>
                <w:vertAlign w:val="superscript"/>
              </w:rPr>
              <w:t>2</w:t>
            </w:r>
            <w:r>
              <w:rPr>
                <w:rFonts w:hint="eastAsia" w:ascii="仿宋_GB2312" w:eastAsia="仿宋_GB2312"/>
              </w:rPr>
              <w:t>绿地内斑秃面积不超过3块；草坪内杂草率≤10%。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草坪绿色期：冷季型草坪不得少于260天，暖季型草坪不得少于170天。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无明显有害生物危害状。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草坪覆盖率90%以上，单块斑秃面积不超过0.3m</w:t>
            </w:r>
            <w:r>
              <w:rPr>
                <w:rFonts w:hint="eastAsia" w:ascii="仿宋_GB2312" w:eastAsia="仿宋_GB2312"/>
                <w:vertAlign w:val="superscript"/>
              </w:rPr>
              <w:t>2</w:t>
            </w:r>
            <w:r>
              <w:rPr>
                <w:rFonts w:hint="eastAsia" w:ascii="仿宋_GB2312" w:eastAsia="仿宋_GB2312"/>
              </w:rPr>
              <w:t>或10m</w:t>
            </w:r>
            <w:r>
              <w:rPr>
                <w:rFonts w:hint="eastAsia" w:ascii="仿宋_GB2312" w:eastAsia="仿宋_GB2312"/>
                <w:vertAlign w:val="superscript"/>
              </w:rPr>
              <w:t>2</w:t>
            </w:r>
            <w:r>
              <w:rPr>
                <w:rFonts w:hint="eastAsia" w:ascii="仿宋_GB2312" w:eastAsia="仿宋_GB2312"/>
              </w:rPr>
              <w:t>绿地内斑秃面积不超过4块；草坪内杂草率≤15%。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草坪绿色期：冷季型草坪不得少于240天，暖季型草坪不得少于160天。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草坪覆盖率85%以上，单块斑秃面积不超过0.4m</w:t>
            </w:r>
            <w:r>
              <w:rPr>
                <w:rFonts w:hint="eastAsia" w:ascii="仿宋_GB2312" w:eastAsia="仿宋_GB2312"/>
                <w:vertAlign w:val="superscript"/>
              </w:rPr>
              <w:t>2</w:t>
            </w:r>
            <w:r>
              <w:rPr>
                <w:rFonts w:hint="eastAsia" w:ascii="仿宋_GB2312" w:eastAsia="仿宋_GB2312"/>
              </w:rPr>
              <w:t>或10m</w:t>
            </w:r>
            <w:r>
              <w:rPr>
                <w:rFonts w:hint="eastAsia" w:ascii="仿宋_GB2312" w:eastAsia="仿宋_GB2312"/>
                <w:vertAlign w:val="superscript"/>
              </w:rPr>
              <w:t>2</w:t>
            </w:r>
            <w:r>
              <w:rPr>
                <w:rFonts w:hint="eastAsia" w:ascii="仿宋_GB2312" w:eastAsia="仿宋_GB2312"/>
              </w:rPr>
              <w:t>绿地内斑秃面积不超过5块；草坪内杂草率≤20%。</w:t>
            </w:r>
          </w:p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无明显影响景观的有害生物危害状。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树</w:t>
            </w:r>
          </w:p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穴</w:t>
            </w:r>
          </w:p>
        </w:tc>
        <w:tc>
          <w:tcPr>
            <w:tcW w:w="29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侧石及盖板坚固无松动，无缺损；盖板平整，无坑洼、沉陷、倾覆、腐朽、锈蚀；池体整洁。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侧石及盖板坚固无松动，无缺损；盖板基本平整，无明显坑洼、沉陷、倾覆、腐朽、锈蚀；池体基本整洁。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侧石及盖板无明显松动，无明显缺损；盖板基本平整，无明显坑洼、沉陷、倾覆、腐朽、锈蚀；池体基本整洁。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侧石无明显松动，无明显缺损，池体覆盖到位，基本整洁。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侧石无明显松动，无明显缺损，池体覆盖到位，基本整洁。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施肥</w:t>
            </w:r>
          </w:p>
        </w:tc>
        <w:tc>
          <w:tcPr>
            <w:tcW w:w="2913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绿地内肥料用量不低于0.3公斤/平方·年，肥料为复合肥、尿素、有机肥、复合营养土等。</w:t>
            </w:r>
          </w:p>
        </w:tc>
        <w:tc>
          <w:tcPr>
            <w:tcW w:w="3040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绿地内肥料用量不低于0.3公斤/平方·年，肥料为复合肥、尿素、有机肥、复合营养土等。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绿地内肥料用量不低于0.3公斤/平方·年，肥料为复合肥、尿素、有机肥、复合营养土等。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绿地内肥料用量不低于0.2公斤/平方.年，肥料为复合肥、尿素、有机肥、复合营养土等。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绿地内肥料用量不低于0.2公斤/平方·年，肥料为复合肥、尿素、有机肥、复合营养土等。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5" w:hRule="atLeast"/>
          <w:jc w:val="center"/>
        </w:trPr>
        <w:tc>
          <w:tcPr>
            <w:tcW w:w="533" w:type="dxa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人员内业管理</w:t>
            </w: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管理人员</w:t>
            </w:r>
          </w:p>
        </w:tc>
        <w:tc>
          <w:tcPr>
            <w:tcW w:w="2913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养护单位管理人员在工作时间段内现场办公，对各路段巡查管理，及时安排好各项工作内容。管理人员从事绿化养护工作5年及以上，有单个合同体量不少于30公顷的养护业绩，有园林绿化相关中级及以上职业证书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养护单位管理人员在工作时间段内现场办公，对各路段巡查管理，及时安排好各项工作内容。管理人员从事绿化养护工作3年及以上，有单个合同体量不少于20公顷的养护业绩，有园林绿化相关中级及以上职业证书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养护单位管理人员正常开展现场管理，定期对各路段巡查，及时安排各项工作内容。管理人员从事绿化养护工作3年及以上，有单个合同体量不少于20公顷的养护业绩。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养护单位管理人员正常开展现场管理，定期对各路段巡查，合理安排各项工作内容。管理人员从事绿化养护工作2年及以上。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养护单位管理人员正常开展现场管理，定期对各路段巡查，合理安排各项工作内容。管理人员从事绿化养护工作2年及以上。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养护人员</w:t>
            </w:r>
          </w:p>
          <w:p>
            <w:pPr>
              <w:jc w:val="center"/>
              <w:rPr>
                <w:rFonts w:ascii="仿宋_GB2312" w:eastAsia="仿宋_GB2312"/>
              </w:rPr>
            </w:pPr>
          </w:p>
        </w:tc>
        <w:tc>
          <w:tcPr>
            <w:tcW w:w="29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在岗的养护人员统一着装，衣帽整齐，且有所属养护单位的明显标志。养护人员数量原则上1公顷不少于2人，每5公顷技术工不少于1人；每条主干道作业时间确保有养护工人作业（技术工需持有园林绿化相关中级及以上职业证书）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在岗的养护人员统一着装，衣帽整齐，且有所属养护单位的明显标志。养护人员数量原则上1公顷不少于1.6人，每10公顷技术工不少于1人；每条主干道作业时间确保有养护工人作业（技术工需持有园林绿化相关中级及以上职业证书）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在岗工作的养护人员能统一着装，且有所属养护单位的明显标志。养护人员数量原则上1公顷不少于1.2人，每10公顷技术工不少于1人；每条主干道作业时间确保有养护工人作业（技术工需持有园林绿化相关中级及以上职业证书）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在岗工作的养护人员衣帽整齐。养护人员数量原则上1公顷不少于1人，每15公顷技术工不少于1人（技术工需持有园林绿化相关中级及以上职业证书）。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在岗工作的养护人员衣帽整齐。养护人员数量原则上1公顷不少于0.5人，每20公顷技术工不少于1人（技术工需持有园林绿化相关中级及以上职业证书）。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533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568" w:type="dxa"/>
            <w:vAlign w:val="center"/>
          </w:tcPr>
          <w:p>
            <w:pPr>
              <w:jc w:val="center"/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内业资料</w:t>
            </w:r>
          </w:p>
        </w:tc>
        <w:tc>
          <w:tcPr>
            <w:tcW w:w="2913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建立健全绿化养护管理台账档案，并有专人负责。</w:t>
            </w:r>
          </w:p>
        </w:tc>
        <w:tc>
          <w:tcPr>
            <w:tcW w:w="3040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建立健全绿化养护管理台账档案，并有专人负责。</w:t>
            </w:r>
          </w:p>
        </w:tc>
        <w:tc>
          <w:tcPr>
            <w:tcW w:w="2977" w:type="dxa"/>
            <w:vAlign w:val="center"/>
          </w:tcPr>
          <w:p>
            <w:pPr>
              <w:rPr>
                <w:rFonts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建立健全绿化养护管理台账档案，并有专人负责。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建立健全绿化养护管理台账档案，并有专人负责。</w:t>
            </w:r>
          </w:p>
        </w:tc>
        <w:tc>
          <w:tcPr>
            <w:tcW w:w="2552" w:type="dxa"/>
            <w:vAlign w:val="center"/>
          </w:tcPr>
          <w:p>
            <w:pPr>
              <w:rPr>
                <w:rFonts w:hint="eastAsia" w:ascii="仿宋_GB2312" w:eastAsia="仿宋_GB2312"/>
              </w:rPr>
            </w:pPr>
            <w:r>
              <w:rPr>
                <w:rFonts w:hint="eastAsia" w:ascii="仿宋_GB2312" w:eastAsia="仿宋_GB2312"/>
              </w:rPr>
              <w:t>建立健全绿化养护管理台账档案，并有专人负责。</w:t>
            </w:r>
          </w:p>
        </w:tc>
      </w:tr>
    </w:tbl>
    <w:p>
      <w:pPr>
        <w:rPr>
          <w:rFonts w:hint="eastAsia" w:ascii="仿宋_GB2312" w:eastAsia="仿宋_GB2312"/>
        </w:rPr>
      </w:pPr>
      <w:r>
        <w:rPr>
          <w:rFonts w:hint="eastAsia" w:ascii="仿宋_GB2312" w:eastAsia="仿宋_GB2312"/>
        </w:rPr>
        <w:t>备注：公园的秩序维护、环境保洁、设备设施维护维修的管理质量标准详见常新住建〔2020〕146号文。</w:t>
      </w:r>
    </w:p>
    <w:sectPr>
      <w:footerReference r:id="rId3" w:type="default"/>
      <w:footerReference r:id="rId4" w:type="even"/>
      <w:pgSz w:w="16838" w:h="11906" w:orient="landscape"/>
      <w:pgMar w:top="1134" w:right="1417" w:bottom="1134" w:left="1417" w:header="851" w:footer="992" w:gutter="0"/>
      <w:cols w:space="72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2731C7B-A631-40FE-A634-59E9F792F45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A0FF0D2-6CD7-462D-A673-C831212C7505}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  <w:embedRegular r:id="rId3" w:fontKey="{7F17495C-86A7-443C-9B25-D16B27510AE8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D890F56-2E54-4C5E-B2D5-B78F18C2526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F096F6C-3BC2-4347-BD22-332EC717FD83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B2D47BC1-F4FE-4056-8BCB-1B0938CCB5C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6514F93E-9EEC-4837-99A5-E1D09E23CEB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0842A9A-BA40-44D4-82B1-910E154A452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6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separate"/>
    </w:r>
    <w:r>
      <w:rPr>
        <w:rStyle w:val="10"/>
      </w:rPr>
      <w:t>1</w:t>
    </w:r>
    <w:r>
      <w:fldChar w:fldCharType="end"/>
    </w:r>
  </w:p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105"/>
  <w:drawingGridVerticalSpacing w:val="31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4ZTFkM2M1NGFmN2U2MWQ3MWNlYjQ0NWQ1NTExODMifQ=="/>
  </w:docVars>
  <w:rsids>
    <w:rsidRoot w:val="00EB35AF"/>
    <w:rsid w:val="0002438D"/>
    <w:rsid w:val="000265C4"/>
    <w:rsid w:val="0002687C"/>
    <w:rsid w:val="000334D9"/>
    <w:rsid w:val="00037A1C"/>
    <w:rsid w:val="00067A4A"/>
    <w:rsid w:val="00093534"/>
    <w:rsid w:val="000A0D11"/>
    <w:rsid w:val="000A1205"/>
    <w:rsid w:val="000C34A3"/>
    <w:rsid w:val="000C3AB3"/>
    <w:rsid w:val="00100CDC"/>
    <w:rsid w:val="00107B5D"/>
    <w:rsid w:val="00114C35"/>
    <w:rsid w:val="00126653"/>
    <w:rsid w:val="00131872"/>
    <w:rsid w:val="0016627A"/>
    <w:rsid w:val="00166DA9"/>
    <w:rsid w:val="00172F25"/>
    <w:rsid w:val="001805DA"/>
    <w:rsid w:val="001923C8"/>
    <w:rsid w:val="001B4109"/>
    <w:rsid w:val="001D0028"/>
    <w:rsid w:val="001D2F4D"/>
    <w:rsid w:val="001E5D14"/>
    <w:rsid w:val="0021220E"/>
    <w:rsid w:val="00220DC3"/>
    <w:rsid w:val="00227CAF"/>
    <w:rsid w:val="0023368F"/>
    <w:rsid w:val="00242C99"/>
    <w:rsid w:val="00256AE9"/>
    <w:rsid w:val="002859AE"/>
    <w:rsid w:val="00292253"/>
    <w:rsid w:val="00294E94"/>
    <w:rsid w:val="002C6E25"/>
    <w:rsid w:val="002D2657"/>
    <w:rsid w:val="002D5CDC"/>
    <w:rsid w:val="002E6725"/>
    <w:rsid w:val="003025DD"/>
    <w:rsid w:val="003346A3"/>
    <w:rsid w:val="003361F6"/>
    <w:rsid w:val="003427ED"/>
    <w:rsid w:val="00356D4F"/>
    <w:rsid w:val="00357CC4"/>
    <w:rsid w:val="00384477"/>
    <w:rsid w:val="00395DF9"/>
    <w:rsid w:val="003A13B6"/>
    <w:rsid w:val="003A4B4F"/>
    <w:rsid w:val="003C339E"/>
    <w:rsid w:val="003C4FCB"/>
    <w:rsid w:val="003F5F8A"/>
    <w:rsid w:val="00413708"/>
    <w:rsid w:val="00420951"/>
    <w:rsid w:val="00437C8D"/>
    <w:rsid w:val="00453A1F"/>
    <w:rsid w:val="0046369D"/>
    <w:rsid w:val="00467E64"/>
    <w:rsid w:val="00481948"/>
    <w:rsid w:val="00482180"/>
    <w:rsid w:val="00496D76"/>
    <w:rsid w:val="004B2131"/>
    <w:rsid w:val="004B3AF9"/>
    <w:rsid w:val="004E015D"/>
    <w:rsid w:val="004E776E"/>
    <w:rsid w:val="004F56E6"/>
    <w:rsid w:val="005012C8"/>
    <w:rsid w:val="00517371"/>
    <w:rsid w:val="00532412"/>
    <w:rsid w:val="00532664"/>
    <w:rsid w:val="005522DC"/>
    <w:rsid w:val="00565E2A"/>
    <w:rsid w:val="005664A1"/>
    <w:rsid w:val="0057199A"/>
    <w:rsid w:val="00585723"/>
    <w:rsid w:val="00586ACE"/>
    <w:rsid w:val="005D3C9C"/>
    <w:rsid w:val="005D511A"/>
    <w:rsid w:val="005D6CBA"/>
    <w:rsid w:val="005E2D4A"/>
    <w:rsid w:val="005E6306"/>
    <w:rsid w:val="00640E78"/>
    <w:rsid w:val="00642AF2"/>
    <w:rsid w:val="006609DE"/>
    <w:rsid w:val="0066157B"/>
    <w:rsid w:val="006947E5"/>
    <w:rsid w:val="0069658C"/>
    <w:rsid w:val="006D0B51"/>
    <w:rsid w:val="006D2002"/>
    <w:rsid w:val="006D2310"/>
    <w:rsid w:val="006D3EEE"/>
    <w:rsid w:val="0070714F"/>
    <w:rsid w:val="00713C31"/>
    <w:rsid w:val="00725018"/>
    <w:rsid w:val="00736DDB"/>
    <w:rsid w:val="00742785"/>
    <w:rsid w:val="00743F38"/>
    <w:rsid w:val="00784961"/>
    <w:rsid w:val="00786F15"/>
    <w:rsid w:val="007A37A8"/>
    <w:rsid w:val="007F40BA"/>
    <w:rsid w:val="008217C2"/>
    <w:rsid w:val="00844EC3"/>
    <w:rsid w:val="00845E2A"/>
    <w:rsid w:val="0086019D"/>
    <w:rsid w:val="008B0783"/>
    <w:rsid w:val="008B1A23"/>
    <w:rsid w:val="008C7FE5"/>
    <w:rsid w:val="008D1A02"/>
    <w:rsid w:val="008E19D6"/>
    <w:rsid w:val="008F36D0"/>
    <w:rsid w:val="00905F79"/>
    <w:rsid w:val="00906459"/>
    <w:rsid w:val="00907870"/>
    <w:rsid w:val="00922BAD"/>
    <w:rsid w:val="00933E08"/>
    <w:rsid w:val="00937EAD"/>
    <w:rsid w:val="009413E3"/>
    <w:rsid w:val="00950E83"/>
    <w:rsid w:val="0095417E"/>
    <w:rsid w:val="009849FD"/>
    <w:rsid w:val="009B2024"/>
    <w:rsid w:val="009B3191"/>
    <w:rsid w:val="009B667C"/>
    <w:rsid w:val="009C13B1"/>
    <w:rsid w:val="009D6D08"/>
    <w:rsid w:val="009E107F"/>
    <w:rsid w:val="009F416F"/>
    <w:rsid w:val="009F6584"/>
    <w:rsid w:val="00A12655"/>
    <w:rsid w:val="00A14035"/>
    <w:rsid w:val="00A27692"/>
    <w:rsid w:val="00A3686B"/>
    <w:rsid w:val="00A53B8E"/>
    <w:rsid w:val="00A54A8E"/>
    <w:rsid w:val="00A54DEA"/>
    <w:rsid w:val="00A63020"/>
    <w:rsid w:val="00A76B91"/>
    <w:rsid w:val="00A8512F"/>
    <w:rsid w:val="00A90840"/>
    <w:rsid w:val="00A91D82"/>
    <w:rsid w:val="00A94A1E"/>
    <w:rsid w:val="00AB4C84"/>
    <w:rsid w:val="00AE00BC"/>
    <w:rsid w:val="00B06E90"/>
    <w:rsid w:val="00B15C75"/>
    <w:rsid w:val="00B304B1"/>
    <w:rsid w:val="00B46B0E"/>
    <w:rsid w:val="00B54D4C"/>
    <w:rsid w:val="00B56718"/>
    <w:rsid w:val="00B70CC9"/>
    <w:rsid w:val="00B77AF0"/>
    <w:rsid w:val="00B853C7"/>
    <w:rsid w:val="00B91792"/>
    <w:rsid w:val="00B94E5D"/>
    <w:rsid w:val="00B95911"/>
    <w:rsid w:val="00BB4626"/>
    <w:rsid w:val="00BC5928"/>
    <w:rsid w:val="00BC6C51"/>
    <w:rsid w:val="00BD2992"/>
    <w:rsid w:val="00BF7253"/>
    <w:rsid w:val="00C03981"/>
    <w:rsid w:val="00C05417"/>
    <w:rsid w:val="00C05A6E"/>
    <w:rsid w:val="00C05ED1"/>
    <w:rsid w:val="00C07631"/>
    <w:rsid w:val="00C1209D"/>
    <w:rsid w:val="00C43AD7"/>
    <w:rsid w:val="00C52AFB"/>
    <w:rsid w:val="00C66E2E"/>
    <w:rsid w:val="00C77F35"/>
    <w:rsid w:val="00C80CA7"/>
    <w:rsid w:val="00C92878"/>
    <w:rsid w:val="00C96730"/>
    <w:rsid w:val="00CB1167"/>
    <w:rsid w:val="00CC7028"/>
    <w:rsid w:val="00CE0DF5"/>
    <w:rsid w:val="00CE4BD6"/>
    <w:rsid w:val="00CE4D3B"/>
    <w:rsid w:val="00D04CB6"/>
    <w:rsid w:val="00D063E4"/>
    <w:rsid w:val="00D33F07"/>
    <w:rsid w:val="00D46C86"/>
    <w:rsid w:val="00D52061"/>
    <w:rsid w:val="00D60014"/>
    <w:rsid w:val="00D86575"/>
    <w:rsid w:val="00DA405B"/>
    <w:rsid w:val="00DC724C"/>
    <w:rsid w:val="00DD4A75"/>
    <w:rsid w:val="00DD68A3"/>
    <w:rsid w:val="00E020E8"/>
    <w:rsid w:val="00E12A6C"/>
    <w:rsid w:val="00E36072"/>
    <w:rsid w:val="00E4438E"/>
    <w:rsid w:val="00E537A4"/>
    <w:rsid w:val="00E6214B"/>
    <w:rsid w:val="00E62A9A"/>
    <w:rsid w:val="00E66741"/>
    <w:rsid w:val="00E773F6"/>
    <w:rsid w:val="00E77D6C"/>
    <w:rsid w:val="00E80524"/>
    <w:rsid w:val="00E920F6"/>
    <w:rsid w:val="00EB35AF"/>
    <w:rsid w:val="00EC424B"/>
    <w:rsid w:val="00EE11BE"/>
    <w:rsid w:val="00EE3528"/>
    <w:rsid w:val="00EE51BC"/>
    <w:rsid w:val="00EF36D0"/>
    <w:rsid w:val="00F30223"/>
    <w:rsid w:val="00F51DE3"/>
    <w:rsid w:val="00F94771"/>
    <w:rsid w:val="00FA210D"/>
    <w:rsid w:val="00FE1411"/>
    <w:rsid w:val="00FE2E60"/>
    <w:rsid w:val="00FF0CCD"/>
    <w:rsid w:val="042A40D6"/>
    <w:rsid w:val="046E0E4F"/>
    <w:rsid w:val="050E57DC"/>
    <w:rsid w:val="072A7152"/>
    <w:rsid w:val="0DD22413"/>
    <w:rsid w:val="10CF6BAB"/>
    <w:rsid w:val="119E66DF"/>
    <w:rsid w:val="12044C49"/>
    <w:rsid w:val="12487E6A"/>
    <w:rsid w:val="129144F1"/>
    <w:rsid w:val="129A02DD"/>
    <w:rsid w:val="15153341"/>
    <w:rsid w:val="166C6A60"/>
    <w:rsid w:val="16D55115"/>
    <w:rsid w:val="1815789F"/>
    <w:rsid w:val="199D11F1"/>
    <w:rsid w:val="1D102704"/>
    <w:rsid w:val="1DD50D34"/>
    <w:rsid w:val="1E50726D"/>
    <w:rsid w:val="202A15C1"/>
    <w:rsid w:val="207F4202"/>
    <w:rsid w:val="20FD2CE7"/>
    <w:rsid w:val="21F20E2A"/>
    <w:rsid w:val="21F777CF"/>
    <w:rsid w:val="222F3619"/>
    <w:rsid w:val="245279F4"/>
    <w:rsid w:val="265977C7"/>
    <w:rsid w:val="27560D5C"/>
    <w:rsid w:val="27BB0A3D"/>
    <w:rsid w:val="27E76759"/>
    <w:rsid w:val="2BB947F9"/>
    <w:rsid w:val="333009B0"/>
    <w:rsid w:val="394C4E24"/>
    <w:rsid w:val="3BC64F47"/>
    <w:rsid w:val="3FD22974"/>
    <w:rsid w:val="411A0AD4"/>
    <w:rsid w:val="411A35AB"/>
    <w:rsid w:val="41C15636"/>
    <w:rsid w:val="41CB4E87"/>
    <w:rsid w:val="480C6289"/>
    <w:rsid w:val="481E64C7"/>
    <w:rsid w:val="48935BF1"/>
    <w:rsid w:val="49C52D81"/>
    <w:rsid w:val="4C7502A1"/>
    <w:rsid w:val="4CAC6489"/>
    <w:rsid w:val="4F3C1B26"/>
    <w:rsid w:val="513654CB"/>
    <w:rsid w:val="57C95064"/>
    <w:rsid w:val="585B068C"/>
    <w:rsid w:val="59A051E3"/>
    <w:rsid w:val="5AE44949"/>
    <w:rsid w:val="5B3344F0"/>
    <w:rsid w:val="5DDA7790"/>
    <w:rsid w:val="66974559"/>
    <w:rsid w:val="6AFB3DD6"/>
    <w:rsid w:val="6FE005C9"/>
    <w:rsid w:val="70E25148"/>
    <w:rsid w:val="73E31EF9"/>
    <w:rsid w:val="784A0CA2"/>
    <w:rsid w:val="7D956E58"/>
    <w:rsid w:val="7EEF4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</w:style>
  <w:style w:type="paragraph" w:styleId="3">
    <w:name w:val="Balloon Text"/>
    <w:basedOn w:val="1"/>
    <w:link w:val="11"/>
    <w:qFormat/>
    <w:uiPriority w:val="0"/>
    <w:rPr>
      <w:sz w:val="18"/>
      <w:szCs w:val="18"/>
      <w:lang w:val="zh-CN" w:eastAsia="zh-CN"/>
    </w:rPr>
  </w:style>
  <w:style w:type="paragraph" w:styleId="4">
    <w:name w:val="footer"/>
    <w:basedOn w:val="1"/>
    <w:link w:val="1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qFormat/>
    <w:uiPriority w:val="0"/>
  </w:style>
  <w:style w:type="character" w:customStyle="1" w:styleId="11">
    <w:name w:val="批注框文本 Char"/>
    <w:link w:val="3"/>
    <w:qFormat/>
    <w:uiPriority w:val="0"/>
    <w:rPr>
      <w:kern w:val="2"/>
      <w:sz w:val="18"/>
      <w:szCs w:val="18"/>
    </w:rPr>
  </w:style>
  <w:style w:type="character" w:customStyle="1" w:styleId="12">
    <w:name w:val="页眉 Char"/>
    <w:link w:val="5"/>
    <w:qFormat/>
    <w:uiPriority w:val="0"/>
    <w:rPr>
      <w:kern w:val="2"/>
      <w:sz w:val="18"/>
      <w:szCs w:val="18"/>
    </w:rPr>
  </w:style>
  <w:style w:type="paragraph" w:customStyle="1" w:styleId="13">
    <w:name w:val="Revision"/>
    <w:hidden/>
    <w:unhideWhenUsed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Char Char Char Char Char Char Char Char Char Char Char Char Char Char Char Char Char Char Char"/>
    <w:basedOn w:val="1"/>
    <w:qFormat/>
    <w:uiPriority w:val="0"/>
    <w:pPr>
      <w:tabs>
        <w:tab w:val="left" w:pos="907"/>
      </w:tabs>
      <w:ind w:left="907" w:hanging="453"/>
    </w:pPr>
    <w:rPr>
      <w:rFonts w:ascii="Times New Roman" w:hAnsi="Times New Roman"/>
      <w:sz w:val="24"/>
    </w:rPr>
  </w:style>
  <w:style w:type="character" w:customStyle="1" w:styleId="15">
    <w:name w:val="页脚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5728</Words>
  <Characters>5870</Characters>
  <Lines>43</Lines>
  <Paragraphs>12</Paragraphs>
  <TotalTime>3</TotalTime>
  <ScaleCrop>false</ScaleCrop>
  <LinksUpToDate>false</LinksUpToDate>
  <CharactersWithSpaces>5921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2023-08-02T04:04:00Z</dcterms:created>
  <dc:creator>HP</dc:creator>
  <cp:lastModifiedBy>渔舟</cp:lastModifiedBy>
  <cp:lastPrinted>2023-04-24T02:53:00Z</cp:lastPrinted>
  <dcterms:modified xsi:type="dcterms:W3CDTF">2023-09-06T02:58:06Z</dcterms:modified>
  <dc:title>常州市城市绿地分级管护管理办法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B7B7FBA9F282445DB545115E37FBB684_13</vt:lpwstr>
  </property>
</Properties>
</file>