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421" w:firstLineChars="2250"/>
        <w:rPr>
          <w:rFonts w:ascii="宋体" w:hAnsi="宋体" w:eastAsia="宋体" w:cs="宋体"/>
          <w:b/>
          <w:color w:val="000000" w:themeColor="text1"/>
          <w:kern w:val="0"/>
          <w:szCs w:val="21"/>
          <w14:textFill>
            <w14:solidFill>
              <w14:schemeClr w14:val="tx1"/>
            </w14:solidFill>
          </w14:textFill>
        </w:rPr>
      </w:pPr>
      <w:bookmarkStart w:id="0" w:name="_GoBack"/>
      <w:bookmarkEnd w:id="0"/>
      <w:r>
        <w:rPr>
          <w:rFonts w:hint="eastAsia" w:ascii="宋体" w:hAnsi="宋体" w:eastAsia="宋体" w:cs="宋体"/>
          <w:b/>
          <w:bCs w:val="0"/>
          <w:color w:val="000000" w:themeColor="text1"/>
          <w:kern w:val="0"/>
          <w:sz w:val="24"/>
          <w:szCs w:val="24"/>
          <w14:textFill>
            <w14:solidFill>
              <w14:schemeClr w14:val="tx1"/>
            </w14:solidFill>
          </w14:textFill>
        </w:rPr>
        <w:t>奔牛镇</w:t>
      </w:r>
      <w:r>
        <w:rPr>
          <w:rFonts w:hint="eastAsia" w:ascii="宋体" w:hAnsi="宋体" w:eastAsia="宋体" w:cs="宋体"/>
          <w:b/>
          <w:bCs w:val="0"/>
          <w:color w:val="000000" w:themeColor="text1"/>
          <w:kern w:val="0"/>
          <w:sz w:val="24"/>
          <w:szCs w:val="24"/>
          <w:lang w:eastAsia="zh-CN"/>
          <w14:textFill>
            <w14:solidFill>
              <w14:schemeClr w14:val="tx1"/>
            </w14:solidFill>
          </w14:textFill>
        </w:rPr>
        <w:t>3P项目临时变压器处置项目</w:t>
      </w:r>
      <w:r>
        <w:rPr>
          <w:rFonts w:hint="eastAsia" w:ascii="宋体" w:hAnsi="宋体" w:eastAsia="宋体" w:cs="宋体"/>
          <w:b/>
          <w:bCs w:val="0"/>
          <w:color w:val="000000" w:themeColor="text1"/>
          <w:kern w:val="0"/>
          <w:sz w:val="24"/>
          <w:szCs w:val="24"/>
          <w14:textFill>
            <w14:solidFill>
              <w14:schemeClr w14:val="tx1"/>
            </w14:solidFill>
          </w14:textFill>
        </w:rPr>
        <w:t>资产转让</w:t>
      </w:r>
      <w:r>
        <w:rPr>
          <w:rFonts w:hint="eastAsia" w:ascii="宋体" w:hAnsi="宋体" w:eastAsia="宋体" w:cs="宋体"/>
          <w:b/>
          <w:color w:val="000000" w:themeColor="text1"/>
          <w:kern w:val="0"/>
          <w:szCs w:val="21"/>
          <w14:textFill>
            <w14:solidFill>
              <w14:schemeClr w14:val="tx1"/>
            </w14:solidFill>
          </w14:textFill>
        </w:rPr>
        <w:t>公告</w:t>
      </w:r>
    </w:p>
    <w:p>
      <w:pPr>
        <w:widowControl/>
        <w:jc w:val="center"/>
        <w:rPr>
          <w:rFonts w:ascii="宋体" w:hAnsi="宋体" w:eastAsia="宋体" w:cs="宋体"/>
          <w:b/>
          <w:color w:val="000000" w:themeColor="text1"/>
          <w:kern w:val="0"/>
          <w:szCs w:val="21"/>
          <w14:textFill>
            <w14:solidFill>
              <w14:schemeClr w14:val="tx1"/>
            </w14:solidFill>
          </w14:textFill>
        </w:rPr>
      </w:pP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项目编号：bnjy202300</w:t>
      </w:r>
      <w:r>
        <w:rPr>
          <w:rFonts w:hint="eastAsia" w:ascii="宋体" w:hAnsi="宋体" w:eastAsia="宋体" w:cs="宋体"/>
          <w:color w:val="000000" w:themeColor="text1"/>
          <w:kern w:val="0"/>
          <w:szCs w:val="21"/>
          <w:lang w:val="en-US" w:eastAsia="zh-CN"/>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 xml:space="preserve">          转让价格：</w:t>
      </w:r>
      <w:r>
        <w:rPr>
          <w:rFonts w:hint="eastAsia" w:ascii="宋体" w:hAnsi="宋体" w:eastAsia="宋体" w:cs="宋体"/>
          <w:color w:val="000000" w:themeColor="text1"/>
          <w:kern w:val="0"/>
          <w:szCs w:val="21"/>
          <w:lang w:val="en-US" w:eastAsia="zh-CN"/>
          <w14:textFill>
            <w14:solidFill>
              <w14:schemeClr w14:val="tx1"/>
            </w14:solidFill>
          </w14:textFill>
        </w:rPr>
        <w:t>80000</w:t>
      </w:r>
      <w:r>
        <w:rPr>
          <w:rFonts w:hint="eastAsia" w:ascii="宋体" w:hAnsi="宋体" w:eastAsia="宋体" w:cs="宋体"/>
          <w:color w:val="000000" w:themeColor="text1"/>
          <w:kern w:val="0"/>
          <w:szCs w:val="21"/>
          <w14:textFill>
            <w14:solidFill>
              <w14:schemeClr w14:val="tx1"/>
            </w14:solidFill>
          </w14:textFill>
        </w:rPr>
        <w:t>元                       有效期：</w:t>
      </w:r>
      <w:r>
        <w:rPr>
          <w:rFonts w:hint="eastAsia" w:ascii="宋体" w:hAnsi="宋体" w:eastAsia="宋体" w:cs="宋体"/>
          <w:color w:val="000000" w:themeColor="text1"/>
          <w:kern w:val="0"/>
          <w:szCs w:val="21"/>
          <w:lang w:eastAsia="zh-CN"/>
          <w14:textFill>
            <w14:solidFill>
              <w14:schemeClr w14:val="tx1"/>
            </w14:solidFill>
          </w14:textFill>
        </w:rPr>
        <w:t>2023年11月28日</w:t>
      </w:r>
      <w:r>
        <w:rPr>
          <w:rFonts w:hint="eastAsia" w:ascii="宋体" w:hAnsi="宋体" w:eastAsia="宋体" w:cs="宋体"/>
          <w:color w:val="000000" w:themeColor="text1"/>
          <w:kern w:val="0"/>
          <w:szCs w:val="21"/>
          <w14:textFill>
            <w14:solidFill>
              <w14:schemeClr w14:val="tx1"/>
            </w14:solidFill>
          </w14:textFill>
        </w:rPr>
        <w:t xml:space="preserve"> 16:00:00                所属栏目：实物           </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项目类别：实物项目</w:t>
      </w:r>
    </w:p>
    <w:tbl>
      <w:tblPr>
        <w:tblStyle w:val="4"/>
        <w:tblW w:w="15507" w:type="dxa"/>
        <w:tblInd w:w="0" w:type="dxa"/>
        <w:tblLayout w:type="fixed"/>
        <w:tblCellMar>
          <w:top w:w="0" w:type="dxa"/>
          <w:left w:w="0" w:type="dxa"/>
          <w:bottom w:w="0" w:type="dxa"/>
          <w:right w:w="0" w:type="dxa"/>
        </w:tblCellMar>
      </w:tblPr>
      <w:tblGrid>
        <w:gridCol w:w="3592"/>
        <w:gridCol w:w="4055"/>
        <w:gridCol w:w="2807"/>
        <w:gridCol w:w="5053"/>
      </w:tblGrid>
      <w:tr>
        <w:tblPrEx>
          <w:tblCellMar>
            <w:top w:w="0" w:type="dxa"/>
            <w:left w:w="0" w:type="dxa"/>
            <w:bottom w:w="0" w:type="dxa"/>
            <w:right w:w="0" w:type="dxa"/>
          </w:tblCellMar>
        </w:tblPrEx>
        <w:trPr>
          <w:trHeight w:val="90" w:hRule="atLeast"/>
        </w:trPr>
        <w:tc>
          <w:tcPr>
            <w:tcW w:w="3592" w:type="dxa"/>
            <w:tcBorders>
              <w:top w:val="single" w:color="E6E6E6" w:sz="8" w:space="0"/>
              <w:left w:val="single" w:color="E6E6E6" w:sz="8" w:space="0"/>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项目名称</w:t>
            </w:r>
          </w:p>
        </w:tc>
        <w:tc>
          <w:tcPr>
            <w:tcW w:w="4055" w:type="dxa"/>
            <w:tcBorders>
              <w:top w:val="single" w:color="E6E6E6" w:sz="8" w:space="0"/>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奔牛镇</w:t>
            </w:r>
            <w:r>
              <w:rPr>
                <w:rFonts w:hint="eastAsia" w:ascii="宋体" w:hAnsi="宋体" w:eastAsia="宋体" w:cs="宋体"/>
                <w:color w:val="000000" w:themeColor="text1"/>
                <w:kern w:val="0"/>
                <w:szCs w:val="21"/>
                <w:lang w:eastAsia="zh-CN"/>
                <w14:textFill>
                  <w14:solidFill>
                    <w14:schemeClr w14:val="tx1"/>
                  </w14:solidFill>
                </w14:textFill>
              </w:rPr>
              <w:t>3P项目临时变压器处置项目</w:t>
            </w:r>
            <w:r>
              <w:rPr>
                <w:rFonts w:hint="eastAsia" w:ascii="宋体" w:hAnsi="宋体" w:eastAsia="宋体" w:cs="宋体"/>
                <w:color w:val="000000" w:themeColor="text1"/>
                <w:kern w:val="0"/>
                <w:szCs w:val="21"/>
                <w14:textFill>
                  <w14:solidFill>
                    <w14:schemeClr w14:val="tx1"/>
                  </w14:solidFill>
                </w14:textFill>
              </w:rPr>
              <w:t>资产转让</w:t>
            </w:r>
          </w:p>
        </w:tc>
        <w:tc>
          <w:tcPr>
            <w:tcW w:w="2807" w:type="dxa"/>
            <w:tcBorders>
              <w:top w:val="single" w:color="E6E6E6" w:sz="8" w:space="0"/>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项目编号</w:t>
            </w:r>
          </w:p>
        </w:tc>
        <w:tc>
          <w:tcPr>
            <w:tcW w:w="5053" w:type="dxa"/>
            <w:tcBorders>
              <w:top w:val="single" w:color="E6E6E6" w:sz="8" w:space="0"/>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bnjy2023004</w:t>
            </w:r>
          </w:p>
        </w:tc>
      </w:tr>
      <w:tr>
        <w:tblPrEx>
          <w:tblCellMar>
            <w:top w:w="0" w:type="dxa"/>
            <w:left w:w="0" w:type="dxa"/>
            <w:bottom w:w="0" w:type="dxa"/>
            <w:right w:w="0" w:type="dxa"/>
          </w:tblCellMar>
        </w:tblPrEx>
        <w:trPr>
          <w:trHeight w:val="323" w:hRule="atLeast"/>
        </w:trPr>
        <w:tc>
          <w:tcPr>
            <w:tcW w:w="3592" w:type="dxa"/>
            <w:tcBorders>
              <w:top w:val="nil"/>
              <w:left w:val="single" w:color="E6E6E6" w:sz="8" w:space="0"/>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挂牌起始日期</w:t>
            </w:r>
          </w:p>
        </w:tc>
        <w:tc>
          <w:tcPr>
            <w:tcW w:w="4055"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2023年11月20日</w:t>
            </w:r>
          </w:p>
        </w:tc>
        <w:tc>
          <w:tcPr>
            <w:tcW w:w="2807"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挂牌截止日期</w:t>
            </w:r>
          </w:p>
        </w:tc>
        <w:tc>
          <w:tcPr>
            <w:tcW w:w="5053"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2023年11月28日</w:t>
            </w:r>
          </w:p>
        </w:tc>
      </w:tr>
      <w:tr>
        <w:tblPrEx>
          <w:tblCellMar>
            <w:top w:w="0" w:type="dxa"/>
            <w:left w:w="0" w:type="dxa"/>
            <w:bottom w:w="0" w:type="dxa"/>
            <w:right w:w="0" w:type="dxa"/>
          </w:tblCellMar>
        </w:tblPrEx>
        <w:trPr>
          <w:trHeight w:val="473" w:hRule="atLeast"/>
        </w:trPr>
        <w:tc>
          <w:tcPr>
            <w:tcW w:w="3592" w:type="dxa"/>
            <w:tcBorders>
              <w:top w:val="nil"/>
              <w:left w:val="single" w:color="E6E6E6" w:sz="8" w:space="0"/>
              <w:bottom w:val="nil"/>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挂牌期满，如未征集到意向受让方</w:t>
            </w:r>
          </w:p>
        </w:tc>
        <w:tc>
          <w:tcPr>
            <w:tcW w:w="11915" w:type="dxa"/>
            <w:gridSpan w:val="3"/>
            <w:tcBorders>
              <w:top w:val="nil"/>
              <w:left w:val="nil"/>
              <w:bottom w:val="nil"/>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变更公告内容，重新发布公告。</w:t>
            </w:r>
          </w:p>
        </w:tc>
      </w:tr>
    </w:tbl>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bl>
      <w:tblPr>
        <w:tblStyle w:val="4"/>
        <w:tblW w:w="15528" w:type="dxa"/>
        <w:tblInd w:w="0" w:type="dxa"/>
        <w:tblLayout w:type="fixed"/>
        <w:tblCellMar>
          <w:top w:w="0" w:type="dxa"/>
          <w:left w:w="0" w:type="dxa"/>
          <w:bottom w:w="0" w:type="dxa"/>
          <w:right w:w="0" w:type="dxa"/>
        </w:tblCellMar>
      </w:tblPr>
      <w:tblGrid>
        <w:gridCol w:w="852"/>
        <w:gridCol w:w="2116"/>
        <w:gridCol w:w="2798"/>
        <w:gridCol w:w="9762"/>
      </w:tblGrid>
      <w:tr>
        <w:tblPrEx>
          <w:tblCellMar>
            <w:top w:w="0" w:type="dxa"/>
            <w:left w:w="0" w:type="dxa"/>
            <w:bottom w:w="0" w:type="dxa"/>
            <w:right w:w="0" w:type="dxa"/>
          </w:tblCellMar>
        </w:tblPrEx>
        <w:tc>
          <w:tcPr>
            <w:tcW w:w="852" w:type="dxa"/>
            <w:vMerge w:val="restart"/>
            <w:tcBorders>
              <w:top w:val="single" w:color="E6E6E6" w:sz="8" w:space="0"/>
              <w:left w:val="single" w:color="E6E6E6" w:sz="8" w:space="0"/>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w:t>
            </w:r>
          </w:p>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的</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概</w:t>
            </w:r>
          </w:p>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况</w:t>
            </w:r>
          </w:p>
        </w:tc>
        <w:tc>
          <w:tcPr>
            <w:tcW w:w="14676" w:type="dxa"/>
            <w:gridSpan w:val="3"/>
            <w:tcBorders>
              <w:top w:val="single" w:color="E6E6E6" w:sz="8" w:space="0"/>
              <w:left w:val="nil"/>
              <w:bottom w:val="nil"/>
              <w:right w:val="single" w:color="E6E6E6" w:sz="8" w:space="0"/>
            </w:tcBorders>
            <w:shd w:val="clear" w:color="auto" w:fill="auto"/>
            <w:vAlign w:val="center"/>
          </w:tcPr>
          <w:tbl>
            <w:tblPr>
              <w:tblStyle w:val="4"/>
              <w:tblW w:w="14656" w:type="dxa"/>
              <w:tblInd w:w="0" w:type="dxa"/>
              <w:tblLayout w:type="fixed"/>
              <w:tblCellMar>
                <w:top w:w="0" w:type="dxa"/>
                <w:left w:w="0" w:type="dxa"/>
                <w:bottom w:w="0" w:type="dxa"/>
                <w:right w:w="0" w:type="dxa"/>
              </w:tblCellMar>
            </w:tblPr>
            <w:tblGrid>
              <w:gridCol w:w="715"/>
              <w:gridCol w:w="8107"/>
              <w:gridCol w:w="1594"/>
              <w:gridCol w:w="886"/>
              <w:gridCol w:w="1417"/>
              <w:gridCol w:w="1937"/>
            </w:tblGrid>
            <w:tr>
              <w:tblPrEx>
                <w:tblCellMar>
                  <w:top w:w="0" w:type="dxa"/>
                  <w:left w:w="0" w:type="dxa"/>
                  <w:bottom w:w="0" w:type="dxa"/>
                  <w:right w:w="0" w:type="dxa"/>
                </w:tblCellMar>
              </w:tblPrEx>
              <w:trPr>
                <w:trHeight w:val="125" w:hRule="atLeast"/>
              </w:trPr>
              <w:tc>
                <w:tcPr>
                  <w:tcW w:w="14656" w:type="dxa"/>
                  <w:gridSpan w:val="6"/>
                  <w:tcBorders>
                    <w:top w:val="nil"/>
                    <w:left w:val="nil"/>
                    <w:bottom w:val="single" w:color="E6E6E6" w:sz="8" w:space="0"/>
                    <w:right w:val="nil"/>
                  </w:tcBorders>
                  <w:shd w:val="clear" w:color="auto" w:fill="auto"/>
                  <w:tcMar>
                    <w:top w:w="120" w:type="dxa"/>
                    <w:left w:w="120" w:type="dxa"/>
                    <w:bottom w:w="120" w:type="dxa"/>
                    <w:right w:w="120" w:type="dxa"/>
                  </w:tcMar>
                </w:tcPr>
                <w:p>
                  <w:pPr>
                    <w:widowControl/>
                    <w:spacing w:line="300" w:lineRule="atLeas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标的清单（详见附件1）</w:t>
                  </w:r>
                </w:p>
              </w:tc>
            </w:tr>
            <w:tr>
              <w:tblPrEx>
                <w:tblCellMar>
                  <w:top w:w="0" w:type="dxa"/>
                  <w:left w:w="0" w:type="dxa"/>
                  <w:bottom w:w="0" w:type="dxa"/>
                  <w:right w:w="0" w:type="dxa"/>
                </w:tblCellMar>
              </w:tblPrEx>
              <w:trPr>
                <w:trHeight w:val="462" w:hRule="atLeast"/>
              </w:trPr>
              <w:tc>
                <w:tcPr>
                  <w:tcW w:w="715"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序号</w:t>
                  </w:r>
                </w:p>
              </w:tc>
              <w:tc>
                <w:tcPr>
                  <w:tcW w:w="8107"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标的物名称</w:t>
                  </w:r>
                </w:p>
              </w:tc>
              <w:tc>
                <w:tcPr>
                  <w:tcW w:w="1594"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规格</w:t>
                  </w:r>
                </w:p>
              </w:tc>
              <w:tc>
                <w:tcPr>
                  <w:tcW w:w="886"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数量</w:t>
                  </w:r>
                </w:p>
              </w:tc>
              <w:tc>
                <w:tcPr>
                  <w:tcW w:w="1417"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单位</w:t>
                  </w:r>
                </w:p>
              </w:tc>
              <w:tc>
                <w:tcPr>
                  <w:tcW w:w="1937" w:type="dxa"/>
                  <w:tcBorders>
                    <w:top w:val="nil"/>
                    <w:left w:val="nil"/>
                    <w:bottom w:val="single" w:color="E6E6E6" w:sz="8" w:space="0"/>
                    <w:right w:val="nil"/>
                  </w:tcBorders>
                  <w:shd w:val="clear" w:color="auto" w:fill="auto"/>
                  <w:tcMar>
                    <w:top w:w="120" w:type="dxa"/>
                    <w:left w:w="120" w:type="dxa"/>
                    <w:bottom w:w="120" w:type="dxa"/>
                    <w:right w:w="120" w:type="dxa"/>
                  </w:tcMar>
                  <w:vAlign w:val="center"/>
                </w:tcPr>
                <w:p>
                  <w:pPr>
                    <w:widowControl/>
                    <w:spacing w:line="30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出让价（元）</w:t>
                  </w:r>
                </w:p>
              </w:tc>
            </w:tr>
            <w:tr>
              <w:tblPrEx>
                <w:tblCellMar>
                  <w:top w:w="0" w:type="dxa"/>
                  <w:left w:w="0" w:type="dxa"/>
                  <w:bottom w:w="0" w:type="dxa"/>
                  <w:right w:w="0" w:type="dxa"/>
                </w:tblCellMar>
              </w:tblPrEx>
              <w:tc>
                <w:tcPr>
                  <w:tcW w:w="715"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8107"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变压器</w:t>
                  </w:r>
                </w:p>
              </w:tc>
              <w:tc>
                <w:tcPr>
                  <w:tcW w:w="1594"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500KV</w:t>
                  </w:r>
                </w:p>
              </w:tc>
              <w:tc>
                <w:tcPr>
                  <w:tcW w:w="886"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p>
              </w:tc>
              <w:tc>
                <w:tcPr>
                  <w:tcW w:w="1417"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台</w:t>
                  </w:r>
                </w:p>
              </w:tc>
              <w:tc>
                <w:tcPr>
                  <w:tcW w:w="1937" w:type="dxa"/>
                  <w:tcBorders>
                    <w:top w:val="nil"/>
                    <w:left w:val="nil"/>
                    <w:bottom w:val="single" w:color="E6E6E6" w:sz="8" w:space="0"/>
                    <w:right w:val="nil"/>
                  </w:tcBorders>
                  <w:shd w:val="clear" w:color="auto" w:fill="auto"/>
                  <w:tcMar>
                    <w:top w:w="120" w:type="dxa"/>
                    <w:left w:w="120" w:type="dxa"/>
                    <w:bottom w:w="120" w:type="dxa"/>
                    <w:right w:w="120" w:type="dxa"/>
                  </w:tcMar>
                  <w:vAlign w:val="center"/>
                </w:tcPr>
                <w:p>
                  <w:pPr>
                    <w:widowControl/>
                    <w:spacing w:line="300" w:lineRule="atLeast"/>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60000</w:t>
                  </w:r>
                </w:p>
              </w:tc>
            </w:tr>
            <w:tr>
              <w:tblPrEx>
                <w:tblCellMar>
                  <w:top w:w="0" w:type="dxa"/>
                  <w:left w:w="0" w:type="dxa"/>
                  <w:bottom w:w="0" w:type="dxa"/>
                  <w:right w:w="0" w:type="dxa"/>
                </w:tblCellMar>
              </w:tblPrEx>
              <w:tc>
                <w:tcPr>
                  <w:tcW w:w="715"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p>
              </w:tc>
              <w:tc>
                <w:tcPr>
                  <w:tcW w:w="8107"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变压器</w:t>
                  </w:r>
                </w:p>
              </w:tc>
              <w:tc>
                <w:tcPr>
                  <w:tcW w:w="1594"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315KV</w:t>
                  </w:r>
                </w:p>
              </w:tc>
              <w:tc>
                <w:tcPr>
                  <w:tcW w:w="886"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1417"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台</w:t>
                  </w:r>
                </w:p>
              </w:tc>
              <w:tc>
                <w:tcPr>
                  <w:tcW w:w="1937" w:type="dxa"/>
                  <w:tcBorders>
                    <w:top w:val="nil"/>
                    <w:left w:val="nil"/>
                    <w:bottom w:val="single" w:color="E6E6E6" w:sz="8" w:space="0"/>
                    <w:right w:val="nil"/>
                  </w:tcBorders>
                  <w:shd w:val="clear" w:color="auto" w:fill="auto"/>
                  <w:tcMar>
                    <w:top w:w="120" w:type="dxa"/>
                    <w:left w:w="120" w:type="dxa"/>
                    <w:bottom w:w="120" w:type="dxa"/>
                    <w:right w:w="120" w:type="dxa"/>
                  </w:tcMar>
                  <w:vAlign w:val="center"/>
                </w:tcPr>
                <w:p>
                  <w:pPr>
                    <w:widowControl/>
                    <w:spacing w:line="300" w:lineRule="atLeast"/>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20000</w:t>
                  </w:r>
                </w:p>
              </w:tc>
            </w:tr>
            <w:tr>
              <w:tblPrEx>
                <w:tblCellMar>
                  <w:top w:w="0" w:type="dxa"/>
                  <w:left w:w="0" w:type="dxa"/>
                  <w:bottom w:w="0" w:type="dxa"/>
                  <w:right w:w="0" w:type="dxa"/>
                </w:tblCellMar>
              </w:tblPrEx>
              <w:tc>
                <w:tcPr>
                  <w:tcW w:w="12719" w:type="dxa"/>
                  <w:gridSpan w:val="5"/>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  计</w:t>
                  </w:r>
                </w:p>
              </w:tc>
              <w:tc>
                <w:tcPr>
                  <w:tcW w:w="1937" w:type="dxa"/>
                  <w:tcBorders>
                    <w:top w:val="nil"/>
                    <w:left w:val="nil"/>
                    <w:bottom w:val="single" w:color="E6E6E6" w:sz="8" w:space="0"/>
                    <w:right w:val="nil"/>
                  </w:tcBorders>
                  <w:shd w:val="clear" w:color="auto" w:fill="auto"/>
                  <w:tcMar>
                    <w:top w:w="120" w:type="dxa"/>
                    <w:left w:w="120" w:type="dxa"/>
                    <w:bottom w:w="120" w:type="dxa"/>
                    <w:right w:w="120" w:type="dxa"/>
                  </w:tcMar>
                  <w:vAlign w:val="center"/>
                </w:tcPr>
                <w:p>
                  <w:pPr>
                    <w:widowControl/>
                    <w:spacing w:line="300" w:lineRule="atLeast"/>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80000</w:t>
                  </w:r>
                </w:p>
              </w:tc>
            </w:tr>
          </w:tbl>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c>
          <w:tcPr>
            <w:tcW w:w="852"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116"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存放地</w:t>
            </w:r>
          </w:p>
        </w:tc>
        <w:tc>
          <w:tcPr>
            <w:tcW w:w="12560" w:type="dxa"/>
            <w:gridSpan w:val="2"/>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常州市新北区奔牛镇范围内</w:t>
            </w:r>
          </w:p>
        </w:tc>
      </w:tr>
      <w:tr>
        <w:tblPrEx>
          <w:tblCellMar>
            <w:top w:w="0" w:type="dxa"/>
            <w:left w:w="0" w:type="dxa"/>
            <w:bottom w:w="0" w:type="dxa"/>
            <w:right w:w="0" w:type="dxa"/>
          </w:tblCellMar>
        </w:tblPrEx>
        <w:tc>
          <w:tcPr>
            <w:tcW w:w="852"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116"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标的现状</w:t>
            </w:r>
          </w:p>
        </w:tc>
        <w:tc>
          <w:tcPr>
            <w:tcW w:w="12560" w:type="dxa"/>
            <w:gridSpan w:val="2"/>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闲置(该标的现均为不可搬迁资产，须现场拆除)</w:t>
            </w:r>
          </w:p>
        </w:tc>
      </w:tr>
      <w:tr>
        <w:tblPrEx>
          <w:tblCellMar>
            <w:top w:w="0" w:type="dxa"/>
            <w:left w:w="0" w:type="dxa"/>
            <w:bottom w:w="0" w:type="dxa"/>
            <w:right w:w="0" w:type="dxa"/>
          </w:tblCellMar>
        </w:tblPrEx>
        <w:tc>
          <w:tcPr>
            <w:tcW w:w="852"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116"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转让底价</w:t>
            </w:r>
          </w:p>
        </w:tc>
        <w:tc>
          <w:tcPr>
            <w:tcW w:w="12560" w:type="dxa"/>
            <w:gridSpan w:val="2"/>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见上表</w:t>
            </w:r>
          </w:p>
        </w:tc>
      </w:tr>
      <w:tr>
        <w:tblPrEx>
          <w:tblCellMar>
            <w:top w:w="0" w:type="dxa"/>
            <w:left w:w="0" w:type="dxa"/>
            <w:bottom w:w="0" w:type="dxa"/>
            <w:right w:w="0" w:type="dxa"/>
          </w:tblCellMar>
        </w:tblPrEx>
        <w:tc>
          <w:tcPr>
            <w:tcW w:w="852"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116" w:type="dxa"/>
            <w:vMerge w:val="restart"/>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转让方情况</w:t>
            </w:r>
          </w:p>
        </w:tc>
        <w:tc>
          <w:tcPr>
            <w:tcW w:w="2798"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基本情况</w:t>
            </w:r>
          </w:p>
        </w:tc>
        <w:tc>
          <w:tcPr>
            <w:tcW w:w="9762"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1.转让方名称：新北区奔牛镇人民政府</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PPP项目领导小组</w:t>
            </w:r>
            <w:r>
              <w:rPr>
                <w:rFonts w:hint="eastAsia" w:ascii="宋体" w:hAnsi="宋体" w:eastAsia="宋体" w:cs="宋体"/>
                <w:color w:val="000000" w:themeColor="text1"/>
                <w:kern w:val="0"/>
                <w:szCs w:val="21"/>
                <w:lang w:eastAsia="zh-CN"/>
                <w14:textFill>
                  <w14:solidFill>
                    <w14:schemeClr w14:val="tx1"/>
                  </w14:solidFill>
                </w14:textFill>
              </w:rPr>
              <w:t>）</w:t>
            </w:r>
          </w:p>
        </w:tc>
      </w:tr>
      <w:tr>
        <w:tblPrEx>
          <w:tblCellMar>
            <w:top w:w="0" w:type="dxa"/>
            <w:left w:w="0" w:type="dxa"/>
            <w:bottom w:w="0" w:type="dxa"/>
            <w:right w:w="0" w:type="dxa"/>
          </w:tblCellMar>
        </w:tblPrEx>
        <w:tc>
          <w:tcPr>
            <w:tcW w:w="852"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116" w:type="dxa"/>
            <w:vMerge w:val="continue"/>
            <w:tcBorders>
              <w:top w:val="nil"/>
              <w:left w:val="nil"/>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798"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转让方承诺</w:t>
            </w:r>
          </w:p>
        </w:tc>
        <w:tc>
          <w:tcPr>
            <w:tcW w:w="9762"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c>
          <w:tcPr>
            <w:tcW w:w="852"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116" w:type="dxa"/>
            <w:vMerge w:val="continue"/>
            <w:tcBorders>
              <w:top w:val="nil"/>
              <w:left w:val="nil"/>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798"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转让方决策文件</w:t>
            </w:r>
          </w:p>
        </w:tc>
        <w:tc>
          <w:tcPr>
            <w:tcW w:w="9762"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c>
          <w:tcPr>
            <w:tcW w:w="852"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116" w:type="dxa"/>
            <w:vMerge w:val="continue"/>
            <w:tcBorders>
              <w:top w:val="nil"/>
              <w:left w:val="nil"/>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798"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行为批准或备案机构</w:t>
            </w:r>
          </w:p>
        </w:tc>
        <w:tc>
          <w:tcPr>
            <w:tcW w:w="9762"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bl>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bl>
      <w:tblPr>
        <w:tblStyle w:val="4"/>
        <w:tblW w:w="15638" w:type="dxa"/>
        <w:tblInd w:w="0" w:type="dxa"/>
        <w:tblLayout w:type="fixed"/>
        <w:tblCellMar>
          <w:top w:w="0" w:type="dxa"/>
          <w:left w:w="0" w:type="dxa"/>
          <w:bottom w:w="0" w:type="dxa"/>
          <w:right w:w="0" w:type="dxa"/>
        </w:tblCellMar>
      </w:tblPr>
      <w:tblGrid>
        <w:gridCol w:w="719"/>
        <w:gridCol w:w="14919"/>
      </w:tblGrid>
      <w:tr>
        <w:tblPrEx>
          <w:tblCellMar>
            <w:top w:w="0" w:type="dxa"/>
            <w:left w:w="0" w:type="dxa"/>
            <w:bottom w:w="0" w:type="dxa"/>
            <w:right w:w="0" w:type="dxa"/>
          </w:tblCellMar>
        </w:tblPrEx>
        <w:trPr>
          <w:trHeight w:val="90" w:hRule="atLeast"/>
        </w:trPr>
        <w:tc>
          <w:tcPr>
            <w:tcW w:w="719" w:type="dxa"/>
            <w:tcBorders>
              <w:top w:val="single" w:color="E6E6E6" w:sz="8" w:space="0"/>
              <w:left w:val="single" w:color="E6E6E6" w:sz="8" w:space="0"/>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特别</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告知</w:t>
            </w:r>
          </w:p>
        </w:tc>
        <w:tc>
          <w:tcPr>
            <w:tcW w:w="14919" w:type="dxa"/>
            <w:tcBorders>
              <w:top w:val="single" w:color="E6E6E6" w:sz="8" w:space="0"/>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1.标的为奔牛镇</w:t>
            </w:r>
            <w:r>
              <w:rPr>
                <w:rFonts w:hint="eastAsia" w:ascii="宋体" w:hAnsi="宋体" w:eastAsia="宋体" w:cs="宋体"/>
                <w:color w:val="000000" w:themeColor="text1"/>
                <w:kern w:val="0"/>
                <w:szCs w:val="21"/>
                <w:lang w:eastAsia="zh-CN"/>
                <w14:textFill>
                  <w14:solidFill>
                    <w14:schemeClr w14:val="tx1"/>
                  </w14:solidFill>
                </w14:textFill>
              </w:rPr>
              <w:t>3P项目临时变压器</w:t>
            </w:r>
            <w:r>
              <w:rPr>
                <w:rFonts w:hint="eastAsia" w:ascii="宋体" w:hAnsi="宋体" w:eastAsia="宋体" w:cs="宋体"/>
                <w:color w:val="000000" w:themeColor="text1"/>
                <w:kern w:val="0"/>
                <w:szCs w:val="21"/>
                <w:lang w:val="en-US" w:eastAsia="zh-CN"/>
                <w14:textFill>
                  <w14:solidFill>
                    <w14:schemeClr w14:val="tx1"/>
                  </w14:solidFill>
                </w14:textFill>
              </w:rPr>
              <w:t>2台500KV，1台315KV</w:t>
            </w:r>
            <w:r>
              <w:rPr>
                <w:rFonts w:hint="eastAsia" w:ascii="宋体" w:hAnsi="宋体" w:eastAsia="宋体" w:cs="宋体"/>
                <w:color w:val="000000" w:themeColor="text1"/>
                <w:kern w:val="0"/>
                <w:szCs w:val="21"/>
                <w14:textFill>
                  <w14:solidFill>
                    <w14:schemeClr w14:val="tx1"/>
                  </w14:solidFill>
                </w14:textFill>
              </w:rPr>
              <w:t>，随机附件及图纸、说明书、保修单、维修手册等相关资料不全，以实物现状为准，转让方对竞价标的所涉及的具体范围、品名、型号、数量、品质等均不作承诺保证，不承担一切瑕疵担保责任。</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w:t>
            </w:r>
            <w:r>
              <w:rPr>
                <w:rFonts w:hint="eastAsia" w:ascii="微软雅黑" w:hAnsi="微软雅黑" w:eastAsia="微软雅黑"/>
                <w:color w:val="000000" w:themeColor="text1"/>
                <w:sz w:val="22"/>
                <w:shd w:val="clear" w:color="auto" w:fill="FFFFFF"/>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意向受让方在公告期规定日期至现场仔细、认真查勘现场。本次标的分别位于</w:t>
            </w:r>
            <w:r>
              <w:rPr>
                <w:rFonts w:hint="eastAsia" w:ascii="宋体" w:hAnsi="宋体" w:eastAsia="宋体" w:cs="宋体"/>
                <w:color w:val="000000" w:themeColor="text1"/>
                <w:kern w:val="0"/>
                <w:szCs w:val="21"/>
                <w:lang w:eastAsia="zh-CN"/>
                <w14:textFill>
                  <w14:solidFill>
                    <w14:schemeClr w14:val="tx1"/>
                  </w14:solidFill>
                </w14:textFill>
              </w:rPr>
              <w:t>金牛里小区附近</w:t>
            </w:r>
            <w:r>
              <w:rPr>
                <w:rFonts w:hint="eastAsia" w:ascii="宋体" w:hAnsi="宋体" w:eastAsia="宋体" w:cs="宋体"/>
                <w:color w:val="000000" w:themeColor="text1"/>
                <w:kern w:val="0"/>
                <w:szCs w:val="21"/>
                <w14:textFill>
                  <w14:solidFill>
                    <w14:schemeClr w14:val="tx1"/>
                  </w14:solidFill>
                </w14:textFill>
              </w:rPr>
              <w:t>，资产的完整性以实地考察为准。标的须受让方自行拆除拆解，成交后按资产实际现状交接，不调整成交价格。</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3.竞价成交后，受让方向财政所支付转让费，财政所开具缴款发票。如受让方需要销售发票，由其自行向税务机关申报办理，税金由受让方另行承担。</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4.受让方对标的物有争议的，在争议处理期间，转让方有权暂停、并限制其参与本招投标办公室其它竞价活动，直至争议处理完毕后恢复竞价资格。</w:t>
            </w:r>
          </w:p>
        </w:tc>
      </w:tr>
    </w:tbl>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bl>
      <w:tblPr>
        <w:tblStyle w:val="4"/>
        <w:tblW w:w="15638" w:type="dxa"/>
        <w:tblInd w:w="0" w:type="dxa"/>
        <w:tblLayout w:type="fixed"/>
        <w:tblCellMar>
          <w:top w:w="0" w:type="dxa"/>
          <w:left w:w="0" w:type="dxa"/>
          <w:bottom w:w="0" w:type="dxa"/>
          <w:right w:w="0" w:type="dxa"/>
        </w:tblCellMar>
      </w:tblPr>
      <w:tblGrid>
        <w:gridCol w:w="840"/>
        <w:gridCol w:w="2018"/>
        <w:gridCol w:w="12780"/>
      </w:tblGrid>
      <w:tr>
        <w:tblPrEx>
          <w:tblCellMar>
            <w:top w:w="0" w:type="dxa"/>
            <w:left w:w="0" w:type="dxa"/>
            <w:bottom w:w="0" w:type="dxa"/>
            <w:right w:w="0" w:type="dxa"/>
          </w:tblCellMar>
        </w:tblPrEx>
        <w:trPr>
          <w:trHeight w:val="360" w:hRule="atLeast"/>
        </w:trPr>
        <w:tc>
          <w:tcPr>
            <w:tcW w:w="840" w:type="dxa"/>
            <w:vMerge w:val="restart"/>
            <w:tcBorders>
              <w:top w:val="single" w:color="E6E6E6" w:sz="8" w:space="0"/>
              <w:left w:val="single" w:color="E6E6E6" w:sz="8" w:space="0"/>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交易</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条件</w:t>
            </w:r>
          </w:p>
        </w:tc>
        <w:tc>
          <w:tcPr>
            <w:tcW w:w="2018" w:type="dxa"/>
            <w:tcBorders>
              <w:top w:val="single" w:color="E6E6E6" w:sz="8" w:space="0"/>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交易价款支付方式</w:t>
            </w:r>
          </w:p>
        </w:tc>
        <w:tc>
          <w:tcPr>
            <w:tcW w:w="12780" w:type="dxa"/>
            <w:tcBorders>
              <w:top w:val="single" w:color="E6E6E6" w:sz="8" w:space="0"/>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成交之日起3个工作日内至奔牛镇财政和资产管理局付清。 </w:t>
            </w:r>
          </w:p>
        </w:tc>
      </w:tr>
      <w:tr>
        <w:tblPrEx>
          <w:tblCellMar>
            <w:top w:w="0" w:type="dxa"/>
            <w:left w:w="0" w:type="dxa"/>
            <w:bottom w:w="0" w:type="dxa"/>
            <w:right w:w="0" w:type="dxa"/>
          </w:tblCellMar>
        </w:tblPrEx>
        <w:trPr>
          <w:trHeight w:val="459" w:hRule="atLeast"/>
        </w:trPr>
        <w:tc>
          <w:tcPr>
            <w:tcW w:w="840"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018"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受让方资格条件</w:t>
            </w:r>
          </w:p>
        </w:tc>
        <w:tc>
          <w:tcPr>
            <w:tcW w:w="12780"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竞买方必须为合法注册且有效的企业法人、其他组织或具有完全民事行为能力的自然人。</w:t>
            </w:r>
          </w:p>
        </w:tc>
      </w:tr>
      <w:tr>
        <w:tblPrEx>
          <w:tblCellMar>
            <w:top w:w="0" w:type="dxa"/>
            <w:left w:w="0" w:type="dxa"/>
            <w:bottom w:w="0" w:type="dxa"/>
            <w:right w:w="0" w:type="dxa"/>
          </w:tblCellMar>
        </w:tblPrEx>
        <w:tc>
          <w:tcPr>
            <w:tcW w:w="840"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018"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标的交割</w:t>
            </w:r>
          </w:p>
        </w:tc>
        <w:tc>
          <w:tcPr>
            <w:tcW w:w="12780"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numPr>
                <w:ilvl w:val="0"/>
                <w:numId w:val="0"/>
              </w:numPr>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交割时间: 由甲方指定日期分批交割。</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2.交割方式: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（1）受让方提取标的时应向资产占有单位（转让方）提供：自然人身份证原件或法人、其他组织工商执照复印件、授权委托书以及转让方要求的其他材料。</w:t>
            </w:r>
          </w:p>
          <w:p>
            <w:pPr>
              <w:widowControl/>
              <w:tabs>
                <w:tab w:val="left" w:pos="312"/>
              </w:tabs>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本次转让标的数量、品种、品质、质量等均以移交时的现场实物现状为准进行交接，转让方不承担任何保证。如受让方对交割标的无异议，签署《资产交割书》。如受让方办理交割前发现交割标的的范围、数量、品种、品质等与公告标的不符，应及时提出异议并提供两者差异存在的有效书面证据。如经查实，异议成立，停止办理交割并按下述“争议处理”办法解决；如异议不成立，受让方拒绝办理标的交接手续的，视违约处理（中标无效，投标保证金不予退回视为违约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标的交割后，受让方及其工作人员在提取标的期间，应服从资产占有单位（转让方）管理安排，不得扰乱资产占有单位（转让方）正常的工作秩序；不能有吵闹、辱骂、斗殴、吸烟、赌博等不文明行为；标的的拆解与搬迁必须服从资产占有单位（转让方）安排；搬迁结束后不得遗留任何标的附属物。否则，由此造成的不良后果及损失由受让方承担。</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该标的必须在上述规定标的物提取时间内搬运完毕，受让方如在上述规定期间内未按期搬运完毕，除非征得资产占有单位同意，否则每逾期1日须承担场地占用费500元，以此类推，直至搬清之日止。场地占用费从标的保证金中扣除，如场地占用费超过保证金，则受让方还应另行支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（5）受让方负责标的的拆卸和搬运，在标的拆卸和搬运过程中必须严格遵守国家、地方安全和环境保护等方面有关法律、法规，如发生安全、环境等事故的，由买受方承担一切责任。</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（6）受让方不得损坏标的清单以外的其它资产、建（构）筑物及辅助、配套设施，确需破墙刨地等才能拆除搬运设备的，应征得资产占有单位（转让方）同意，并在标的搬迁后恢复原样。</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（7）受让方标的提取过程中，如发生逾期提取、损坏非竞价范围内物品，破坏建筑物及相关附着物的完整、安全等情形的，转让方有权扣除保证金，如造成的损失大于保证金的，由受让方另行承担。</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3.争议处理: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（1）交易公告未对交易标的数量、型号、品牌等信息作出描述，且申明不承担瑕疵担保责任的，交割以实物现状为准，受让方不得要求退标及任何补偿。</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交易公告已对交易标的数量、型号、品牌等信息作出明确描述，交割时，实物现状与公告内容不符，如不符标的评估（认定，下同）价格小于全部标的评估总价5%（含）的，不对成交款作任何调整，受让方不得要求退标；如不符标的评估价占比大于5%但小于20%（含），或虽大于20%但转让方、受让方均同意进行交割的，由转让方按下述补偿价差计算公式计算补偿价对受让方予以补偿，本所退还相应的交易佣金，受让方不得要求退标或其他损失赔偿。转让方补偿后可收回不符标的；不符标的评估价格占比大于20%，且转让方、受让方有一方不同意交割的，转让方收回标的，奔牛镇建设局退还成交款，转让方、奔牛镇建设局不承担其它责任。</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补偿价差计算公式为:（不符标的评估价÷全部标的评估总价）×成交总价</w:t>
            </w:r>
          </w:p>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（3）竞价成交后，如发现受让方不具备公告所示受让条件（包括但不限于环保、安全、拆卸等资质要求），奔牛镇建设局取消其受让资格，并要求其承担相关违约责任。</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（4）因交易双方原因致使标的不能按期进行交割的，过错方应承担违约责任。</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（5）因交易标的为废旧资产，受让方不得以受让标的缺少铭牌、技术资料、整机缺件等为理由提出赔偿或退标。 </w:t>
            </w:r>
          </w:p>
        </w:tc>
      </w:tr>
    </w:tbl>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bl>
      <w:tblPr>
        <w:tblStyle w:val="4"/>
        <w:tblW w:w="15638" w:type="dxa"/>
        <w:tblInd w:w="0" w:type="dxa"/>
        <w:tblLayout w:type="fixed"/>
        <w:tblCellMar>
          <w:top w:w="0" w:type="dxa"/>
          <w:left w:w="0" w:type="dxa"/>
          <w:bottom w:w="0" w:type="dxa"/>
          <w:right w:w="0" w:type="dxa"/>
        </w:tblCellMar>
      </w:tblPr>
      <w:tblGrid>
        <w:gridCol w:w="850"/>
        <w:gridCol w:w="1743"/>
        <w:gridCol w:w="2203"/>
        <w:gridCol w:w="2078"/>
        <w:gridCol w:w="1562"/>
        <w:gridCol w:w="7202"/>
      </w:tblGrid>
      <w:tr>
        <w:tblPrEx>
          <w:tblCellMar>
            <w:top w:w="0" w:type="dxa"/>
            <w:left w:w="0" w:type="dxa"/>
            <w:bottom w:w="0" w:type="dxa"/>
            <w:right w:w="0" w:type="dxa"/>
          </w:tblCellMar>
        </w:tblPrEx>
        <w:trPr>
          <w:trHeight w:val="1423" w:hRule="atLeast"/>
        </w:trPr>
        <w:tc>
          <w:tcPr>
            <w:tcW w:w="850" w:type="dxa"/>
            <w:vMerge w:val="restart"/>
            <w:tcBorders>
              <w:top w:val="single" w:color="E6E6E6" w:sz="8" w:space="0"/>
              <w:left w:val="single" w:color="E6E6E6" w:sz="8" w:space="0"/>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交易</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指南</w:t>
            </w:r>
          </w:p>
        </w:tc>
        <w:tc>
          <w:tcPr>
            <w:tcW w:w="1743" w:type="dxa"/>
            <w:tcBorders>
              <w:top w:val="single" w:color="E6E6E6" w:sz="8" w:space="0"/>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竞价规则</w:t>
            </w:r>
          </w:p>
        </w:tc>
        <w:tc>
          <w:tcPr>
            <w:tcW w:w="13045" w:type="dxa"/>
            <w:gridSpan w:val="4"/>
            <w:tcBorders>
              <w:top w:val="single" w:color="E6E6E6" w:sz="8" w:space="0"/>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竞买人在竞价前请务必遵照公告，了解标的情况、竞买资格、报名、保证金缴纳及款项支付方式等内容。如未全面了解相关内容，违反相关规定，您将承担无法参与项目竞买、保证金不予退还等不利后果，请审慎参与竞买。</w:t>
            </w:r>
          </w:p>
        </w:tc>
      </w:tr>
      <w:tr>
        <w:tblPrEx>
          <w:tblCellMar>
            <w:top w:w="0" w:type="dxa"/>
            <w:left w:w="0" w:type="dxa"/>
            <w:bottom w:w="0" w:type="dxa"/>
            <w:right w:w="0" w:type="dxa"/>
          </w:tblCellMar>
        </w:tblPrEx>
        <w:trPr>
          <w:trHeight w:val="1267" w:hRule="atLeast"/>
        </w:trPr>
        <w:tc>
          <w:tcPr>
            <w:tcW w:w="850"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743"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现场看样</w:t>
            </w:r>
          </w:p>
        </w:tc>
        <w:tc>
          <w:tcPr>
            <w:tcW w:w="13045" w:type="dxa"/>
            <w:gridSpan w:val="4"/>
            <w:tcBorders>
              <w:top w:val="nil"/>
              <w:left w:val="nil"/>
              <w:bottom w:val="single" w:color="E6E6E6" w:sz="8" w:space="0"/>
              <w:right w:val="single" w:color="E6E6E6" w:sz="8" w:space="0"/>
            </w:tcBorders>
            <w:shd w:val="clear" w:color="auto" w:fill="auto"/>
            <w:tcMar>
              <w:top w:w="120" w:type="dxa"/>
              <w:left w:w="120" w:type="dxa"/>
              <w:bottom w:w="120" w:type="dxa"/>
              <w:right w:w="120" w:type="dxa"/>
            </w:tcMar>
          </w:tcPr>
          <w:p>
            <w:pPr>
              <w:numPr>
                <w:ilvl w:val="0"/>
                <w:numId w:val="1"/>
              </w:numPr>
              <w:spacing w:before="100" w:after="240" w:line="500" w:lineRule="exact"/>
              <w:outlineLvl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时间: 2023年11月</w:t>
            </w:r>
            <w:r>
              <w:rPr>
                <w:rFonts w:hint="eastAsia" w:ascii="宋体" w:hAnsi="宋体" w:eastAsia="宋体" w:cs="宋体"/>
                <w:color w:val="000000" w:themeColor="text1"/>
                <w:kern w:val="0"/>
                <w:szCs w:val="21"/>
                <w:lang w:val="en-US" w:eastAsia="zh-CN"/>
                <w14:textFill>
                  <w14:solidFill>
                    <w14:schemeClr w14:val="tx1"/>
                  </w14:solidFill>
                </w14:textFill>
              </w:rPr>
              <w:t>24</w:t>
            </w:r>
            <w:r>
              <w:rPr>
                <w:rFonts w:hint="eastAsia" w:ascii="宋体" w:hAnsi="宋体" w:eastAsia="宋体" w:cs="宋体"/>
                <w:color w:val="000000" w:themeColor="text1"/>
                <w:kern w:val="0"/>
                <w:szCs w:val="21"/>
                <w14:textFill>
                  <w14:solidFill>
                    <w14:schemeClr w14:val="tx1"/>
                  </w14:solidFill>
                </w14:textFill>
              </w:rPr>
              <w:t xml:space="preserve">日下午15：00集中看样（看样请联系 </w:t>
            </w:r>
            <w:r>
              <w:rPr>
                <w:rFonts w:hint="eastAsia" w:ascii="宋体" w:hAnsi="宋体" w:eastAsia="宋体" w:cs="宋体"/>
                <w:color w:val="000000" w:themeColor="text1"/>
                <w:kern w:val="0"/>
                <w:szCs w:val="21"/>
                <w:lang w:val="en-US" w:eastAsia="zh-CN"/>
                <w14:textFill>
                  <w14:solidFill>
                    <w14:schemeClr w14:val="tx1"/>
                  </w14:solidFill>
                </w14:textFill>
              </w:rPr>
              <w:t>曹沛华 13382869799</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2.地点:</w:t>
            </w:r>
            <w:r>
              <w:rPr>
                <w:rFonts w:hint="eastAsia" w:ascii="宋体" w:hAnsi="宋体" w:eastAsia="宋体" w:cs="宋体"/>
                <w:color w:val="000000" w:themeColor="text1"/>
                <w:kern w:val="0"/>
                <w:szCs w:val="21"/>
                <w:lang w:val="en-US" w:eastAsia="zh-CN"/>
                <w14:textFill>
                  <w14:solidFill>
                    <w14:schemeClr w14:val="tx1"/>
                  </w14:solidFill>
                </w14:textFill>
              </w:rPr>
              <w:t>金牛里小区南区门口</w:t>
            </w:r>
            <w:r>
              <w:rPr>
                <w:rFonts w:hint="eastAsia" w:ascii="宋体" w:hAnsi="宋体" w:eastAsia="宋体" w:cs="宋体"/>
                <w:color w:val="000000" w:themeColor="text1"/>
                <w:kern w:val="0"/>
                <w:szCs w:val="21"/>
                <w14:textFill>
                  <w14:solidFill>
                    <w14:schemeClr w14:val="tx1"/>
                  </w14:solidFill>
                </w14:textFill>
              </w:rPr>
              <w:t>。</w:t>
            </w:r>
          </w:p>
          <w:p>
            <w:pPr>
              <w:pStyle w:val="2"/>
              <w:rPr>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上述个人信息由于工作需要经本人同意对外公布。）</w:t>
            </w:r>
          </w:p>
        </w:tc>
      </w:tr>
      <w:tr>
        <w:tblPrEx>
          <w:tblCellMar>
            <w:top w:w="0" w:type="dxa"/>
            <w:left w:w="0" w:type="dxa"/>
            <w:bottom w:w="0" w:type="dxa"/>
            <w:right w:w="0" w:type="dxa"/>
          </w:tblCellMar>
        </w:tblPrEx>
        <w:trPr>
          <w:trHeight w:val="607" w:hRule="atLeast"/>
        </w:trPr>
        <w:tc>
          <w:tcPr>
            <w:tcW w:w="850"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743" w:type="dxa"/>
            <w:vMerge w:val="restart"/>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竞买报名</w:t>
            </w:r>
          </w:p>
        </w:tc>
        <w:tc>
          <w:tcPr>
            <w:tcW w:w="2203"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报名时间</w:t>
            </w:r>
          </w:p>
        </w:tc>
        <w:tc>
          <w:tcPr>
            <w:tcW w:w="10842" w:type="dxa"/>
            <w:gridSpan w:val="3"/>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自公告之日起至</w:t>
            </w:r>
            <w:r>
              <w:rPr>
                <w:rFonts w:hint="eastAsia" w:ascii="宋体" w:hAnsi="宋体" w:eastAsia="宋体" w:cs="宋体"/>
                <w:color w:val="000000" w:themeColor="text1"/>
                <w:kern w:val="0"/>
                <w:szCs w:val="21"/>
                <w:lang w:eastAsia="zh-CN"/>
                <w14:textFill>
                  <w14:solidFill>
                    <w14:schemeClr w14:val="tx1"/>
                  </w14:solidFill>
                </w14:textFill>
              </w:rPr>
              <w:t>2023年11月28日</w:t>
            </w:r>
            <w:r>
              <w:rPr>
                <w:rFonts w:hint="eastAsia" w:ascii="宋体" w:hAnsi="宋体" w:eastAsia="宋体" w:cs="宋体"/>
                <w:color w:val="000000" w:themeColor="text1"/>
                <w:kern w:val="0"/>
                <w:szCs w:val="21"/>
                <w14:textFill>
                  <w14:solidFill>
                    <w14:schemeClr w14:val="tx1"/>
                  </w14:solidFill>
                </w14:textFill>
              </w:rPr>
              <w:t xml:space="preserve"> 16：00 止（节假日除外）。</w:t>
            </w:r>
          </w:p>
        </w:tc>
      </w:tr>
      <w:tr>
        <w:tblPrEx>
          <w:tblCellMar>
            <w:top w:w="0" w:type="dxa"/>
            <w:left w:w="0" w:type="dxa"/>
            <w:bottom w:w="0" w:type="dxa"/>
            <w:right w:w="0" w:type="dxa"/>
          </w:tblCellMar>
        </w:tblPrEx>
        <w:tc>
          <w:tcPr>
            <w:tcW w:w="850"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743" w:type="dxa"/>
            <w:vMerge w:val="continue"/>
            <w:tcBorders>
              <w:top w:val="nil"/>
              <w:left w:val="nil"/>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203"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报名手续</w:t>
            </w:r>
          </w:p>
        </w:tc>
        <w:tc>
          <w:tcPr>
            <w:tcW w:w="10842" w:type="dxa"/>
            <w:gridSpan w:val="3"/>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意向竞买方应按照公告竞价规则前往奔牛镇建设局</w:t>
            </w:r>
            <w:r>
              <w:rPr>
                <w:rFonts w:hint="eastAsia" w:ascii="宋体" w:hAnsi="宋体" w:eastAsia="宋体" w:cs="宋体"/>
                <w:color w:val="000000" w:themeColor="text1"/>
                <w:kern w:val="0"/>
                <w:szCs w:val="21"/>
                <w:lang w:eastAsia="zh-CN"/>
                <w14:textFill>
                  <w14:solidFill>
                    <w14:schemeClr w14:val="tx1"/>
                  </w14:solidFill>
                </w14:textFill>
              </w:rPr>
              <w:t>304</w:t>
            </w:r>
            <w:r>
              <w:rPr>
                <w:rFonts w:hint="eastAsia" w:ascii="宋体" w:hAnsi="宋体" w:eastAsia="宋体" w:cs="宋体"/>
                <w:color w:val="000000" w:themeColor="text1"/>
                <w:kern w:val="0"/>
                <w:szCs w:val="21"/>
                <w14:textFill>
                  <w14:solidFill>
                    <w14:schemeClr w14:val="tx1"/>
                  </w14:solidFill>
                </w14:textFill>
              </w:rPr>
              <w:t>室进行现场报名、保证金缴纳等手续。 </w:t>
            </w:r>
          </w:p>
        </w:tc>
      </w:tr>
      <w:tr>
        <w:tblPrEx>
          <w:tblCellMar>
            <w:top w:w="0" w:type="dxa"/>
            <w:left w:w="0" w:type="dxa"/>
            <w:bottom w:w="0" w:type="dxa"/>
            <w:right w:w="0" w:type="dxa"/>
          </w:tblCellMar>
        </w:tblPrEx>
        <w:tc>
          <w:tcPr>
            <w:tcW w:w="850"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743" w:type="dxa"/>
            <w:vMerge w:val="continue"/>
            <w:tcBorders>
              <w:top w:val="nil"/>
              <w:left w:val="nil"/>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203"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保证金及处置方式</w:t>
            </w:r>
          </w:p>
        </w:tc>
        <w:tc>
          <w:tcPr>
            <w:tcW w:w="10842" w:type="dxa"/>
            <w:gridSpan w:val="3"/>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1.保证金缴纳：金额5000元，截止时间</w:t>
            </w:r>
            <w:r>
              <w:rPr>
                <w:rFonts w:hint="eastAsia" w:ascii="宋体" w:hAnsi="宋体" w:eastAsia="宋体" w:cs="宋体"/>
                <w:color w:val="000000" w:themeColor="text1"/>
                <w:kern w:val="0"/>
                <w:szCs w:val="21"/>
                <w:lang w:eastAsia="zh-CN"/>
                <w14:textFill>
                  <w14:solidFill>
                    <w14:schemeClr w14:val="tx1"/>
                  </w14:solidFill>
                </w14:textFill>
              </w:rPr>
              <w:t>2023年11月28日</w:t>
            </w:r>
            <w:r>
              <w:rPr>
                <w:rFonts w:hint="eastAsia" w:ascii="宋体" w:hAnsi="宋体" w:eastAsia="宋体" w:cs="宋体"/>
                <w:color w:val="000000" w:themeColor="text1"/>
                <w:kern w:val="0"/>
                <w:szCs w:val="21"/>
                <w14:textFill>
                  <w14:solidFill>
                    <w14:schemeClr w14:val="tx1"/>
                  </w14:solidFill>
                </w14:textFill>
              </w:rPr>
              <w:t>16:00止，缴纳办法见附件5。</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2.保证金退还：受让方缴纳的保证金在标的提取完毕后退还，其他竞买方的保证金将于成交后的3个工作日内退还。</w:t>
            </w:r>
          </w:p>
        </w:tc>
      </w:tr>
      <w:tr>
        <w:tblPrEx>
          <w:tblCellMar>
            <w:top w:w="0" w:type="dxa"/>
            <w:left w:w="0" w:type="dxa"/>
            <w:bottom w:w="0" w:type="dxa"/>
            <w:right w:w="0" w:type="dxa"/>
          </w:tblCellMar>
        </w:tblPrEx>
        <w:trPr>
          <w:trHeight w:val="2027" w:hRule="atLeast"/>
        </w:trPr>
        <w:tc>
          <w:tcPr>
            <w:tcW w:w="850"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743" w:type="dxa"/>
            <w:vMerge w:val="restart"/>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竞价安排</w:t>
            </w:r>
          </w:p>
        </w:tc>
        <w:tc>
          <w:tcPr>
            <w:tcW w:w="2203"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竞价方式</w:t>
            </w:r>
          </w:p>
        </w:tc>
        <w:tc>
          <w:tcPr>
            <w:tcW w:w="2078"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加价竞价，竞价阶梯为1000元</w:t>
            </w:r>
          </w:p>
        </w:tc>
        <w:tc>
          <w:tcPr>
            <w:tcW w:w="1562"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竞价办法</w:t>
            </w:r>
          </w:p>
        </w:tc>
        <w:tc>
          <w:tcPr>
            <w:tcW w:w="7202"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tcPr>
          <w:p>
            <w:pPr>
              <w:widowControl/>
              <w:spacing w:beforeLines="100" w:line="300" w:lineRule="atLeas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现场组织三轮报价。第一轮所有报价人不得低于评估价；第二轮报价在第一轮所有人报价中取最高价，然后在此报价基础上按照竞价阶梯要求开始报价；第三轮报价在第二轮所有人报价中取最高价，然后在此报价基础上按照竞价阶梯要求开始报价；三轮报价结束后，第三轮所有人报价最高价为最终中标成交报价。每轮报价结束后若所有人都不进入下一轮报价，则上一轮最高报价为最终中标成交报价。（每轮报价所有报价人根据</w:t>
            </w:r>
            <w:r>
              <w:rPr>
                <w:rFonts w:hint="eastAsia" w:ascii="宋体" w:hAnsi="宋体" w:eastAsia="宋体" w:cs="宋体"/>
                <w:color w:val="000000" w:themeColor="text1"/>
                <w:kern w:val="0"/>
                <w:szCs w:val="21"/>
                <w14:textFill>
                  <w14:solidFill>
                    <w14:schemeClr w14:val="tx1"/>
                  </w14:solidFill>
                </w14:textFill>
              </w:rPr>
              <w:t>奔牛镇建设局提供的报价表填写完整后由工作人员收回，经现场评定后宣布报价结果）</w:t>
            </w:r>
          </w:p>
        </w:tc>
      </w:tr>
      <w:tr>
        <w:tblPrEx>
          <w:tblCellMar>
            <w:top w:w="0" w:type="dxa"/>
            <w:left w:w="0" w:type="dxa"/>
            <w:bottom w:w="0" w:type="dxa"/>
            <w:right w:w="0" w:type="dxa"/>
          </w:tblCellMar>
        </w:tblPrEx>
        <w:trPr>
          <w:trHeight w:val="110" w:hRule="atLeast"/>
        </w:trPr>
        <w:tc>
          <w:tcPr>
            <w:tcW w:w="850"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743" w:type="dxa"/>
            <w:vMerge w:val="continue"/>
            <w:tcBorders>
              <w:top w:val="nil"/>
              <w:left w:val="nil"/>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203"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现场竞价时间</w:t>
            </w:r>
          </w:p>
        </w:tc>
        <w:tc>
          <w:tcPr>
            <w:tcW w:w="10842" w:type="dxa"/>
            <w:gridSpan w:val="3"/>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beforeLines="100" w:line="300" w:lineRule="atLeas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2023年11月</w:t>
            </w:r>
            <w:r>
              <w:rPr>
                <w:rFonts w:hint="eastAsia" w:ascii="宋体" w:hAnsi="宋体" w:eastAsia="宋体" w:cs="宋体"/>
                <w:color w:val="000000" w:themeColor="text1"/>
                <w:kern w:val="0"/>
                <w:szCs w:val="21"/>
                <w:lang w:val="en-US" w:eastAsia="zh-CN"/>
                <w14:textFill>
                  <w14:solidFill>
                    <w14:schemeClr w14:val="tx1"/>
                  </w14:solidFill>
                </w14:textFill>
              </w:rPr>
              <w:t>29</w:t>
            </w:r>
            <w:r>
              <w:rPr>
                <w:rFonts w:hint="eastAsia" w:ascii="宋体" w:hAnsi="宋体" w:eastAsia="宋体" w:cs="宋体"/>
                <w:color w:val="000000" w:themeColor="text1"/>
                <w:kern w:val="0"/>
                <w:szCs w:val="21"/>
                <w14:textFill>
                  <w14:solidFill>
                    <w14:schemeClr w14:val="tx1"/>
                  </w14:solidFill>
                </w14:textFill>
              </w:rPr>
              <w:t>日14:00起（超过该时间未到奔牛镇建设局</w:t>
            </w:r>
            <w:r>
              <w:rPr>
                <w:rFonts w:hint="eastAsia" w:ascii="宋体" w:hAnsi="宋体" w:eastAsia="宋体" w:cs="宋体"/>
                <w:color w:val="000000" w:themeColor="text1"/>
                <w:kern w:val="0"/>
                <w:szCs w:val="21"/>
                <w:lang w:eastAsia="zh-CN"/>
                <w14:textFill>
                  <w14:solidFill>
                    <w14:schemeClr w14:val="tx1"/>
                  </w14:solidFill>
                </w14:textFill>
              </w:rPr>
              <w:t>304</w:t>
            </w:r>
            <w:r>
              <w:rPr>
                <w:rFonts w:hint="eastAsia" w:ascii="宋体" w:hAnsi="宋体" w:eastAsia="宋体" w:cs="宋体"/>
                <w:color w:val="000000" w:themeColor="text1"/>
                <w:kern w:val="0"/>
                <w:szCs w:val="21"/>
                <w14:textFill>
                  <w14:solidFill>
                    <w14:schemeClr w14:val="tx1"/>
                  </w14:solidFill>
                </w14:textFill>
              </w:rPr>
              <w:t>室签到参与报价视同放弃，保证金不予退还）</w:t>
            </w:r>
          </w:p>
        </w:tc>
      </w:tr>
    </w:tbl>
    <w:p>
      <w:pPr>
        <w:widowControl/>
        <w:jc w:val="left"/>
        <w:rPr>
          <w:rFonts w:ascii="宋体" w:hAnsi="宋体" w:eastAsia="宋体" w:cs="宋体"/>
          <w:color w:val="000000" w:themeColor="text1"/>
          <w:kern w:val="0"/>
          <w:szCs w:val="21"/>
          <w14:textFill>
            <w14:solidFill>
              <w14:schemeClr w14:val="tx1"/>
            </w14:solidFill>
          </w14:textFill>
        </w:rPr>
      </w:pPr>
    </w:p>
    <w:tbl>
      <w:tblPr>
        <w:tblStyle w:val="4"/>
        <w:tblW w:w="15598" w:type="dxa"/>
        <w:tblInd w:w="0" w:type="dxa"/>
        <w:tblLayout w:type="fixed"/>
        <w:tblCellMar>
          <w:top w:w="0" w:type="dxa"/>
          <w:left w:w="0" w:type="dxa"/>
          <w:bottom w:w="0" w:type="dxa"/>
          <w:right w:w="0" w:type="dxa"/>
        </w:tblCellMar>
      </w:tblPr>
      <w:tblGrid>
        <w:gridCol w:w="837"/>
        <w:gridCol w:w="1983"/>
        <w:gridCol w:w="12778"/>
      </w:tblGrid>
      <w:tr>
        <w:tblPrEx>
          <w:tblCellMar>
            <w:top w:w="0" w:type="dxa"/>
            <w:left w:w="0" w:type="dxa"/>
            <w:bottom w:w="0" w:type="dxa"/>
            <w:right w:w="0" w:type="dxa"/>
          </w:tblCellMar>
        </w:tblPrEx>
        <w:trPr>
          <w:trHeight w:val="759" w:hRule="atLeast"/>
        </w:trPr>
        <w:tc>
          <w:tcPr>
            <w:tcW w:w="837" w:type="dxa"/>
            <w:vMerge w:val="restart"/>
            <w:tcBorders>
              <w:top w:val="single" w:color="E6E6E6" w:sz="8" w:space="0"/>
              <w:left w:val="single" w:color="E6E6E6" w:sz="8" w:space="0"/>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报名</w:t>
            </w:r>
          </w:p>
        </w:tc>
        <w:tc>
          <w:tcPr>
            <w:tcW w:w="1983" w:type="dxa"/>
            <w:tcBorders>
              <w:top w:val="single" w:color="E6E6E6" w:sz="8" w:space="0"/>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现场报名地址</w:t>
            </w:r>
          </w:p>
        </w:tc>
        <w:tc>
          <w:tcPr>
            <w:tcW w:w="12778" w:type="dxa"/>
            <w:tcBorders>
              <w:top w:val="single" w:color="E6E6E6" w:sz="8" w:space="0"/>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常州市新北区奔牛镇建设局</w:t>
            </w:r>
            <w:r>
              <w:rPr>
                <w:rFonts w:hint="eastAsia" w:ascii="宋体" w:hAnsi="宋体" w:eastAsia="宋体" w:cs="宋体"/>
                <w:color w:val="000000" w:themeColor="text1"/>
                <w:kern w:val="0"/>
                <w:szCs w:val="21"/>
                <w:lang w:eastAsia="zh-CN"/>
                <w14:textFill>
                  <w14:solidFill>
                    <w14:schemeClr w14:val="tx1"/>
                  </w14:solidFill>
                </w14:textFill>
              </w:rPr>
              <w:t>304</w:t>
            </w:r>
            <w:r>
              <w:rPr>
                <w:rFonts w:hint="eastAsia" w:ascii="宋体" w:hAnsi="宋体" w:eastAsia="宋体" w:cs="宋体"/>
                <w:color w:val="000000" w:themeColor="text1"/>
                <w:kern w:val="0"/>
                <w:szCs w:val="21"/>
                <w14:textFill>
                  <w14:solidFill>
                    <w14:schemeClr w14:val="tx1"/>
                  </w14:solidFill>
                </w14:textFill>
              </w:rPr>
              <w:t>室</w:t>
            </w:r>
          </w:p>
        </w:tc>
      </w:tr>
      <w:tr>
        <w:tblPrEx>
          <w:tblCellMar>
            <w:top w:w="0" w:type="dxa"/>
            <w:left w:w="0" w:type="dxa"/>
            <w:bottom w:w="0" w:type="dxa"/>
            <w:right w:w="0" w:type="dxa"/>
          </w:tblCellMar>
        </w:tblPrEx>
        <w:trPr>
          <w:trHeight w:val="666" w:hRule="atLeast"/>
        </w:trPr>
        <w:tc>
          <w:tcPr>
            <w:tcW w:w="837"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3"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咨询时间</w:t>
            </w:r>
          </w:p>
        </w:tc>
        <w:tc>
          <w:tcPr>
            <w:tcW w:w="12778"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自公告之日起至</w:t>
            </w:r>
            <w:r>
              <w:rPr>
                <w:rFonts w:hint="eastAsia" w:ascii="宋体" w:hAnsi="宋体" w:eastAsia="宋体" w:cs="宋体"/>
                <w:color w:val="000000" w:themeColor="text1"/>
                <w:kern w:val="0"/>
                <w:szCs w:val="21"/>
                <w:lang w:eastAsia="zh-CN"/>
                <w14:textFill>
                  <w14:solidFill>
                    <w14:schemeClr w14:val="tx1"/>
                  </w14:solidFill>
                </w14:textFill>
              </w:rPr>
              <w:t>2023年11月28日</w:t>
            </w:r>
            <w:r>
              <w:rPr>
                <w:rFonts w:hint="eastAsia" w:ascii="宋体" w:hAnsi="宋体" w:eastAsia="宋体" w:cs="宋体"/>
                <w:color w:val="000000" w:themeColor="text1"/>
                <w:kern w:val="0"/>
                <w:szCs w:val="21"/>
                <w14:textFill>
                  <w14:solidFill>
                    <w14:schemeClr w14:val="tx1"/>
                  </w14:solidFill>
                </w14:textFill>
              </w:rPr>
              <w:t>16：00止（节假日除外）</w:t>
            </w:r>
          </w:p>
        </w:tc>
      </w:tr>
      <w:tr>
        <w:tblPrEx>
          <w:tblCellMar>
            <w:top w:w="0" w:type="dxa"/>
            <w:left w:w="0" w:type="dxa"/>
            <w:bottom w:w="0" w:type="dxa"/>
            <w:right w:w="0" w:type="dxa"/>
          </w:tblCellMar>
        </w:tblPrEx>
        <w:trPr>
          <w:trHeight w:val="759" w:hRule="atLeast"/>
        </w:trPr>
        <w:tc>
          <w:tcPr>
            <w:tcW w:w="837"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3"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w:t>
            </w:r>
          </w:p>
        </w:tc>
        <w:tc>
          <w:tcPr>
            <w:tcW w:w="12778"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widowControl/>
              <w:spacing w:line="300" w:lineRule="atLeas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周健</w:t>
            </w:r>
          </w:p>
        </w:tc>
      </w:tr>
      <w:tr>
        <w:tblPrEx>
          <w:tblCellMar>
            <w:top w:w="0" w:type="dxa"/>
            <w:left w:w="0" w:type="dxa"/>
            <w:bottom w:w="0" w:type="dxa"/>
            <w:right w:w="0" w:type="dxa"/>
          </w:tblCellMar>
        </w:tblPrEx>
        <w:trPr>
          <w:trHeight w:val="911" w:hRule="atLeast"/>
        </w:trPr>
        <w:tc>
          <w:tcPr>
            <w:tcW w:w="837" w:type="dxa"/>
            <w:vMerge w:val="continue"/>
            <w:tcBorders>
              <w:top w:val="single" w:color="E6E6E6" w:sz="8" w:space="0"/>
              <w:left w:val="single" w:color="E6E6E6" w:sz="8" w:space="0"/>
              <w:bottom w:val="single" w:color="E6E6E6" w:sz="8" w:space="0"/>
              <w:right w:val="single" w:color="E6E6E6"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3" w:type="dxa"/>
            <w:tcBorders>
              <w:top w:val="nil"/>
              <w:left w:val="nil"/>
              <w:bottom w:val="single" w:color="E6E6E6" w:sz="8" w:space="0"/>
              <w:right w:val="single" w:color="E6E6E6" w:sz="8" w:space="0"/>
            </w:tcBorders>
            <w:shd w:val="clear" w:color="auto" w:fill="F5F5F5"/>
            <w:tcMar>
              <w:top w:w="120" w:type="dxa"/>
              <w:left w:w="120" w:type="dxa"/>
              <w:bottom w:w="120" w:type="dxa"/>
              <w:right w:w="120" w:type="dxa"/>
            </w:tcMar>
            <w:vAlign w:val="center"/>
          </w:tcPr>
          <w:p>
            <w:pPr>
              <w:widowControl/>
              <w:spacing w:line="300"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联系方式</w:t>
            </w:r>
          </w:p>
        </w:tc>
        <w:tc>
          <w:tcPr>
            <w:tcW w:w="12778" w:type="dxa"/>
            <w:tcBorders>
              <w:top w:val="nil"/>
              <w:left w:val="nil"/>
              <w:bottom w:val="single" w:color="E6E6E6" w:sz="8" w:space="0"/>
              <w:right w:val="single" w:color="E6E6E6" w:sz="8" w:space="0"/>
            </w:tcBorders>
            <w:shd w:val="clear" w:color="auto" w:fill="auto"/>
            <w:tcMar>
              <w:top w:w="120" w:type="dxa"/>
              <w:left w:w="120" w:type="dxa"/>
              <w:bottom w:w="120" w:type="dxa"/>
              <w:right w:w="120" w:type="dxa"/>
            </w:tcMar>
            <w:vAlign w:val="center"/>
          </w:tcPr>
          <w:p>
            <w:pPr>
              <w:spacing w:before="100" w:after="240" w:line="500" w:lineRule="exact"/>
              <w:outlineLvl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0519-83</w:t>
            </w:r>
            <w:r>
              <w:rPr>
                <w:rFonts w:hint="eastAsia" w:ascii="宋体" w:hAnsi="宋体" w:eastAsia="宋体" w:cs="宋体"/>
                <w:color w:val="000000" w:themeColor="text1"/>
                <w:kern w:val="0"/>
                <w:szCs w:val="21"/>
                <w:lang w:val="en-US" w:eastAsia="zh-CN"/>
                <w14:textFill>
                  <w14:solidFill>
                    <w14:schemeClr w14:val="tx1"/>
                  </w14:solidFill>
                </w14:textFill>
              </w:rPr>
              <w:t>212819</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上述个人信息由于工作需要经本人同意对外公布。</w:t>
            </w:r>
            <w:r>
              <w:rPr>
                <w:rFonts w:hint="eastAsia" w:ascii="宋体" w:hAnsi="宋体" w:eastAsia="宋体" w:cs="宋体"/>
                <w:color w:val="000000" w:themeColor="text1"/>
                <w:kern w:val="0"/>
                <w:szCs w:val="21"/>
                <w14:textFill>
                  <w14:solidFill>
                    <w14:schemeClr w14:val="tx1"/>
                  </w14:solidFill>
                </w14:textFill>
              </w:rPr>
              <w:t>）</w:t>
            </w:r>
          </w:p>
        </w:tc>
      </w:tr>
    </w:tbl>
    <w:p>
      <w:pPr>
        <w:pStyle w:val="2"/>
        <w:rPr>
          <w:rFonts w:ascii="宋体" w:hAnsi="宋体" w:eastAsia="宋体" w:cs="宋体"/>
          <w:b/>
          <w:color w:val="000000" w:themeColor="text1"/>
          <w:szCs w:val="21"/>
          <w14:textFill>
            <w14:solidFill>
              <w14:schemeClr w14:val="tx1"/>
            </w14:solidFill>
          </w14:textFill>
        </w:rPr>
      </w:pPr>
    </w:p>
    <w:p>
      <w:pPr>
        <w:pStyle w:val="2"/>
        <w:rPr>
          <w:rFonts w:ascii="宋体" w:hAnsi="宋体" w:eastAsia="宋体" w:cs="宋体"/>
          <w:b/>
          <w:color w:val="000000" w:themeColor="text1"/>
          <w:sz w:val="21"/>
          <w:szCs w:val="21"/>
          <w14:textFill>
            <w14:solidFill>
              <w14:schemeClr w14:val="tx1"/>
            </w14:solidFill>
          </w14:textFill>
        </w:rPr>
      </w:pPr>
    </w:p>
    <w:p>
      <w:pPr>
        <w:pStyle w:val="2"/>
        <w:rPr>
          <w:color w:val="000000" w:themeColor="text1"/>
          <w14:textFill>
            <w14:solidFill>
              <w14:schemeClr w14:val="tx1"/>
            </w14:solidFill>
          </w14:textFill>
        </w:rPr>
      </w:pPr>
    </w:p>
    <w:p>
      <w:pPr>
        <w:spacing w:line="460" w:lineRule="exac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 xml:space="preserve">附件2： </w:t>
      </w:r>
    </w:p>
    <w:p>
      <w:pPr>
        <w:spacing w:line="460" w:lineRule="exact"/>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highlight w:val="white"/>
          <w14:textFill>
            <w14:solidFill>
              <w14:schemeClr w14:val="tx1"/>
            </w14:solidFill>
          </w14:textFill>
        </w:rPr>
        <w:t>投标保证金</w:t>
      </w:r>
      <w:r>
        <w:rPr>
          <w:rFonts w:hint="eastAsia" w:ascii="宋体" w:hAnsi="宋体" w:eastAsia="宋体" w:cs="宋体"/>
          <w:b/>
          <w:color w:val="000000" w:themeColor="text1"/>
          <w:szCs w:val="21"/>
          <w14:textFill>
            <w14:solidFill>
              <w14:schemeClr w14:val="tx1"/>
            </w14:solidFill>
          </w14:textFill>
        </w:rPr>
        <w:t>说明</w:t>
      </w:r>
    </w:p>
    <w:p>
      <w:pPr>
        <w:spacing w:line="4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white"/>
          <w14:textFill>
            <w14:solidFill>
              <w14:schemeClr w14:val="tx1"/>
            </w14:solidFill>
          </w14:textFill>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b/>
          <w:color w:val="000000" w:themeColor="text1"/>
          <w:szCs w:val="21"/>
          <w:u w:val="single"/>
          <w:lang w:eastAsia="zh-CN"/>
          <w14:textFill>
            <w14:solidFill>
              <w14:schemeClr w14:val="tx1"/>
            </w14:solidFill>
          </w14:textFill>
        </w:rPr>
        <w:t>2023年11月28日</w:t>
      </w:r>
      <w:r>
        <w:rPr>
          <w:rFonts w:hint="eastAsia" w:ascii="宋体" w:hAnsi="宋体" w:eastAsia="宋体" w:cs="宋体"/>
          <w:b/>
          <w:color w:val="000000" w:themeColor="text1"/>
          <w:szCs w:val="21"/>
          <w:u w:val="single"/>
          <w14:textFill>
            <w14:solidFill>
              <w14:schemeClr w14:val="tx1"/>
            </w14:solidFill>
          </w14:textFill>
        </w:rPr>
        <w:t>16：00</w:t>
      </w:r>
      <w:r>
        <w:rPr>
          <w:rFonts w:hint="eastAsia" w:ascii="宋体" w:hAnsi="宋体" w:eastAsia="宋体" w:cs="宋体"/>
          <w:color w:val="000000" w:themeColor="text1"/>
          <w:szCs w:val="21"/>
          <w:highlight w:val="white"/>
          <w14:textFill>
            <w14:solidFill>
              <w14:schemeClr w14:val="tx1"/>
            </w14:solidFill>
          </w14:textFill>
        </w:rPr>
        <w:t>到达投标保证金专用账户。如投标保证金在</w:t>
      </w:r>
      <w:r>
        <w:rPr>
          <w:rFonts w:hint="eastAsia" w:ascii="宋体" w:hAnsi="宋体" w:eastAsia="宋体" w:cs="宋体"/>
          <w:b/>
          <w:color w:val="000000" w:themeColor="text1"/>
          <w:szCs w:val="21"/>
          <w:u w:val="single"/>
          <w:lang w:eastAsia="zh-CN"/>
          <w14:textFill>
            <w14:solidFill>
              <w14:schemeClr w14:val="tx1"/>
            </w14:solidFill>
          </w14:textFill>
        </w:rPr>
        <w:t>2023年11月28日</w:t>
      </w:r>
      <w:r>
        <w:rPr>
          <w:rFonts w:hint="eastAsia" w:ascii="宋体" w:hAnsi="宋体" w:eastAsia="宋体" w:cs="宋体"/>
          <w:b/>
          <w:color w:val="000000" w:themeColor="text1"/>
          <w:szCs w:val="21"/>
          <w:u w:val="single"/>
          <w14:textFill>
            <w14:solidFill>
              <w14:schemeClr w14:val="tx1"/>
            </w14:solidFill>
          </w14:textFill>
        </w:rPr>
        <w:t>16：00</w:t>
      </w:r>
      <w:r>
        <w:rPr>
          <w:rFonts w:hint="eastAsia" w:ascii="宋体" w:hAnsi="宋体" w:eastAsia="宋体" w:cs="宋体"/>
          <w:color w:val="000000" w:themeColor="text1"/>
          <w:szCs w:val="21"/>
          <w:highlight w:val="white"/>
          <w14:textFill>
            <w14:solidFill>
              <w14:schemeClr w14:val="tx1"/>
            </w14:solidFill>
          </w14:textFill>
        </w:rPr>
        <w:t>未到账，作未缴纳投标保证金处理。</w:t>
      </w:r>
    </w:p>
    <w:p>
      <w:pPr>
        <w:spacing w:line="4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white"/>
          <w14:textFill>
            <w14:solidFill>
              <w14:schemeClr w14:val="tx1"/>
            </w14:solidFill>
          </w14:textFill>
        </w:rPr>
        <w:t>2、投标保证金递交的要求如下：</w:t>
      </w:r>
    </w:p>
    <w:p>
      <w:pPr>
        <w:spacing w:line="44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（1）投标保证金专用账户：</w:t>
      </w:r>
    </w:p>
    <w:p>
      <w:pPr>
        <w:widowControl/>
        <w:spacing w:line="440" w:lineRule="exact"/>
        <w:ind w:firstLine="420"/>
        <w:rPr>
          <w:color w:val="000000" w:themeColor="text1"/>
          <w14:textFill>
            <w14:solidFill>
              <w14:schemeClr w14:val="tx1"/>
            </w14:solidFill>
          </w14:textFill>
        </w:rPr>
      </w:pPr>
      <w:r>
        <w:rPr>
          <w:rFonts w:hint="eastAsia" w:ascii="宋体" w:hAnsi="宋体" w:eastAsia="宋体" w:cs="宋体"/>
          <w:color w:val="000000" w:themeColor="text1"/>
          <w:szCs w:val="21"/>
          <w:highlight w:val="white"/>
          <w14:textFill>
            <w14:solidFill>
              <w14:schemeClr w14:val="tx1"/>
            </w14:solidFill>
          </w14:textFill>
        </w:rPr>
        <w:t>户名:</w:t>
      </w:r>
      <w:r>
        <w:rPr>
          <w:rFonts w:hint="eastAsia" w:ascii="宋体" w:hAnsi="宋体" w:eastAsia="宋体" w:cs="宋体"/>
          <w:snapToGrid w:val="0"/>
          <w:color w:val="000000" w:themeColor="text1"/>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奔牛镇财政和资产管理局</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highlight w:val="white"/>
          <w14:textFill>
            <w14:solidFill>
              <w14:schemeClr w14:val="tx1"/>
            </w14:solidFill>
          </w14:textFill>
        </w:rPr>
        <w:t>账号：</w:t>
      </w:r>
      <w:r>
        <w:rPr>
          <w:rFonts w:hint="eastAsia" w:ascii="宋体" w:hAnsi="宋体" w:eastAsia="宋体" w:cs="宋体"/>
          <w:color w:val="000000" w:themeColor="text1"/>
          <w:szCs w:val="21"/>
          <w14:textFill>
            <w14:solidFill>
              <w14:schemeClr w14:val="tx1"/>
            </w14:solidFill>
          </w14:textFill>
        </w:rPr>
        <w:t xml:space="preserve">711605601040014262     </w:t>
      </w:r>
      <w:r>
        <w:rPr>
          <w:rFonts w:hint="eastAsia" w:ascii="宋体" w:hAnsi="宋体" w:eastAsia="宋体" w:cs="宋体"/>
          <w:color w:val="000000" w:themeColor="text1"/>
          <w:szCs w:val="21"/>
          <w:highlight w:val="white"/>
          <w14:textFill>
            <w14:solidFill>
              <w14:schemeClr w14:val="tx1"/>
            </w14:solidFill>
          </w14:textFill>
        </w:rPr>
        <w:t>开户银行：</w:t>
      </w:r>
      <w:r>
        <w:rPr>
          <w:rFonts w:hint="eastAsia" w:ascii="宋体" w:hAnsi="宋体" w:eastAsia="宋体" w:cs="宋体"/>
          <w:color w:val="000000" w:themeColor="text1"/>
          <w:szCs w:val="21"/>
          <w14:textFill>
            <w14:solidFill>
              <w14:schemeClr w14:val="tx1"/>
            </w14:solidFill>
          </w14:textFill>
        </w:rPr>
        <w:t>奔牛农行</w:t>
      </w:r>
    </w:p>
    <w:p>
      <w:pPr>
        <w:spacing w:line="360" w:lineRule="auto"/>
        <w:ind w:firstLine="42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联系人:徐女士，电话0519-81289518</w:t>
      </w:r>
    </w:p>
    <w:p>
      <w:pPr>
        <w:pStyle w:val="2"/>
        <w:ind w:firstLine="360" w:firstLineChars="200"/>
        <w:rPr>
          <w:rFonts w:eastAsia="微软雅黑"/>
          <w:b/>
          <w:bCs/>
          <w:color w:val="000000" w:themeColor="text1"/>
          <w14:textFill>
            <w14:solidFill>
              <w14:schemeClr w14:val="tx1"/>
            </w14:solidFill>
          </w14:textFill>
        </w:rPr>
      </w:pPr>
      <w:r>
        <w:rPr>
          <w:rFonts w:ascii="微软雅黑" w:hAnsi="微软雅黑" w:eastAsia="微软雅黑" w:cs="微软雅黑"/>
          <w:color w:val="000000" w:themeColor="text1"/>
          <w:shd w:val="clear" w:color="auto" w:fill="FFFFFF"/>
          <w14:textFill>
            <w14:solidFill>
              <w14:schemeClr w14:val="tx1"/>
            </w14:solidFill>
          </w14:textFill>
        </w:rPr>
        <w:t>上述信息由于工作需要经机构同意后对外公布</w:t>
      </w:r>
      <w:r>
        <w:rPr>
          <w:rFonts w:hint="eastAsia" w:ascii="微软雅黑" w:hAnsi="微软雅黑" w:eastAsia="微软雅黑" w:cs="微软雅黑"/>
          <w:color w:val="000000" w:themeColor="text1"/>
          <w:shd w:val="clear" w:color="auto" w:fill="FFFFFF"/>
          <w14:textFill>
            <w14:solidFill>
              <w14:schemeClr w14:val="tx1"/>
            </w14:solidFill>
          </w14:textFill>
        </w:rPr>
        <w:t>。</w:t>
      </w:r>
    </w:p>
    <w:p>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（2）投标保证金金额：</w:t>
      </w:r>
    </w:p>
    <w:p>
      <w:pPr>
        <w:widowControl/>
        <w:snapToGrid w:val="0"/>
        <w:spacing w:line="380" w:lineRule="exact"/>
        <w:ind w:firstLine="560"/>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本标段投标保证金金额为人民币</w:t>
      </w:r>
      <w:r>
        <w:rPr>
          <w:rFonts w:hint="eastAsia" w:ascii="宋体" w:hAnsi="宋体" w:eastAsia="宋体" w:cs="宋体"/>
          <w:color w:val="000000" w:themeColor="text1"/>
          <w:szCs w:val="21"/>
          <w:lang w:val="en-US" w:eastAsia="zh-CN"/>
          <w14:textFill>
            <w14:solidFill>
              <w14:schemeClr w14:val="tx1"/>
            </w14:solidFill>
          </w14:textFill>
        </w:rPr>
        <w:t>伍仟元</w:t>
      </w:r>
      <w:r>
        <w:rPr>
          <w:rFonts w:hint="eastAsia" w:ascii="宋体" w:hAnsi="宋体" w:eastAsia="宋体" w:cs="宋体"/>
          <w:color w:val="000000" w:themeColor="text1"/>
          <w:szCs w:val="21"/>
          <w14:textFill>
            <w14:solidFill>
              <w14:schemeClr w14:val="tx1"/>
            </w14:solidFill>
          </w14:textFill>
        </w:rPr>
        <w:t>整，必须在</w:t>
      </w:r>
      <w:r>
        <w:rPr>
          <w:rFonts w:hint="eastAsia" w:ascii="宋体" w:hAnsi="宋体" w:eastAsia="宋体" w:cs="宋体"/>
          <w:b/>
          <w:color w:val="000000" w:themeColor="text1"/>
          <w:szCs w:val="21"/>
          <w:u w:val="single"/>
          <w:lang w:eastAsia="zh-CN"/>
          <w14:textFill>
            <w14:solidFill>
              <w14:schemeClr w14:val="tx1"/>
            </w14:solidFill>
          </w14:textFill>
        </w:rPr>
        <w:t>2023年11月28日</w:t>
      </w:r>
      <w:r>
        <w:rPr>
          <w:rFonts w:hint="eastAsia" w:ascii="宋体" w:hAnsi="宋体" w:eastAsia="宋体" w:cs="宋体"/>
          <w:b/>
          <w:color w:val="000000" w:themeColor="text1"/>
          <w:szCs w:val="21"/>
          <w:u w:val="single"/>
          <w14:textFill>
            <w14:solidFill>
              <w14:schemeClr w14:val="tx1"/>
            </w14:solidFill>
          </w14:textFill>
        </w:rPr>
        <w:t>16：00</w:t>
      </w:r>
      <w:r>
        <w:rPr>
          <w:rFonts w:hint="eastAsia" w:ascii="宋体" w:hAnsi="宋体" w:eastAsia="宋体" w:cs="宋体"/>
          <w:color w:val="000000" w:themeColor="text1"/>
          <w:szCs w:val="21"/>
          <w14:textFill>
            <w14:solidFill>
              <w14:schemeClr w14:val="tx1"/>
            </w14:solidFill>
          </w14:textFill>
        </w:rPr>
        <w:t>前用转账支票、电汇、网上银行等方式（现金除外）自行将保证金从基本账户解进到保证金专用账户。</w:t>
      </w:r>
    </w:p>
    <w:p>
      <w:pPr>
        <w:spacing w:line="440" w:lineRule="exact"/>
        <w:ind w:firstLine="315" w:firstLineChars="1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投标单位缴纳投标保证金后，凭银行进账单到奔牛镇财政和资产管理局开具投标保证金付款凭证【保证金付款凭证必须在</w:t>
      </w:r>
      <w:r>
        <w:rPr>
          <w:rFonts w:hint="eastAsia" w:ascii="宋体" w:hAnsi="宋体" w:eastAsia="宋体" w:cs="宋体"/>
          <w:b/>
          <w:color w:val="000000" w:themeColor="text1"/>
          <w:szCs w:val="21"/>
          <w:u w:val="single"/>
          <w:lang w:eastAsia="zh-CN"/>
          <w14:textFill>
            <w14:solidFill>
              <w14:schemeClr w14:val="tx1"/>
            </w14:solidFill>
          </w14:textFill>
        </w:rPr>
        <w:t>2023年11月28日</w:t>
      </w:r>
      <w:r>
        <w:rPr>
          <w:rFonts w:hint="eastAsia" w:ascii="宋体" w:hAnsi="宋体" w:eastAsia="宋体" w:cs="宋体"/>
          <w:b/>
          <w:color w:val="000000" w:themeColor="text1"/>
          <w:szCs w:val="21"/>
          <w:u w:val="single"/>
          <w14:textFill>
            <w14:solidFill>
              <w14:schemeClr w14:val="tx1"/>
            </w14:solidFill>
          </w14:textFill>
        </w:rPr>
        <w:t>16：00</w:t>
      </w:r>
      <w:r>
        <w:rPr>
          <w:rFonts w:hint="eastAsia" w:ascii="宋体" w:hAnsi="宋体" w:eastAsia="宋体" w:cs="宋体"/>
          <w:color w:val="000000" w:themeColor="text1"/>
          <w:kern w:val="0"/>
          <w:szCs w:val="21"/>
          <w14:textFill>
            <w14:solidFill>
              <w14:schemeClr w14:val="tx1"/>
            </w14:solidFill>
          </w14:textFill>
        </w:rPr>
        <w:t>到账并换取，若已到账却没在规定时间来换取的，逾期不再换取】，奔牛镇财政和资产管理局不受理解款事项（第一次到奔牛镇财政和资产管理局提交投标保证金的报名单位需携带本单位的基本账户《开户许可证》原件及一份盖有公章的复印件，留存盖有公章的复印件审核）。</w:t>
      </w:r>
    </w:p>
    <w:p>
      <w:pPr>
        <w:widowControl/>
        <w:spacing w:line="440" w:lineRule="exact"/>
        <w:ind w:firstLine="420" w:firstLineChars="200"/>
        <w:rPr>
          <w:rFonts w:ascii="宋体" w:hAnsi="宋体" w:eastAsia="宋体" w:cs="宋体"/>
          <w:color w:val="000000" w:themeColor="text1"/>
          <w:szCs w:val="21"/>
          <w:highlight w:val="white"/>
          <w14:textFill>
            <w14:solidFill>
              <w14:schemeClr w14:val="tx1"/>
            </w14:solidFill>
          </w14:textFill>
        </w:rPr>
      </w:pPr>
      <w:r>
        <w:rPr>
          <w:rFonts w:hint="eastAsia" w:ascii="宋体" w:hAnsi="宋体" w:eastAsia="宋体" w:cs="宋体"/>
          <w:color w:val="000000" w:themeColor="text1"/>
          <w:szCs w:val="21"/>
          <w:highlight w:val="white"/>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保证金退还：受让方缴纳的保证金在标的提取完毕后退还，其他竞买方的保证金将于成交后的3个工作日内退还。</w:t>
      </w:r>
    </w:p>
    <w:p>
      <w:pPr>
        <w:spacing w:line="460" w:lineRule="exact"/>
        <w:ind w:right="-57" w:rightChars="-27"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注：有下列情形之一的,保证金不予退还：①竞价开始后不参与竞价的；其保证金将不予退还;②竞价中标人放弃中标,无正当理由不与招标人签订《资产交割书》或提出不正当理由附加条件, ③在签订《资产交割书》后不按照规定在成交之日起 3个工作日内向奔牛镇人民政府支付交易款项的；③投标人涉嫌违法违规或被投诉,在调查处理期间,保证金暂不退还,待调查处理结果明确后按规定处理;④此公告标底交割条件中所规定的;⑤法律法规或招标文件规定的其他情形。</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53EB9"/>
    <w:multiLevelType w:val="singleLevel"/>
    <w:tmpl w:val="54F53EB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ZTBhNmIyMTI1MThlMjE0NjhjYTM4ZTQ0NmE3ZmQifQ=="/>
  </w:docVars>
  <w:rsids>
    <w:rsidRoot w:val="00DD1D67"/>
    <w:rsid w:val="000726E8"/>
    <w:rsid w:val="000C0F5F"/>
    <w:rsid w:val="000E5B5A"/>
    <w:rsid w:val="00166E55"/>
    <w:rsid w:val="00171C28"/>
    <w:rsid w:val="001D33E0"/>
    <w:rsid w:val="00211936"/>
    <w:rsid w:val="00241D04"/>
    <w:rsid w:val="0036417D"/>
    <w:rsid w:val="003E6743"/>
    <w:rsid w:val="00403F7C"/>
    <w:rsid w:val="004B756D"/>
    <w:rsid w:val="004F5A06"/>
    <w:rsid w:val="00507839"/>
    <w:rsid w:val="005461C0"/>
    <w:rsid w:val="00582D95"/>
    <w:rsid w:val="005C6164"/>
    <w:rsid w:val="005D5543"/>
    <w:rsid w:val="0061595B"/>
    <w:rsid w:val="00676E44"/>
    <w:rsid w:val="00692405"/>
    <w:rsid w:val="006C1D44"/>
    <w:rsid w:val="00767A51"/>
    <w:rsid w:val="007D44A8"/>
    <w:rsid w:val="008316CD"/>
    <w:rsid w:val="008358DB"/>
    <w:rsid w:val="00974811"/>
    <w:rsid w:val="00B1691E"/>
    <w:rsid w:val="00B80CC8"/>
    <w:rsid w:val="00B853A5"/>
    <w:rsid w:val="00C350AF"/>
    <w:rsid w:val="00C4509C"/>
    <w:rsid w:val="00CD2BB7"/>
    <w:rsid w:val="00DD009B"/>
    <w:rsid w:val="00DD1D67"/>
    <w:rsid w:val="00EF1168"/>
    <w:rsid w:val="00F04FFD"/>
    <w:rsid w:val="00F41ADD"/>
    <w:rsid w:val="00F42166"/>
    <w:rsid w:val="00F47AC3"/>
    <w:rsid w:val="00F57ACF"/>
    <w:rsid w:val="00FC032E"/>
    <w:rsid w:val="00FC58B4"/>
    <w:rsid w:val="0104769C"/>
    <w:rsid w:val="028D63CE"/>
    <w:rsid w:val="04932CE9"/>
    <w:rsid w:val="04F73278"/>
    <w:rsid w:val="0A507140"/>
    <w:rsid w:val="0B1C66FB"/>
    <w:rsid w:val="0C7C4062"/>
    <w:rsid w:val="0C7D0506"/>
    <w:rsid w:val="0D646FD0"/>
    <w:rsid w:val="0F0C791F"/>
    <w:rsid w:val="115D471B"/>
    <w:rsid w:val="12386851"/>
    <w:rsid w:val="16454DFB"/>
    <w:rsid w:val="16BF34C9"/>
    <w:rsid w:val="173D00E0"/>
    <w:rsid w:val="198527A8"/>
    <w:rsid w:val="19D674A8"/>
    <w:rsid w:val="1ACB4B33"/>
    <w:rsid w:val="1CAE3561"/>
    <w:rsid w:val="1E0C4C6C"/>
    <w:rsid w:val="1F7F7C9A"/>
    <w:rsid w:val="1F9B3EFF"/>
    <w:rsid w:val="213C22E6"/>
    <w:rsid w:val="21D20555"/>
    <w:rsid w:val="22E06CA1"/>
    <w:rsid w:val="252235A1"/>
    <w:rsid w:val="25D67128"/>
    <w:rsid w:val="26CA18E3"/>
    <w:rsid w:val="28893937"/>
    <w:rsid w:val="2940744F"/>
    <w:rsid w:val="2AED63FF"/>
    <w:rsid w:val="2DA90D03"/>
    <w:rsid w:val="2DB23588"/>
    <w:rsid w:val="2E382087"/>
    <w:rsid w:val="2FE5295C"/>
    <w:rsid w:val="307A5AD0"/>
    <w:rsid w:val="31382B3E"/>
    <w:rsid w:val="317E6003"/>
    <w:rsid w:val="346516FC"/>
    <w:rsid w:val="34967B08"/>
    <w:rsid w:val="365C5ED4"/>
    <w:rsid w:val="38510510"/>
    <w:rsid w:val="38FC1B86"/>
    <w:rsid w:val="3A392F40"/>
    <w:rsid w:val="3A847593"/>
    <w:rsid w:val="3A9C66C7"/>
    <w:rsid w:val="3B336F28"/>
    <w:rsid w:val="3BBD1E1E"/>
    <w:rsid w:val="3BE178BA"/>
    <w:rsid w:val="3C2B4FD9"/>
    <w:rsid w:val="4002217F"/>
    <w:rsid w:val="40DB64F0"/>
    <w:rsid w:val="41AC096A"/>
    <w:rsid w:val="42F325FA"/>
    <w:rsid w:val="43CA790F"/>
    <w:rsid w:val="44703ED1"/>
    <w:rsid w:val="46035FA6"/>
    <w:rsid w:val="481E2B2F"/>
    <w:rsid w:val="4A6A13C3"/>
    <w:rsid w:val="4C7D3099"/>
    <w:rsid w:val="4F011869"/>
    <w:rsid w:val="4FB219E2"/>
    <w:rsid w:val="4FF40996"/>
    <w:rsid w:val="500A254B"/>
    <w:rsid w:val="529C2E9E"/>
    <w:rsid w:val="530A3743"/>
    <w:rsid w:val="53DB6E8D"/>
    <w:rsid w:val="571B5F1F"/>
    <w:rsid w:val="58EF2744"/>
    <w:rsid w:val="58F20F01"/>
    <w:rsid w:val="59B77A55"/>
    <w:rsid w:val="5AB53F94"/>
    <w:rsid w:val="5C6F4617"/>
    <w:rsid w:val="5E48511F"/>
    <w:rsid w:val="60284EA3"/>
    <w:rsid w:val="61653961"/>
    <w:rsid w:val="61BB0543"/>
    <w:rsid w:val="630911F5"/>
    <w:rsid w:val="63184B43"/>
    <w:rsid w:val="63EB4ECB"/>
    <w:rsid w:val="6412030C"/>
    <w:rsid w:val="655D3BA6"/>
    <w:rsid w:val="65E635B0"/>
    <w:rsid w:val="661E01F6"/>
    <w:rsid w:val="699B23BE"/>
    <w:rsid w:val="6AF20D86"/>
    <w:rsid w:val="6CA30161"/>
    <w:rsid w:val="6D2154B9"/>
    <w:rsid w:val="6E6F683C"/>
    <w:rsid w:val="71035E00"/>
    <w:rsid w:val="715414DE"/>
    <w:rsid w:val="71731E2A"/>
    <w:rsid w:val="71913901"/>
    <w:rsid w:val="727A76B3"/>
    <w:rsid w:val="73404942"/>
    <w:rsid w:val="73A25A95"/>
    <w:rsid w:val="74810915"/>
    <w:rsid w:val="7521126C"/>
    <w:rsid w:val="75A1188D"/>
    <w:rsid w:val="78233F00"/>
    <w:rsid w:val="78B3212A"/>
    <w:rsid w:val="78BE2756"/>
    <w:rsid w:val="7A173ECC"/>
    <w:rsid w:val="7BAE260E"/>
    <w:rsid w:val="7CE7246B"/>
    <w:rsid w:val="7DF36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apple-converted-space"/>
    <w:basedOn w:val="6"/>
    <w:qFormat/>
    <w:uiPriority w:val="0"/>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font71"/>
    <w:basedOn w:val="6"/>
    <w:qFormat/>
    <w:uiPriority w:val="0"/>
    <w:rPr>
      <w:rFonts w:hint="default" w:ascii="Times New Roman" w:hAnsi="Times New Roman" w:cs="Times New Roman"/>
      <w:b/>
      <w:bCs/>
      <w:color w:val="000000"/>
      <w:sz w:val="36"/>
      <w:szCs w:val="36"/>
      <w:u w:val="none"/>
    </w:rPr>
  </w:style>
  <w:style w:type="character" w:customStyle="1" w:styleId="12">
    <w:name w:val="font121"/>
    <w:basedOn w:val="6"/>
    <w:qFormat/>
    <w:uiPriority w:val="0"/>
    <w:rPr>
      <w:rFonts w:hint="eastAsia" w:ascii="宋体" w:hAnsi="宋体" w:eastAsia="宋体" w:cs="宋体"/>
      <w:b/>
      <w:bCs/>
      <w:color w:val="000000"/>
      <w:sz w:val="36"/>
      <w:szCs w:val="36"/>
      <w:u w:val="none"/>
    </w:rPr>
  </w:style>
  <w:style w:type="character" w:customStyle="1" w:styleId="13">
    <w:name w:val="font21"/>
    <w:basedOn w:val="6"/>
    <w:qFormat/>
    <w:uiPriority w:val="0"/>
    <w:rPr>
      <w:rFonts w:hint="default" w:ascii="Times New Roman" w:hAnsi="Times New Roman" w:cs="Times New Roman"/>
      <w:b/>
      <w:bCs/>
      <w:color w:val="000000"/>
      <w:sz w:val="20"/>
      <w:szCs w:val="20"/>
      <w:u w:val="none"/>
    </w:rPr>
  </w:style>
  <w:style w:type="character" w:customStyle="1" w:styleId="14">
    <w:name w:val="font81"/>
    <w:basedOn w:val="6"/>
    <w:qFormat/>
    <w:uiPriority w:val="0"/>
    <w:rPr>
      <w:rFonts w:hint="eastAsia" w:ascii="宋体" w:hAnsi="宋体" w:eastAsia="宋体" w:cs="宋体"/>
      <w:b/>
      <w:bCs/>
      <w:color w:val="000000"/>
      <w:sz w:val="18"/>
      <w:szCs w:val="18"/>
      <w:u w:val="none"/>
    </w:rPr>
  </w:style>
  <w:style w:type="character" w:customStyle="1" w:styleId="15">
    <w:name w:val="font91"/>
    <w:basedOn w:val="6"/>
    <w:qFormat/>
    <w:uiPriority w:val="0"/>
    <w:rPr>
      <w:rFonts w:hint="default" w:ascii="Times New Roman" w:hAnsi="Times New Roman" w:cs="Times New Roman"/>
      <w:b/>
      <w:bCs/>
      <w:color w:val="000000"/>
      <w:sz w:val="18"/>
      <w:szCs w:val="18"/>
      <w:u w:val="none"/>
    </w:rPr>
  </w:style>
  <w:style w:type="character" w:customStyle="1" w:styleId="16">
    <w:name w:val="font51"/>
    <w:basedOn w:val="6"/>
    <w:qFormat/>
    <w:uiPriority w:val="0"/>
    <w:rPr>
      <w:rFonts w:hint="eastAsia" w:ascii="宋体" w:hAnsi="宋体" w:eastAsia="宋体" w:cs="宋体"/>
      <w:b/>
      <w:bCs/>
      <w:color w:val="000000"/>
      <w:sz w:val="20"/>
      <w:szCs w:val="20"/>
      <w:u w:val="none"/>
    </w:rPr>
  </w:style>
  <w:style w:type="character" w:customStyle="1" w:styleId="17">
    <w:name w:val="font31"/>
    <w:basedOn w:val="6"/>
    <w:qFormat/>
    <w:uiPriority w:val="0"/>
    <w:rPr>
      <w:rFonts w:hint="default" w:ascii="Times New Roman" w:hAnsi="Times New Roman" w:cs="Times New Roman"/>
      <w:b/>
      <w:bCs/>
      <w:color w:val="000000"/>
      <w:sz w:val="20"/>
      <w:szCs w:val="20"/>
      <w:u w:val="none"/>
    </w:rPr>
  </w:style>
  <w:style w:type="character" w:customStyle="1" w:styleId="18">
    <w:name w:val="font61"/>
    <w:basedOn w:val="6"/>
    <w:qFormat/>
    <w:uiPriority w:val="0"/>
    <w:rPr>
      <w:rFonts w:hint="eastAsia" w:ascii="宋体" w:hAnsi="宋体" w:eastAsia="宋体" w:cs="宋体"/>
      <w:b/>
      <w:bCs/>
      <w:color w:val="000000"/>
      <w:sz w:val="18"/>
      <w:szCs w:val="18"/>
      <w:u w:val="none"/>
    </w:rPr>
  </w:style>
  <w:style w:type="character" w:customStyle="1" w:styleId="19">
    <w:name w:val="font141"/>
    <w:basedOn w:val="6"/>
    <w:qFormat/>
    <w:uiPriority w:val="0"/>
    <w:rPr>
      <w:rFonts w:hint="default" w:ascii="Times New Roman" w:hAnsi="Times New Roman" w:cs="Times New Roman"/>
      <w:b/>
      <w:bCs/>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6</Pages>
  <Words>782</Words>
  <Characters>4458</Characters>
  <Lines>37</Lines>
  <Paragraphs>10</Paragraphs>
  <TotalTime>6</TotalTime>
  <ScaleCrop>false</ScaleCrop>
  <LinksUpToDate>false</LinksUpToDate>
  <CharactersWithSpaces>5230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2023-10-31T07:51:00Z</dcterms:created>
  <dc:creator>admin</dc:creator>
  <cp:lastModifiedBy>叶子</cp:lastModifiedBy>
  <cp:lastPrinted>2023-11-13T08:15:00Z</cp:lastPrinted>
  <dcterms:modified xsi:type="dcterms:W3CDTF">2023-11-20T02:29:57Z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984C7A5DC5194A8CA482769DD4ABF804_13</vt:lpwstr>
  </property>
</Properties>
</file>