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宋体" w:cs="宋体"/>
          <w:b/>
          <w:kern w:val="0"/>
          <w:sz w:val="36"/>
          <w:szCs w:val="28"/>
        </w:rPr>
      </w:pPr>
      <w:r>
        <w:rPr>
          <w:rFonts w:hint="eastAsia" w:ascii="宋体" w:hAnsi="宋体" w:cs="宋体"/>
          <w:b/>
          <w:kern w:val="0"/>
          <w:sz w:val="36"/>
          <w:szCs w:val="28"/>
          <w:lang w:val="en-US" w:eastAsia="zh-CN"/>
        </w:rPr>
        <w:t>2023年新北区消防产品质量监督抽查分析报告</w:t>
      </w:r>
    </w:p>
    <w:p>
      <w:pPr>
        <w:adjustRightInd w:val="0"/>
        <w:snapToGrid w:val="0"/>
        <w:spacing w:line="360" w:lineRule="auto"/>
        <w:rPr>
          <w:rFonts w:ascii="宋体" w:cs="宋体"/>
          <w:sz w:val="28"/>
          <w:szCs w:val="28"/>
        </w:rPr>
      </w:pPr>
    </w:p>
    <w:p>
      <w:pPr>
        <w:adjustRightInd w:val="0"/>
        <w:snapToGrid w:val="0"/>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一、内容摘要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依据常州国家高新技术产业开发区（新北区）市场监督管理局下达的2023年度产品质量监督检查委托书（编号：常高新市管质抽〔2023〕007号），2023年10月至12月，江苏省产品质量监督检验研究院消防与建设工程检测中心承担了消防产品区级专项监督抽查工作，产品包括手提式干粉灭火器和消防水带，样品来源为常州国家高新技术产业开发区（新北区）内的实体销售企业。本次任务计划抽查7批次，实际抽到7批次，抽到样率100%，无不合格，不合格发现率为0%。</w:t>
      </w:r>
    </w:p>
    <w:p>
      <w:pPr>
        <w:adjustRightInd w:val="0"/>
        <w:snapToGrid w:val="0"/>
        <w:spacing w:line="360" w:lineRule="auto"/>
        <w:ind w:firstLine="560" w:firstLineChars="200"/>
        <w:rPr>
          <w:rFonts w:ascii="黑体" w:hAnsi="黑体" w:eastAsia="黑体" w:cs="宋体"/>
          <w:sz w:val="28"/>
          <w:szCs w:val="28"/>
        </w:rPr>
      </w:pPr>
      <w:r>
        <w:rPr>
          <w:rFonts w:hint="eastAsia" w:ascii="黑体" w:hAnsi="黑体" w:eastAsia="黑体" w:cs="宋体"/>
          <w:sz w:val="28"/>
          <w:szCs w:val="28"/>
        </w:rPr>
        <w:t>二、产品和产业概况</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（一）产品概况</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1、手提式干粉灭火器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手提式灭火器是扑救初期火灾的重要消防器材，是一种量大面广的群众性的消防工具。手提式灭火器使用方法简单且应用广泛，在商场、交通工具、民用住宅等各类场所均有配备，发生火灾时它能有效控制初期火灾的发展与蔓延，随着社会防火意识的提高，手提式灭火器已成为单位和家庭必备的灭火器材之一。</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手提式灭火器按充装的灭火剂类别分为水基型灭火器、干粉型灭火器、二氧化碳灭火器和洁净气体灭火器。水基型灭火器的灭火剂包括洁净水或带添加剂的水，如润湿剂、增稠剂、阻燃剂或发泡剂等。干粉型灭火器分为普通干粉灭火器和超细干粉灭火器。洁净气体灭火器的灭火剂包括七氟丙烷、六氟丙烷等。不同类型的灭火器适用的场合不同，所适用扑救的火灾类型也不同。火灾类型分为A类火（固体有机物质燃烧的火）、B类火（液体或可熔化固体燃烧的火）、C类火（气体燃烧的火）、D类火（金属燃烧的火，如镁合金）、E类火（燃烧时物质带电的火）和F类火（由易燃的油脂类物质引起的火，如植物油、动物油），灭火器的铭牌上会标有灭火器所适用扑救的火灾类型。目前，市场上流通销售最广泛的也是日常生活中最常见的是手提式干粉灭火器。</w:t>
      </w:r>
    </w:p>
    <w:p>
      <w:pPr>
        <w:snapToGrid w:val="0"/>
        <w:spacing w:line="360" w:lineRule="auto"/>
        <w:ind w:firstLine="560" w:firstLineChars="200"/>
        <w:rPr>
          <w:rFonts w:ascii="宋体" w:hAnsi="宋体"/>
          <w:sz w:val="28"/>
          <w:szCs w:val="28"/>
        </w:rPr>
      </w:pPr>
      <w:r>
        <w:rPr>
          <w:rFonts w:hint="eastAsia" w:ascii="宋体" w:hAnsi="宋体"/>
          <w:sz w:val="28"/>
          <w:szCs w:val="28"/>
        </w:rPr>
        <w:t>2、消防水带</w:t>
      </w:r>
    </w:p>
    <w:p>
      <w:pPr>
        <w:snapToGrid w:val="0"/>
        <w:spacing w:line="360" w:lineRule="auto"/>
        <w:ind w:firstLine="560" w:firstLineChars="200"/>
        <w:rPr>
          <w:rFonts w:ascii="宋体" w:hAnsi="宋体" w:cs="宋体"/>
          <w:sz w:val="28"/>
          <w:szCs w:val="28"/>
        </w:rPr>
      </w:pPr>
      <w:r>
        <w:rPr>
          <w:rFonts w:hint="eastAsia" w:ascii="宋体" w:hAnsi="宋体"/>
          <w:sz w:val="28"/>
          <w:szCs w:val="28"/>
        </w:rPr>
        <w:t>消防水带是用来输送高压水或泡沫等阻燃液体的软管，通常是指由经纬线编织的筒状织物层和衬里（或覆盖层）通过蒸汽硫化或胶粘剂组合而成的一定长度的柔软可盘卷的圆形或扁平管状体。消防水带基本结构包含织物层、衬里、涂层、覆盖层和胶粘层5个部分，织物层为水带提供耐高压和耐磨性能，保证了水或其他液体能畅通输送，涂层或覆盖层对织物层和衬里起保护作用，胶粘层使织物层、衬里和覆盖层牢牢地组成一个整体。消防水带通过输送水或泡沫等阻燃液体，以达到扑灭初起火灾的作用，是保护人身和国家财产安全的重要消防器具。</w:t>
      </w:r>
    </w:p>
    <w:p>
      <w:pPr>
        <w:adjustRightInd w:val="0"/>
        <w:snapToGrid w:val="0"/>
        <w:spacing w:line="360" w:lineRule="auto"/>
        <w:ind w:firstLine="602" w:firstLineChars="214"/>
        <w:rPr>
          <w:rFonts w:ascii="宋体" w:hAnsi="宋体" w:cs="宋体"/>
          <w:b/>
          <w:sz w:val="28"/>
          <w:szCs w:val="28"/>
        </w:rPr>
      </w:pPr>
      <w:r>
        <w:rPr>
          <w:rFonts w:hint="eastAsia" w:ascii="宋体" w:hAnsi="宋体" w:cs="宋体"/>
          <w:b/>
          <w:sz w:val="28"/>
          <w:szCs w:val="28"/>
        </w:rPr>
        <w:t>（二）产业概况</w:t>
      </w:r>
    </w:p>
    <w:p>
      <w:pPr>
        <w:adjustRightInd w:val="0"/>
        <w:snapToGrid w:val="0"/>
        <w:spacing w:line="360" w:lineRule="auto"/>
        <w:ind w:firstLine="599" w:firstLineChars="214"/>
        <w:rPr>
          <w:sz w:val="28"/>
          <w:szCs w:val="28"/>
        </w:rPr>
      </w:pPr>
      <w:r>
        <w:rPr>
          <w:rFonts w:hint="eastAsia"/>
          <w:sz w:val="28"/>
          <w:szCs w:val="28"/>
        </w:rPr>
        <w:t>1、手提式干粉灭火器</w:t>
      </w:r>
    </w:p>
    <w:p>
      <w:pPr>
        <w:adjustRightInd w:val="0"/>
        <w:snapToGrid w:val="0"/>
        <w:spacing w:line="360" w:lineRule="auto"/>
        <w:ind w:firstLine="599" w:firstLineChars="214"/>
        <w:rPr>
          <w:sz w:val="28"/>
          <w:szCs w:val="28"/>
        </w:rPr>
      </w:pPr>
      <w:r>
        <w:rPr>
          <w:rFonts w:hint="eastAsia"/>
          <w:sz w:val="28"/>
          <w:szCs w:val="28"/>
        </w:rPr>
        <w:t>我国目前生产手提式灭火器的企业约有297家，分布在全国的27省（自治区、直辖市）中，生产企业数量排名靠前的地区有浙江、山东、江苏、广东、江西。江苏省手提式灭火器生产企业数为38家，其中手提式干粉灭火器生产企业有27家，昆山市目前尚无灭火器生产企业。</w:t>
      </w:r>
    </w:p>
    <w:p>
      <w:pPr>
        <w:adjustRightInd w:val="0"/>
        <w:snapToGrid w:val="0"/>
        <w:spacing w:line="360" w:lineRule="auto"/>
        <w:ind w:firstLine="599" w:firstLineChars="214"/>
        <w:rPr>
          <w:sz w:val="28"/>
          <w:szCs w:val="28"/>
        </w:rPr>
      </w:pPr>
      <w:r>
        <w:rPr>
          <w:rFonts w:hint="eastAsia"/>
          <w:sz w:val="28"/>
          <w:szCs w:val="28"/>
        </w:rPr>
        <w:t>2、消防水带</w:t>
      </w:r>
    </w:p>
    <w:p>
      <w:pPr>
        <w:adjustRightInd w:val="0"/>
        <w:snapToGrid w:val="0"/>
        <w:spacing w:line="360" w:lineRule="auto"/>
        <w:ind w:firstLine="599" w:firstLineChars="214"/>
        <w:rPr>
          <w:rFonts w:ascii="宋体" w:hAnsi="宋体" w:cs="宋体"/>
          <w:sz w:val="28"/>
          <w:szCs w:val="28"/>
        </w:rPr>
      </w:pPr>
      <w:r>
        <w:rPr>
          <w:rFonts w:hint="eastAsia"/>
          <w:sz w:val="28"/>
          <w:szCs w:val="28"/>
        </w:rPr>
        <w:t>我国消防水带的生产企业约为143家，主要分布在江苏省和福建省，分别约占全国数量的46.2%和21.0%。江苏省共有消防水带生产企业数70家，分布在泰州、扬州、南通、淮安，其中泰州和扬州是消防水带产品的产业集中地，分别占江苏省数量的48.9%和41.4%。</w:t>
      </w:r>
    </w:p>
    <w:p>
      <w:pPr>
        <w:adjustRightInd w:val="0"/>
        <w:snapToGrid w:val="0"/>
        <w:spacing w:line="360" w:lineRule="auto"/>
        <w:ind w:firstLine="560" w:firstLineChars="200"/>
        <w:rPr>
          <w:rFonts w:ascii="黑体" w:hAnsi="黑体" w:eastAsia="黑体" w:cs="宋体"/>
          <w:sz w:val="28"/>
          <w:szCs w:val="28"/>
        </w:rPr>
      </w:pPr>
      <w:r>
        <w:rPr>
          <w:rFonts w:hint="eastAsia" w:ascii="黑体" w:hAnsi="黑体" w:eastAsia="黑体" w:cs="宋体"/>
          <w:sz w:val="28"/>
          <w:szCs w:val="28"/>
          <w:lang w:val="en-US" w:eastAsia="zh-CN"/>
        </w:rPr>
        <w:t>三</w:t>
      </w:r>
      <w:r>
        <w:rPr>
          <w:rFonts w:hint="eastAsia" w:ascii="黑体" w:hAnsi="黑体" w:eastAsia="黑体" w:cs="宋体"/>
          <w:sz w:val="28"/>
          <w:szCs w:val="28"/>
        </w:rPr>
        <w:t>、检验检测概况</w:t>
      </w:r>
    </w:p>
    <w:p>
      <w:pPr>
        <w:adjustRightInd w:val="0"/>
        <w:snapToGrid w:val="0"/>
        <w:spacing w:line="360" w:lineRule="auto"/>
        <w:ind w:firstLine="602" w:firstLineChars="214"/>
        <w:rPr>
          <w:rFonts w:eastAsiaTheme="minorEastAsia"/>
          <w:b/>
          <w:sz w:val="28"/>
          <w:szCs w:val="28"/>
          <w:lang w:val="zh-CN" w:bidi="zh-CN"/>
        </w:rPr>
      </w:pPr>
      <w:r>
        <w:rPr>
          <w:rFonts w:hint="eastAsia" w:eastAsiaTheme="minorEastAsia"/>
          <w:b/>
          <w:sz w:val="28"/>
          <w:szCs w:val="28"/>
          <w:lang w:val="zh-CN" w:bidi="zh-CN"/>
        </w:rPr>
        <w:t>（一）检验检测项目概况</w:t>
      </w:r>
    </w:p>
    <w:p>
      <w:pPr>
        <w:pStyle w:val="3"/>
        <w:spacing w:line="360" w:lineRule="auto"/>
        <w:ind w:left="0" w:firstLine="560" w:firstLineChars="200"/>
        <w:jc w:val="both"/>
        <w:rPr>
          <w:sz w:val="28"/>
          <w:szCs w:val="28"/>
        </w:rPr>
      </w:pPr>
      <w:r>
        <w:rPr>
          <w:rFonts w:hint="eastAsia" w:ascii="Times New Roman" w:hAnsi="Times New Roman" w:cs="Times New Roman"/>
          <w:sz w:val="28"/>
          <w:szCs w:val="28"/>
        </w:rPr>
        <w:t>本次消防产品质量监督抽查检验项目及依据详见表1。</w:t>
      </w:r>
    </w:p>
    <w:p>
      <w:pPr>
        <w:adjustRightInd w:val="0"/>
        <w:snapToGrid w:val="0"/>
        <w:spacing w:line="360" w:lineRule="auto"/>
        <w:jc w:val="center"/>
        <w:rPr>
          <w:rFonts w:ascii="宋体" w:hAnsi="宋体"/>
          <w:sz w:val="24"/>
          <w:szCs w:val="28"/>
        </w:rPr>
      </w:pPr>
      <w:r>
        <w:rPr>
          <w:rFonts w:hint="eastAsia" w:ascii="宋体" w:hAnsi="宋体"/>
          <w:sz w:val="24"/>
          <w:szCs w:val="28"/>
        </w:rPr>
        <w:t>表1 检验检测项目及依据</w:t>
      </w:r>
    </w:p>
    <w:tbl>
      <w:tblPr>
        <w:tblStyle w:val="7"/>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299"/>
        <w:gridCol w:w="1984"/>
        <w:gridCol w:w="1418"/>
        <w:gridCol w:w="170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Align w:val="center"/>
          </w:tcPr>
          <w:p>
            <w:pPr>
              <w:snapToGrid w:val="0"/>
              <w:spacing w:line="360" w:lineRule="auto"/>
              <w:jc w:val="center"/>
              <w:rPr>
                <w:rFonts w:ascii="宋体" w:hAnsi="宋体"/>
                <w:sz w:val="24"/>
              </w:rPr>
            </w:pPr>
            <w:r>
              <w:rPr>
                <w:rFonts w:hint="eastAsia" w:ascii="宋体" w:hAnsi="宋体"/>
                <w:sz w:val="24"/>
              </w:rPr>
              <w:t>产品</w:t>
            </w:r>
          </w:p>
          <w:p>
            <w:pPr>
              <w:snapToGrid w:val="0"/>
              <w:spacing w:line="360" w:lineRule="auto"/>
              <w:jc w:val="center"/>
              <w:rPr>
                <w:rFonts w:ascii="宋体" w:hAnsi="宋体"/>
                <w:sz w:val="24"/>
              </w:rPr>
            </w:pPr>
            <w:r>
              <w:rPr>
                <w:rFonts w:hint="eastAsia" w:ascii="宋体" w:hAnsi="宋体"/>
                <w:sz w:val="24"/>
              </w:rPr>
              <w:t>类别</w:t>
            </w: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检验检测项目</w:t>
            </w:r>
          </w:p>
        </w:tc>
        <w:tc>
          <w:tcPr>
            <w:tcW w:w="1418" w:type="dxa"/>
            <w:vAlign w:val="center"/>
          </w:tcPr>
          <w:p>
            <w:pPr>
              <w:snapToGrid w:val="0"/>
              <w:spacing w:line="360" w:lineRule="auto"/>
              <w:jc w:val="center"/>
              <w:rPr>
                <w:rFonts w:ascii="宋体" w:hAnsi="宋体"/>
                <w:sz w:val="24"/>
              </w:rPr>
            </w:pPr>
            <w:r>
              <w:rPr>
                <w:rFonts w:hint="eastAsia" w:ascii="宋体" w:hAnsi="宋体"/>
                <w:sz w:val="24"/>
              </w:rPr>
              <w:t>检验检测依据</w:t>
            </w:r>
          </w:p>
        </w:tc>
        <w:tc>
          <w:tcPr>
            <w:tcW w:w="1701" w:type="dxa"/>
            <w:vAlign w:val="center"/>
          </w:tcPr>
          <w:p>
            <w:pPr>
              <w:snapToGrid w:val="0"/>
              <w:spacing w:line="360" w:lineRule="auto"/>
              <w:jc w:val="center"/>
              <w:rPr>
                <w:rFonts w:ascii="宋体" w:hAnsi="宋体"/>
                <w:sz w:val="24"/>
              </w:rPr>
            </w:pPr>
            <w:r>
              <w:rPr>
                <w:rFonts w:hint="eastAsia" w:ascii="宋体" w:hAnsi="宋体"/>
                <w:sz w:val="24"/>
              </w:rPr>
              <w:t>检验检测方法名称</w:t>
            </w:r>
          </w:p>
        </w:tc>
        <w:tc>
          <w:tcPr>
            <w:tcW w:w="1007" w:type="dxa"/>
            <w:vAlign w:val="center"/>
          </w:tcPr>
          <w:p>
            <w:pPr>
              <w:snapToGrid w:val="0"/>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vAlign w:val="center"/>
          </w:tcPr>
          <w:p>
            <w:pPr>
              <w:snapToGrid w:val="0"/>
              <w:spacing w:line="360" w:lineRule="auto"/>
              <w:jc w:val="center"/>
              <w:rPr>
                <w:rFonts w:ascii="宋体" w:hAnsi="宋体"/>
                <w:sz w:val="24"/>
              </w:rPr>
            </w:pPr>
            <w:r>
              <w:rPr>
                <w:rFonts w:hint="eastAsia" w:ascii="宋体" w:hAnsi="宋体"/>
                <w:sz w:val="24"/>
              </w:rPr>
              <w:t>手提式干粉灭火器</w:t>
            </w: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20℃喷射性能</w:t>
            </w:r>
          </w:p>
        </w:tc>
        <w:tc>
          <w:tcPr>
            <w:tcW w:w="1418" w:type="dxa"/>
            <w:vMerge w:val="restart"/>
            <w:vAlign w:val="center"/>
          </w:tcPr>
          <w:p>
            <w:pPr>
              <w:snapToGrid w:val="0"/>
              <w:spacing w:line="360" w:lineRule="auto"/>
              <w:jc w:val="center"/>
              <w:rPr>
                <w:rFonts w:ascii="宋体" w:hAnsi="宋体"/>
                <w:sz w:val="24"/>
              </w:rPr>
            </w:pPr>
            <w:r>
              <w:rPr>
                <w:rFonts w:hint="eastAsia" w:ascii="宋体" w:hAnsi="宋体"/>
                <w:sz w:val="24"/>
              </w:rPr>
              <w:t>GB 4351.1 -2005</w:t>
            </w:r>
          </w:p>
        </w:tc>
        <w:tc>
          <w:tcPr>
            <w:tcW w:w="1701" w:type="dxa"/>
            <w:vMerge w:val="restart"/>
            <w:vAlign w:val="center"/>
          </w:tcPr>
          <w:p>
            <w:pPr>
              <w:snapToGrid w:val="0"/>
              <w:spacing w:line="360" w:lineRule="auto"/>
              <w:jc w:val="center"/>
              <w:rPr>
                <w:rFonts w:ascii="宋体" w:hAnsi="宋体"/>
                <w:sz w:val="24"/>
              </w:rPr>
            </w:pPr>
            <w:r>
              <w:rPr>
                <w:rFonts w:hint="eastAsia" w:ascii="宋体" w:hAnsi="宋体"/>
                <w:sz w:val="24"/>
              </w:rPr>
              <w:t>GB 4351.1 -2005</w:t>
            </w: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质量</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筒体水压试验</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爆破试验</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干粉灭火剂</w:t>
            </w:r>
          </w:p>
        </w:tc>
        <w:tc>
          <w:tcPr>
            <w:tcW w:w="1418" w:type="dxa"/>
            <w:vMerge w:val="continue"/>
            <w:vAlign w:val="center"/>
          </w:tcPr>
          <w:p>
            <w:pPr>
              <w:snapToGrid w:val="0"/>
              <w:spacing w:line="360" w:lineRule="auto"/>
              <w:jc w:val="center"/>
              <w:rPr>
                <w:rFonts w:ascii="宋体" w:hAnsi="宋体"/>
                <w:sz w:val="24"/>
              </w:rPr>
            </w:pPr>
          </w:p>
        </w:tc>
        <w:tc>
          <w:tcPr>
            <w:tcW w:w="1701" w:type="dxa"/>
            <w:vAlign w:val="center"/>
          </w:tcPr>
          <w:p>
            <w:pPr>
              <w:snapToGrid w:val="0"/>
              <w:spacing w:line="360" w:lineRule="auto"/>
              <w:jc w:val="center"/>
              <w:rPr>
                <w:rFonts w:ascii="宋体" w:hAnsi="宋体"/>
                <w:sz w:val="24"/>
              </w:rPr>
            </w:pPr>
            <w:r>
              <w:rPr>
                <w:rFonts w:ascii="宋体" w:hAnsi="宋体"/>
                <w:sz w:val="24"/>
              </w:rPr>
              <w:t>GB</w:t>
            </w:r>
            <w:r>
              <w:rPr>
                <w:rFonts w:hint="eastAsia" w:ascii="宋体" w:hAnsi="宋体"/>
                <w:sz w:val="24"/>
              </w:rPr>
              <w:t xml:space="preserve"> </w:t>
            </w:r>
            <w:r>
              <w:rPr>
                <w:rFonts w:ascii="宋体" w:hAnsi="宋体"/>
                <w:sz w:val="24"/>
              </w:rPr>
              <w:t>4066</w:t>
            </w:r>
            <w:r>
              <w:rPr>
                <w:rFonts w:hint="eastAsia" w:ascii="宋体" w:hAnsi="宋体"/>
                <w:sz w:val="24"/>
              </w:rPr>
              <w:t xml:space="preserve"> </w:t>
            </w:r>
            <w:r>
              <w:rPr>
                <w:rFonts w:ascii="宋体" w:hAnsi="宋体"/>
                <w:sz w:val="24"/>
              </w:rPr>
              <w:t>-2017</w:t>
            </w: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vAlign w:val="center"/>
          </w:tcPr>
          <w:p>
            <w:pPr>
              <w:snapToGrid w:val="0"/>
              <w:spacing w:line="360" w:lineRule="auto"/>
              <w:jc w:val="center"/>
              <w:rPr>
                <w:rFonts w:ascii="宋体" w:hAnsi="宋体"/>
                <w:sz w:val="24"/>
              </w:rPr>
            </w:pPr>
            <w:r>
              <w:rPr>
                <w:rFonts w:hint="eastAsia" w:ascii="宋体" w:hAnsi="宋体"/>
                <w:sz w:val="24"/>
              </w:rPr>
              <w:t>消防</w:t>
            </w:r>
          </w:p>
          <w:p>
            <w:pPr>
              <w:snapToGrid w:val="0"/>
              <w:spacing w:line="360" w:lineRule="auto"/>
              <w:jc w:val="center"/>
              <w:rPr>
                <w:rFonts w:ascii="宋体" w:hAnsi="宋体"/>
                <w:sz w:val="24"/>
              </w:rPr>
            </w:pPr>
            <w:r>
              <w:rPr>
                <w:rFonts w:hint="eastAsia" w:ascii="宋体" w:hAnsi="宋体"/>
                <w:sz w:val="24"/>
              </w:rPr>
              <w:t>水带</w:t>
            </w: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水压试验</w:t>
            </w:r>
          </w:p>
        </w:tc>
        <w:tc>
          <w:tcPr>
            <w:tcW w:w="1418" w:type="dxa"/>
            <w:vMerge w:val="restart"/>
            <w:vAlign w:val="center"/>
          </w:tcPr>
          <w:p>
            <w:pPr>
              <w:snapToGrid w:val="0"/>
              <w:spacing w:line="360" w:lineRule="auto"/>
              <w:jc w:val="center"/>
              <w:rPr>
                <w:rFonts w:ascii="宋体" w:hAnsi="宋体"/>
                <w:sz w:val="24"/>
              </w:rPr>
            </w:pPr>
            <w:r>
              <w:rPr>
                <w:rFonts w:hint="eastAsia" w:ascii="宋体" w:hAnsi="宋体"/>
                <w:sz w:val="24"/>
              </w:rPr>
              <w:t>GB 6246-2011</w:t>
            </w:r>
          </w:p>
        </w:tc>
        <w:tc>
          <w:tcPr>
            <w:tcW w:w="1701" w:type="dxa"/>
            <w:vMerge w:val="restart"/>
            <w:vAlign w:val="center"/>
          </w:tcPr>
          <w:p>
            <w:pPr>
              <w:snapToGrid w:val="0"/>
              <w:spacing w:line="360" w:lineRule="auto"/>
              <w:jc w:val="center"/>
              <w:rPr>
                <w:rFonts w:ascii="宋体" w:hAnsi="宋体"/>
                <w:sz w:val="24"/>
              </w:rPr>
            </w:pPr>
            <w:r>
              <w:rPr>
                <w:rFonts w:hint="eastAsia" w:ascii="宋体" w:hAnsi="宋体"/>
                <w:sz w:val="24"/>
              </w:rPr>
              <w:t>GB 6246-2011</w:t>
            </w: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爆破试验</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延伸率和膨胀率及扭转方向</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黏附性</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3283" w:type="dxa"/>
            <w:gridSpan w:val="2"/>
            <w:vAlign w:val="center"/>
          </w:tcPr>
          <w:p>
            <w:pPr>
              <w:snapToGrid w:val="0"/>
              <w:spacing w:line="360" w:lineRule="auto"/>
              <w:jc w:val="center"/>
              <w:rPr>
                <w:rFonts w:ascii="宋体" w:hAnsi="宋体"/>
                <w:sz w:val="24"/>
              </w:rPr>
            </w:pPr>
            <w:r>
              <w:rPr>
                <w:rFonts w:hint="eastAsia" w:ascii="宋体" w:hAnsi="宋体"/>
                <w:sz w:val="24"/>
              </w:rPr>
              <w:t>附着强度</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1299" w:type="dxa"/>
            <w:vMerge w:val="restart"/>
            <w:vAlign w:val="center"/>
          </w:tcPr>
          <w:p>
            <w:pPr>
              <w:snapToGrid w:val="0"/>
              <w:spacing w:line="360" w:lineRule="auto"/>
              <w:jc w:val="center"/>
              <w:rPr>
                <w:rFonts w:ascii="宋体" w:hAnsi="宋体"/>
                <w:sz w:val="24"/>
              </w:rPr>
            </w:pPr>
            <w:r>
              <w:rPr>
                <w:rFonts w:hint="eastAsia" w:ascii="宋体" w:hAnsi="宋体"/>
                <w:sz w:val="24"/>
              </w:rPr>
              <w:t>衬里物理力学性能</w:t>
            </w:r>
          </w:p>
        </w:tc>
        <w:tc>
          <w:tcPr>
            <w:tcW w:w="1984" w:type="dxa"/>
            <w:vAlign w:val="center"/>
          </w:tcPr>
          <w:p>
            <w:pPr>
              <w:snapToGrid w:val="0"/>
              <w:spacing w:line="360" w:lineRule="auto"/>
              <w:jc w:val="center"/>
              <w:rPr>
                <w:rFonts w:ascii="宋体" w:hAnsi="宋体"/>
                <w:sz w:val="24"/>
              </w:rPr>
            </w:pPr>
            <w:r>
              <w:rPr>
                <w:rFonts w:hint="eastAsia" w:ascii="宋体" w:hAnsi="宋体"/>
                <w:sz w:val="24"/>
              </w:rPr>
              <w:t>附着强度</w:t>
            </w:r>
          </w:p>
        </w:tc>
        <w:tc>
          <w:tcPr>
            <w:tcW w:w="1418" w:type="dxa"/>
            <w:vMerge w:val="continue"/>
            <w:vAlign w:val="center"/>
          </w:tcPr>
          <w:p>
            <w:pPr>
              <w:snapToGrid w:val="0"/>
              <w:spacing w:line="360" w:lineRule="auto"/>
              <w:jc w:val="center"/>
              <w:rPr>
                <w:rFonts w:ascii="宋体" w:hAnsi="宋体"/>
                <w:sz w:val="24"/>
              </w:rPr>
            </w:pPr>
          </w:p>
        </w:tc>
        <w:tc>
          <w:tcPr>
            <w:tcW w:w="1701" w:type="dxa"/>
            <w:vMerge w:val="restart"/>
            <w:vAlign w:val="center"/>
          </w:tcPr>
          <w:p>
            <w:pPr>
              <w:snapToGrid w:val="0"/>
              <w:spacing w:line="360" w:lineRule="auto"/>
              <w:jc w:val="center"/>
              <w:rPr>
                <w:rFonts w:ascii="宋体" w:hAnsi="宋体"/>
                <w:sz w:val="24"/>
              </w:rPr>
            </w:pPr>
            <w:r>
              <w:rPr>
                <w:rFonts w:hint="eastAsia" w:ascii="宋体" w:hAnsi="宋体"/>
                <w:sz w:val="24"/>
              </w:rPr>
              <w:t>GB 6246-2011</w:t>
            </w:r>
          </w:p>
          <w:p>
            <w:pPr>
              <w:snapToGrid w:val="0"/>
              <w:spacing w:line="360" w:lineRule="auto"/>
              <w:jc w:val="center"/>
              <w:rPr>
                <w:rFonts w:ascii="宋体" w:hAnsi="宋体"/>
                <w:sz w:val="24"/>
              </w:rPr>
            </w:pPr>
            <w:r>
              <w:rPr>
                <w:rFonts w:hint="eastAsia" w:ascii="宋体" w:hAnsi="宋体"/>
                <w:sz w:val="24"/>
              </w:rPr>
              <w:t>GB/T 532-2008</w:t>
            </w: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vAlign w:val="center"/>
          </w:tcPr>
          <w:p>
            <w:pPr>
              <w:snapToGrid w:val="0"/>
              <w:spacing w:line="360" w:lineRule="auto"/>
              <w:jc w:val="center"/>
              <w:rPr>
                <w:rFonts w:ascii="宋体" w:hAnsi="宋体"/>
                <w:sz w:val="24"/>
              </w:rPr>
            </w:pPr>
          </w:p>
        </w:tc>
        <w:tc>
          <w:tcPr>
            <w:tcW w:w="1299" w:type="dxa"/>
            <w:vMerge w:val="continue"/>
            <w:vAlign w:val="center"/>
          </w:tcPr>
          <w:p>
            <w:pPr>
              <w:snapToGrid w:val="0"/>
              <w:spacing w:line="360" w:lineRule="auto"/>
              <w:jc w:val="center"/>
              <w:rPr>
                <w:rFonts w:ascii="宋体" w:hAnsi="宋体"/>
                <w:sz w:val="24"/>
              </w:rPr>
            </w:pPr>
          </w:p>
        </w:tc>
        <w:tc>
          <w:tcPr>
            <w:tcW w:w="1984" w:type="dxa"/>
            <w:vAlign w:val="center"/>
          </w:tcPr>
          <w:p>
            <w:pPr>
              <w:snapToGrid w:val="0"/>
              <w:spacing w:line="360" w:lineRule="auto"/>
              <w:jc w:val="center"/>
              <w:rPr>
                <w:rFonts w:ascii="宋体" w:hAnsi="宋体"/>
                <w:sz w:val="24"/>
              </w:rPr>
            </w:pPr>
            <w:r>
              <w:rPr>
                <w:rFonts w:hint="eastAsia" w:ascii="宋体" w:hAnsi="宋体"/>
                <w:sz w:val="24"/>
              </w:rPr>
              <w:t>热空气老化性能</w:t>
            </w:r>
          </w:p>
        </w:tc>
        <w:tc>
          <w:tcPr>
            <w:tcW w:w="1418" w:type="dxa"/>
            <w:vMerge w:val="continue"/>
            <w:vAlign w:val="center"/>
          </w:tcPr>
          <w:p>
            <w:pPr>
              <w:snapToGrid w:val="0"/>
              <w:spacing w:line="360" w:lineRule="auto"/>
              <w:jc w:val="center"/>
              <w:rPr>
                <w:rFonts w:ascii="宋体" w:hAnsi="宋体"/>
                <w:sz w:val="24"/>
              </w:rPr>
            </w:pPr>
          </w:p>
        </w:tc>
        <w:tc>
          <w:tcPr>
            <w:tcW w:w="1701" w:type="dxa"/>
            <w:vMerge w:val="continue"/>
            <w:vAlign w:val="center"/>
          </w:tcPr>
          <w:p>
            <w:pPr>
              <w:snapToGrid w:val="0"/>
              <w:spacing w:line="360" w:lineRule="auto"/>
              <w:jc w:val="center"/>
              <w:rPr>
                <w:rFonts w:ascii="宋体" w:hAnsi="宋体"/>
                <w:sz w:val="24"/>
              </w:rPr>
            </w:pPr>
          </w:p>
        </w:tc>
        <w:tc>
          <w:tcPr>
            <w:tcW w:w="1007" w:type="dxa"/>
            <w:vAlign w:val="center"/>
          </w:tcPr>
          <w:p>
            <w:pPr>
              <w:snapToGrid w:val="0"/>
              <w:spacing w:line="360" w:lineRule="auto"/>
              <w:jc w:val="center"/>
              <w:rPr>
                <w:rFonts w:ascii="宋体" w:hAnsi="宋体"/>
                <w:sz w:val="24"/>
              </w:rPr>
            </w:pPr>
            <w:r>
              <w:rPr>
                <w:rFonts w:hint="eastAsia" w:ascii="宋体" w:hAnsi="宋体"/>
                <w:sz w:val="24"/>
              </w:rPr>
              <w:t>/</w:t>
            </w:r>
          </w:p>
        </w:tc>
      </w:tr>
    </w:tbl>
    <w:p>
      <w:pPr>
        <w:adjustRightInd w:val="0"/>
        <w:snapToGrid w:val="0"/>
        <w:spacing w:line="360" w:lineRule="auto"/>
        <w:ind w:firstLine="560" w:firstLineChars="200"/>
        <w:rPr>
          <w:rFonts w:ascii="黑体" w:hAnsi="黑体" w:eastAsia="黑体" w:cs="宋体"/>
          <w:sz w:val="28"/>
          <w:szCs w:val="28"/>
        </w:rPr>
      </w:pPr>
      <w:r>
        <w:rPr>
          <w:rFonts w:hint="eastAsia" w:ascii="黑体" w:hAnsi="黑体" w:eastAsia="黑体" w:cs="宋体"/>
          <w:sz w:val="28"/>
          <w:szCs w:val="28"/>
          <w:lang w:val="en-US" w:eastAsia="zh-CN"/>
        </w:rPr>
        <w:t>四</w:t>
      </w:r>
      <w:r>
        <w:rPr>
          <w:rFonts w:hint="eastAsia" w:ascii="黑体" w:hAnsi="黑体" w:eastAsia="黑体" w:cs="宋体"/>
          <w:sz w:val="28"/>
          <w:szCs w:val="28"/>
        </w:rPr>
        <w:t>、监督抽查结果分析</w:t>
      </w:r>
    </w:p>
    <w:p>
      <w:pPr>
        <w:adjustRightInd w:val="0"/>
        <w:snapToGrid w:val="0"/>
        <w:spacing w:line="360" w:lineRule="auto"/>
        <w:ind w:firstLine="560"/>
        <w:rPr>
          <w:rFonts w:ascii="宋体" w:hAnsi="宋体" w:cs="宋体"/>
          <w:b/>
          <w:sz w:val="28"/>
          <w:szCs w:val="28"/>
        </w:rPr>
      </w:pPr>
      <w:r>
        <w:rPr>
          <w:rFonts w:hint="eastAsia" w:ascii="宋体" w:hAnsi="宋体" w:cs="宋体"/>
          <w:b/>
          <w:sz w:val="28"/>
          <w:szCs w:val="28"/>
        </w:rPr>
        <w:t>（一）综合分析</w:t>
      </w:r>
    </w:p>
    <w:p>
      <w:pPr>
        <w:adjustRightInd w:val="0"/>
        <w:snapToGrid w:val="0"/>
        <w:spacing w:line="360" w:lineRule="auto"/>
        <w:ind w:firstLine="700" w:firstLineChars="250"/>
        <w:rPr>
          <w:rFonts w:ascii="宋体" w:hAnsi="宋体" w:cs="宋体"/>
          <w:sz w:val="28"/>
          <w:szCs w:val="28"/>
        </w:rPr>
      </w:pPr>
      <w:r>
        <w:rPr>
          <w:rFonts w:hint="eastAsia" w:ascii="宋体" w:hAnsi="宋体" w:cs="宋体"/>
          <w:sz w:val="28"/>
          <w:szCs w:val="28"/>
        </w:rPr>
        <w:t>本次消防产品质量监督抽查在实体店共抽查7批次，其中合格7批次，不合格发现率为0%。</w:t>
      </w:r>
    </w:p>
    <w:p>
      <w:pPr>
        <w:adjustRightInd w:val="0"/>
        <w:snapToGrid w:val="0"/>
        <w:spacing w:line="360" w:lineRule="auto"/>
        <w:ind w:firstLine="700" w:firstLineChars="250"/>
        <w:rPr>
          <w:sz w:val="28"/>
          <w:szCs w:val="28"/>
        </w:rPr>
      </w:pPr>
      <w:r>
        <w:rPr>
          <w:rFonts w:hint="eastAsia" w:ascii="宋体" w:hAnsi="宋体" w:cs="宋体"/>
          <w:sz w:val="28"/>
          <w:szCs w:val="28"/>
        </w:rPr>
        <w:t>样品信息</w:t>
      </w:r>
      <w:r>
        <w:rPr>
          <w:rFonts w:hint="eastAsia"/>
          <w:sz w:val="28"/>
          <w:szCs w:val="28"/>
        </w:rPr>
        <w:t>详见表2和图1所示。</w:t>
      </w:r>
    </w:p>
    <w:p>
      <w:pPr>
        <w:adjustRightInd w:val="0"/>
        <w:snapToGrid w:val="0"/>
        <w:spacing w:line="360" w:lineRule="auto"/>
        <w:ind w:firstLine="700" w:firstLineChars="250"/>
        <w:rPr>
          <w:rFonts w:ascii="宋体" w:hAnsi="宋体" w:cs="宋体"/>
          <w:sz w:val="28"/>
          <w:szCs w:val="28"/>
        </w:rPr>
      </w:pPr>
    </w:p>
    <w:p>
      <w:pPr>
        <w:spacing w:line="360" w:lineRule="auto"/>
        <w:jc w:val="center"/>
        <w:rPr>
          <w:sz w:val="24"/>
          <w:szCs w:val="28"/>
        </w:rPr>
      </w:pPr>
      <w:r>
        <w:rPr>
          <w:sz w:val="24"/>
          <w:szCs w:val="28"/>
        </w:rPr>
        <w:t>表</w:t>
      </w:r>
      <w:r>
        <w:rPr>
          <w:rFonts w:hint="eastAsia"/>
          <w:sz w:val="24"/>
          <w:szCs w:val="28"/>
        </w:rPr>
        <w:t>2 不同样品类别统计表</w:t>
      </w:r>
    </w:p>
    <w:tbl>
      <w:tblPr>
        <w:tblStyle w:val="7"/>
        <w:tblW w:w="7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0"/>
        <w:gridCol w:w="1417"/>
        <w:gridCol w:w="1276"/>
        <w:gridCol w:w="2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300" w:type="dxa"/>
            <w:vAlign w:val="center"/>
          </w:tcPr>
          <w:p>
            <w:pPr>
              <w:pStyle w:val="13"/>
              <w:spacing w:before="0" w:line="360" w:lineRule="auto"/>
              <w:rPr>
                <w:rFonts w:ascii="Times New Roman" w:hAnsi="Times New Roman" w:cs="Times New Roman"/>
                <w:sz w:val="24"/>
                <w:szCs w:val="28"/>
              </w:rPr>
            </w:pPr>
            <w:r>
              <w:rPr>
                <w:rFonts w:hint="eastAsia" w:ascii="Times New Roman" w:hAnsi="Times New Roman" w:cs="Times New Roman"/>
                <w:sz w:val="24"/>
                <w:szCs w:val="28"/>
              </w:rPr>
              <w:t>产品名称</w:t>
            </w:r>
          </w:p>
        </w:tc>
        <w:tc>
          <w:tcPr>
            <w:tcW w:w="1417" w:type="dxa"/>
            <w:vAlign w:val="center"/>
          </w:tcPr>
          <w:p>
            <w:pPr>
              <w:pStyle w:val="13"/>
              <w:spacing w:before="0" w:line="360" w:lineRule="auto"/>
              <w:rPr>
                <w:rFonts w:ascii="Times New Roman" w:hAnsi="Times New Roman" w:cs="Times New Roman"/>
                <w:sz w:val="24"/>
                <w:szCs w:val="28"/>
              </w:rPr>
            </w:pPr>
            <w:r>
              <w:rPr>
                <w:rFonts w:ascii="Times New Roman" w:hAnsi="Times New Roman" w:cs="Times New Roman"/>
                <w:sz w:val="24"/>
                <w:szCs w:val="28"/>
              </w:rPr>
              <w:t>抽样批次</w:t>
            </w:r>
          </w:p>
        </w:tc>
        <w:tc>
          <w:tcPr>
            <w:tcW w:w="1276" w:type="dxa"/>
            <w:vAlign w:val="center"/>
          </w:tcPr>
          <w:p>
            <w:pPr>
              <w:pStyle w:val="13"/>
              <w:spacing w:before="0" w:line="360" w:lineRule="auto"/>
              <w:rPr>
                <w:rFonts w:ascii="Times New Roman" w:hAnsi="Times New Roman" w:cs="Times New Roman"/>
                <w:sz w:val="24"/>
                <w:szCs w:val="28"/>
              </w:rPr>
            </w:pPr>
            <w:r>
              <w:rPr>
                <w:rFonts w:ascii="Times New Roman" w:hAnsi="Times New Roman" w:cs="Times New Roman"/>
                <w:sz w:val="24"/>
                <w:szCs w:val="28"/>
              </w:rPr>
              <w:t>合格批次</w:t>
            </w:r>
          </w:p>
        </w:tc>
        <w:tc>
          <w:tcPr>
            <w:tcW w:w="2480" w:type="dxa"/>
            <w:vAlign w:val="center"/>
          </w:tcPr>
          <w:p>
            <w:pPr>
              <w:pStyle w:val="13"/>
              <w:spacing w:before="0" w:line="360" w:lineRule="auto"/>
              <w:rPr>
                <w:rFonts w:ascii="Times New Roman" w:hAnsi="Times New Roman" w:cs="Times New Roman"/>
                <w:sz w:val="24"/>
                <w:szCs w:val="28"/>
              </w:rPr>
            </w:pPr>
            <w:r>
              <w:rPr>
                <w:rFonts w:hint="eastAsia" w:ascii="Times New Roman" w:hAnsi="Times New Roman" w:cs="Times New Roman"/>
                <w:sz w:val="24"/>
                <w:szCs w:val="28"/>
                <w:lang w:val="en-US"/>
              </w:rPr>
              <w:t>不合格发现率</w:t>
            </w:r>
            <w:r>
              <w:rPr>
                <w:rFonts w:ascii="Times New Roman" w:hAnsi="Times New Roman" w:cs="Times New Roman"/>
                <w:sz w:val="24"/>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300" w:type="dxa"/>
            <w:vAlign w:val="center"/>
          </w:tcPr>
          <w:p>
            <w:pPr>
              <w:pStyle w:val="13"/>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手提式干粉灭火器</w:t>
            </w:r>
          </w:p>
        </w:tc>
        <w:tc>
          <w:tcPr>
            <w:tcW w:w="1417" w:type="dxa"/>
            <w:vAlign w:val="center"/>
          </w:tcPr>
          <w:p>
            <w:pPr>
              <w:pStyle w:val="13"/>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5</w:t>
            </w:r>
          </w:p>
        </w:tc>
        <w:tc>
          <w:tcPr>
            <w:tcW w:w="1276" w:type="dxa"/>
            <w:vAlign w:val="center"/>
          </w:tcPr>
          <w:p>
            <w:pPr>
              <w:pStyle w:val="13"/>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5</w:t>
            </w:r>
          </w:p>
        </w:tc>
        <w:tc>
          <w:tcPr>
            <w:tcW w:w="2480" w:type="dxa"/>
            <w:vAlign w:val="center"/>
          </w:tcPr>
          <w:p>
            <w:pPr>
              <w:pStyle w:val="13"/>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300" w:type="dxa"/>
            <w:vAlign w:val="center"/>
          </w:tcPr>
          <w:p>
            <w:pPr>
              <w:pStyle w:val="13"/>
              <w:spacing w:before="0" w:line="360" w:lineRule="auto"/>
              <w:rPr>
                <w:rFonts w:ascii="Times New Roman" w:hAnsi="Times New Roman" w:cs="Times New Roman"/>
                <w:sz w:val="24"/>
                <w:szCs w:val="28"/>
              </w:rPr>
            </w:pPr>
            <w:r>
              <w:rPr>
                <w:rFonts w:hint="eastAsia" w:ascii="Times New Roman" w:hAnsi="Times New Roman" w:cs="Times New Roman"/>
                <w:sz w:val="24"/>
                <w:szCs w:val="28"/>
              </w:rPr>
              <w:t>消防水带</w:t>
            </w:r>
          </w:p>
        </w:tc>
        <w:tc>
          <w:tcPr>
            <w:tcW w:w="1417" w:type="dxa"/>
            <w:vAlign w:val="center"/>
          </w:tcPr>
          <w:p>
            <w:pPr>
              <w:pStyle w:val="13"/>
              <w:spacing w:before="0" w:line="360" w:lineRule="auto"/>
              <w:rPr>
                <w:rFonts w:ascii="Times New Roman" w:hAnsi="Times New Roman" w:cs="Times New Roman"/>
                <w:sz w:val="24"/>
                <w:szCs w:val="28"/>
              </w:rPr>
            </w:pPr>
            <w:r>
              <w:rPr>
                <w:rFonts w:hint="eastAsia" w:ascii="Times New Roman" w:hAnsi="Times New Roman" w:cs="Times New Roman"/>
                <w:sz w:val="24"/>
                <w:szCs w:val="28"/>
              </w:rPr>
              <w:t>2</w:t>
            </w:r>
          </w:p>
        </w:tc>
        <w:tc>
          <w:tcPr>
            <w:tcW w:w="1276" w:type="dxa"/>
            <w:vAlign w:val="center"/>
          </w:tcPr>
          <w:p>
            <w:pPr>
              <w:pStyle w:val="13"/>
              <w:spacing w:before="0" w:line="360" w:lineRule="auto"/>
              <w:rPr>
                <w:rFonts w:ascii="Times New Roman" w:hAnsi="Times New Roman" w:cs="Times New Roman"/>
                <w:sz w:val="24"/>
                <w:szCs w:val="28"/>
                <w:lang w:val="en-US"/>
              </w:rPr>
            </w:pPr>
            <w:r>
              <w:rPr>
                <w:rFonts w:hint="eastAsia" w:ascii="Times New Roman" w:hAnsi="Times New Roman" w:cs="Times New Roman"/>
                <w:sz w:val="24"/>
                <w:szCs w:val="28"/>
                <w:lang w:val="en-US"/>
              </w:rPr>
              <w:t>2</w:t>
            </w:r>
          </w:p>
        </w:tc>
        <w:tc>
          <w:tcPr>
            <w:tcW w:w="2480" w:type="dxa"/>
            <w:vAlign w:val="center"/>
          </w:tcPr>
          <w:p>
            <w:pPr>
              <w:pStyle w:val="13"/>
              <w:spacing w:before="0" w:line="360" w:lineRule="auto"/>
              <w:rPr>
                <w:rFonts w:ascii="Times New Roman" w:hAnsi="Times New Roman" w:cs="Times New Roman"/>
                <w:sz w:val="24"/>
                <w:szCs w:val="28"/>
              </w:rPr>
            </w:pPr>
            <w:r>
              <w:rPr>
                <w:rFonts w:hint="eastAsia" w:ascii="Times New Roman" w:hAnsi="Times New Roman" w:cs="Times New Roman"/>
                <w:sz w:val="24"/>
                <w:szCs w:val="28"/>
              </w:rPr>
              <w:t>0</w:t>
            </w:r>
          </w:p>
        </w:tc>
      </w:tr>
    </w:tbl>
    <w:p>
      <w:pPr>
        <w:adjustRightInd w:val="0"/>
        <w:snapToGrid w:val="0"/>
        <w:spacing w:line="360" w:lineRule="auto"/>
        <w:jc w:val="center"/>
        <w:rPr>
          <w:sz w:val="28"/>
          <w:szCs w:val="28"/>
        </w:rPr>
      </w:pPr>
      <w:r>
        <w:rPr>
          <w:sz w:val="28"/>
          <w:szCs w:val="28"/>
        </w:rPr>
        <w:drawing>
          <wp:inline distT="0" distB="0" distL="0" distR="0">
            <wp:extent cx="4015105" cy="2583815"/>
            <wp:effectExtent l="0" t="0" r="4445"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adjustRightInd w:val="0"/>
        <w:snapToGrid w:val="0"/>
        <w:spacing w:line="360" w:lineRule="auto"/>
        <w:jc w:val="center"/>
        <w:rPr>
          <w:rFonts w:ascii="宋体" w:hAnsi="宋体" w:cs="宋体"/>
          <w:sz w:val="24"/>
          <w:szCs w:val="28"/>
        </w:rPr>
      </w:pPr>
      <w:r>
        <w:rPr>
          <w:rFonts w:hint="eastAsia" w:ascii="宋体" w:hAnsi="宋体" w:cs="宋体"/>
          <w:sz w:val="24"/>
          <w:szCs w:val="28"/>
        </w:rPr>
        <w:t>图1 抽样</w:t>
      </w:r>
      <w:r>
        <w:rPr>
          <w:rFonts w:hint="eastAsia"/>
          <w:sz w:val="24"/>
          <w:szCs w:val="28"/>
        </w:rPr>
        <w:t>不同样品占比</w:t>
      </w:r>
    </w:p>
    <w:p>
      <w:pPr>
        <w:adjustRightInd w:val="0"/>
        <w:snapToGrid w:val="0"/>
        <w:spacing w:line="360" w:lineRule="auto"/>
        <w:rPr>
          <w:rFonts w:ascii="宋体" w:hAnsi="宋体" w:cs="宋体"/>
          <w:b/>
          <w:sz w:val="28"/>
          <w:szCs w:val="28"/>
        </w:rPr>
      </w:pPr>
      <w:r>
        <w:rPr>
          <w:rFonts w:hint="eastAsia"/>
          <w:sz w:val="28"/>
          <w:szCs w:val="28"/>
        </w:rPr>
        <w:t xml:space="preserve">   </w:t>
      </w:r>
      <w:r>
        <w:rPr>
          <w:rFonts w:hint="eastAsia" w:ascii="宋体" w:hAnsi="宋体" w:cs="宋体"/>
          <w:b/>
          <w:sz w:val="28"/>
          <w:szCs w:val="28"/>
        </w:rPr>
        <w:t>（二）检验检测项目分析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1、手提式干粉灭火器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本次监督抽查共抽查5批次，合格率为100%。虽然本次抽查全部合格，但因该产品属于CCC产品，且今年该产品出现多次相关刑事案件，影响恶劣，因此后续仍应持续关注该产品。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该产品较易出现不合格的项目主要是干粉灭火剂主要组分含量（磷酸二氢铵）。干粉灭火剂的产品标准是GB 4066-2017《干粉灭火剂》，该标准于2018年7月1日开始实施。新标GB 4066-2017与旧标GB 4066.1-2004和GB 4066.2-2004相比，主要组分含量项目做了较大改变，详见表3所示。在市场上，符合旧版标准的手提式灭火器内的干粉灭火剂，其主要组分磷酸二氢铵公布值均为50%，而对于新版标准要求的手提式灭火器内的干粉灭火剂，磷酸二氢铵公布值均为75%。</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jc w:val="center"/>
        <w:rPr>
          <w:rFonts w:ascii="宋体" w:hAnsi="宋体" w:cs="宋体"/>
          <w:sz w:val="24"/>
          <w:szCs w:val="21"/>
        </w:rPr>
      </w:pPr>
      <w:r>
        <w:rPr>
          <w:rFonts w:hint="eastAsia" w:ascii="宋体" w:hAnsi="宋体" w:cs="宋体"/>
          <w:sz w:val="24"/>
          <w:szCs w:val="21"/>
        </w:rPr>
        <w:t>表3 新旧GB 4066标准中的主要组分含量项目对比</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4536"/>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干粉灭火剂</w:t>
            </w:r>
          </w:p>
          <w:p>
            <w:pPr>
              <w:adjustRightInd w:val="0"/>
              <w:snapToGrid w:val="0"/>
              <w:spacing w:line="360" w:lineRule="auto"/>
              <w:jc w:val="center"/>
              <w:rPr>
                <w:rFonts w:ascii="宋体" w:hAnsi="宋体" w:cs="宋体"/>
                <w:sz w:val="24"/>
                <w:szCs w:val="21"/>
              </w:rPr>
            </w:pPr>
            <w:r>
              <w:rPr>
                <w:rFonts w:hint="eastAsia" w:ascii="宋体" w:hAnsi="宋体" w:cs="宋体"/>
                <w:sz w:val="24"/>
                <w:szCs w:val="21"/>
              </w:rPr>
              <w:t>标准</w:t>
            </w:r>
          </w:p>
        </w:tc>
        <w:tc>
          <w:tcPr>
            <w:tcW w:w="4536" w:type="dxa"/>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GB 4066-2017</w:t>
            </w:r>
          </w:p>
        </w:tc>
        <w:tc>
          <w:tcPr>
            <w:tcW w:w="2303" w:type="dxa"/>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GB 4066.1-2004</w:t>
            </w:r>
          </w:p>
          <w:p>
            <w:pPr>
              <w:adjustRightInd w:val="0"/>
              <w:snapToGrid w:val="0"/>
              <w:spacing w:line="360" w:lineRule="auto"/>
              <w:jc w:val="center"/>
              <w:rPr>
                <w:rFonts w:ascii="宋体" w:hAnsi="宋体" w:cs="宋体"/>
                <w:sz w:val="24"/>
                <w:szCs w:val="21"/>
              </w:rPr>
            </w:pPr>
            <w:r>
              <w:rPr>
                <w:rFonts w:hint="eastAsia" w:ascii="宋体" w:hAnsi="宋体" w:cs="宋体"/>
                <w:sz w:val="24"/>
                <w:szCs w:val="21"/>
              </w:rPr>
              <w:t>GB 4066.2-2004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3" w:type="dxa"/>
            <w:vMerge w:val="restart"/>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主要组分含量</w:t>
            </w:r>
          </w:p>
        </w:tc>
        <w:tc>
          <w:tcPr>
            <w:tcW w:w="4536" w:type="dxa"/>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任一主要组分含量：公布值±（0.75＋2.5×公布值）%</w:t>
            </w:r>
          </w:p>
        </w:tc>
        <w:tc>
          <w:tcPr>
            <w:tcW w:w="2303" w:type="dxa"/>
            <w:vMerge w:val="restart"/>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厂商公布值±3%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83" w:type="dxa"/>
            <w:vMerge w:val="continue"/>
            <w:vAlign w:val="center"/>
          </w:tcPr>
          <w:p>
            <w:pPr>
              <w:adjustRightInd w:val="0"/>
              <w:snapToGrid w:val="0"/>
              <w:spacing w:line="360" w:lineRule="auto"/>
              <w:jc w:val="center"/>
              <w:rPr>
                <w:rFonts w:ascii="宋体" w:hAnsi="宋体" w:cs="宋体"/>
                <w:sz w:val="24"/>
                <w:szCs w:val="21"/>
              </w:rPr>
            </w:pPr>
          </w:p>
        </w:tc>
        <w:tc>
          <w:tcPr>
            <w:tcW w:w="4536" w:type="dxa"/>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所有主要组分含量：公布值之和≥90%</w:t>
            </w:r>
          </w:p>
        </w:tc>
        <w:tc>
          <w:tcPr>
            <w:tcW w:w="2303" w:type="dxa"/>
            <w:vMerge w:val="continue"/>
            <w:vAlign w:val="center"/>
          </w:tcPr>
          <w:p>
            <w:pPr>
              <w:adjustRightInd w:val="0"/>
              <w:snapToGrid w:val="0"/>
              <w:spacing w:line="360" w:lineRule="auto"/>
              <w:jc w:val="center"/>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83" w:type="dxa"/>
            <w:vMerge w:val="continue"/>
            <w:vAlign w:val="center"/>
          </w:tcPr>
          <w:p>
            <w:pPr>
              <w:adjustRightInd w:val="0"/>
              <w:snapToGrid w:val="0"/>
              <w:spacing w:line="360" w:lineRule="auto"/>
              <w:jc w:val="center"/>
              <w:rPr>
                <w:rFonts w:ascii="宋体" w:hAnsi="宋体" w:cs="宋体"/>
                <w:sz w:val="24"/>
                <w:szCs w:val="21"/>
              </w:rPr>
            </w:pPr>
          </w:p>
        </w:tc>
        <w:tc>
          <w:tcPr>
            <w:tcW w:w="4536" w:type="dxa"/>
            <w:vAlign w:val="center"/>
          </w:tcPr>
          <w:p>
            <w:pPr>
              <w:adjustRightInd w:val="0"/>
              <w:snapToGrid w:val="0"/>
              <w:spacing w:line="360" w:lineRule="auto"/>
              <w:jc w:val="center"/>
              <w:rPr>
                <w:rFonts w:ascii="宋体" w:hAnsi="宋体" w:cs="宋体"/>
                <w:sz w:val="24"/>
                <w:szCs w:val="21"/>
              </w:rPr>
            </w:pPr>
            <w:r>
              <w:rPr>
                <w:rFonts w:hint="eastAsia" w:ascii="宋体" w:hAnsi="宋体" w:cs="宋体"/>
                <w:sz w:val="24"/>
                <w:szCs w:val="21"/>
              </w:rPr>
              <w:t>第一主要组分含量：公布值≥75%</w:t>
            </w:r>
          </w:p>
        </w:tc>
        <w:tc>
          <w:tcPr>
            <w:tcW w:w="2303" w:type="dxa"/>
            <w:vMerge w:val="continue"/>
            <w:vAlign w:val="center"/>
          </w:tcPr>
          <w:p>
            <w:pPr>
              <w:adjustRightInd w:val="0"/>
              <w:snapToGrid w:val="0"/>
              <w:spacing w:line="360" w:lineRule="auto"/>
              <w:jc w:val="center"/>
              <w:rPr>
                <w:rFonts w:ascii="宋体" w:hAnsi="宋体" w:cs="宋体"/>
                <w:sz w:val="24"/>
                <w:szCs w:val="21"/>
              </w:rPr>
            </w:pPr>
          </w:p>
        </w:tc>
      </w:tr>
    </w:tbl>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通常情况下，出现灭火剂含量不合格的原因主要为干粉灭火剂厂家供应含量不达标的粉剂给灭火器厂家，并且灭火器厂家未对其进行严格的进厂检验。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2、消防水带</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本次监督抽查共抽查2批次消防水带，合格率100%，从以往的抽查结果看，该产品的合格率仍然不高，建议后续持续关注。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消防水带产品最易出现不合格的项目是附着强度。附着强度项目主要是考核消防水带的编织层和衬里之间的附着力，附着强度项目不合格，会导致消防水带的承压能力不足，影响实际火灾救援工作。</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附着强度出现不合格的原因主要是水带编织层和衬里之间附着力不足，而影响附着力不足的因素一般包括：a）编织层与衬里材料结合在一起时，采用的温度多为170℃～200℃。企业生产线简陋，设备陈旧，缺少必须的计量检测器具，对温度以及粘合所用胶类控制能力差；b）生产企业对施胶过程控制不严，如施胶不均匀或施胶量不符合要求、胶水类别或型号不正确、胶水质量不合格等；d）消防水带胶粘过程控制不能达到工艺要求，如胶粘时间不够、粘合温度或压力达不到工艺要求等。</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目前该产品主要衬里材质为聚氨酯，该材质经过多年的市场验证，证明其质量的稳定性和可靠性，并且生产厂家通过多年的经验累积，已经掌握了稳定可靠的生产加工技艺，并且形成质量手册以持续控制。而近两年可以见到消防水带衬里材质越来越多厂家使用了“合成橡胶”这个新材料，产品的更新往往需要经过多次长久的验证，生产工艺的逐渐更新以匹配新材料的化学性能，对于“合成橡胶”型的水带产品质量还仍需持续关注。</w:t>
      </w:r>
    </w:p>
    <w:p>
      <w:pPr>
        <w:adjustRightInd w:val="0"/>
        <w:snapToGrid w:val="0"/>
        <w:spacing w:line="360" w:lineRule="auto"/>
        <w:ind w:firstLine="560" w:firstLineChars="200"/>
        <w:rPr>
          <w:rFonts w:ascii="黑体" w:hAnsi="黑体" w:eastAsia="黑体" w:cs="宋体"/>
          <w:sz w:val="28"/>
          <w:szCs w:val="28"/>
        </w:rPr>
      </w:pPr>
      <w:r>
        <w:rPr>
          <w:rFonts w:hint="eastAsia" w:ascii="黑体" w:hAnsi="黑体" w:eastAsia="黑体" w:cs="宋体"/>
          <w:sz w:val="28"/>
          <w:szCs w:val="28"/>
          <w:lang w:val="en-US" w:eastAsia="zh-CN"/>
        </w:rPr>
        <w:t>五</w:t>
      </w:r>
      <w:bookmarkStart w:id="0" w:name="_GoBack"/>
      <w:bookmarkEnd w:id="0"/>
      <w:r>
        <w:rPr>
          <w:rFonts w:hint="eastAsia" w:ascii="黑体" w:hAnsi="黑体" w:eastAsia="黑体" w:cs="宋体"/>
          <w:sz w:val="28"/>
          <w:szCs w:val="28"/>
        </w:rPr>
        <w:t>、消费提示</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（一）手提式干粉灭火器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1、购买时的常识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灭火器瓶上的标识应清晰可见，且灭火器的生产日期应在2018年7月1日之后，灭火器上应贴有红色的身份证信息标签，通过手机扫描身份证信息标签上的二维码可进入到消防产品合格评定中心的官网，查看该样品的相关信息，注意识别二维码网站的真伪；</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（2）查看灭火器瓶体是否光滑无撞击痕迹，查看灭火器的压力指示器是否在绿色工作区域；</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（3）通过消防产品合格评定中心官网，查询灭火器生产企业是否通过CCC认证，未通过CCC认证，则属于无证生产，此外应注意CCC认证证书的状态是否有效；</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（4）优先选择正规的灭火器专卖店，购买生产日期较近的灭火器产品，尽量不要选择价格明显低于市场正常价格水平的灭火器产品。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2、使用时的常识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（1）使用手提式干粉灭火器时，应手提灭火器的提把，迅速赶到着火处；</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（2）使用前，可先把灭火器上下颠倒几次，使筒内干粉松动；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（3）喷射时站在上风口位置，距离起火点1.2—1.8米处，先拔下保险销，一只手握住喷嘴，另一只手用力压下压把，干粉便会从喷嘴喷射出来；</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（4）用干粉灭火器扑救流散液体火灾时，应从火焰侧面，对准火焰根部喷射，并由近而远，左右扫射，快速推进，直至把火焰全部扑灭；</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（6）用干粉灭火器扑救固体物质火灾时，应使灭火器嘴对准燃烧最猛烈处，左右扫射，并应尽量使干粉灭火剂均匀地喷洒在燃烧物的表面，直至把火全部扑灭；</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7）使用干粉灭火器应注意灭火过程中灭火器应始终保持直立状态，不得横卧或颠倒使用，否则不能喷粉；同时注意灭火后要防止复燃，因为干粉灭火器的冷却作用甚微，在着火点存在着炽热物的条件下，灭火后易产生复燃。</w:t>
      </w:r>
    </w:p>
    <w:p>
      <w:pPr>
        <w:adjustRightInd w:val="0"/>
        <w:snapToGrid w:val="0"/>
        <w:spacing w:line="360" w:lineRule="auto"/>
        <w:ind w:firstLine="562" w:firstLineChars="200"/>
        <w:rPr>
          <w:rFonts w:ascii="宋体" w:hAnsi="宋体" w:cs="宋体"/>
          <w:b/>
          <w:sz w:val="28"/>
          <w:szCs w:val="28"/>
        </w:rPr>
      </w:pPr>
      <w:r>
        <w:rPr>
          <w:rFonts w:hint="eastAsia" w:ascii="宋体" w:hAnsi="宋体" w:cs="宋体"/>
          <w:b/>
          <w:sz w:val="28"/>
          <w:szCs w:val="28"/>
        </w:rPr>
        <w:t>（二）消防水带</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1、购买时的常识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（1）消防水带产品上的标识应清晰可见；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（2）查看消防水带表面编织层是否均匀整洁，无瑕疵；触摸消防水带，感受水带的厚度，厚度过小则质量可能较差；</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（3）优先选择正规的消防水带专卖店，购买生产日期较近的消防水带产品。</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2、使用时的常识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（1）使用工作压力范围应在消防水带型号指定范围之内，使用时严禁在锋利物上拖拉；</w:t>
      </w:r>
    </w:p>
    <w:p>
      <w:pPr>
        <w:adjustRightInd w:val="0"/>
        <w:snapToGrid w:val="0"/>
        <w:spacing w:line="360" w:lineRule="auto"/>
        <w:ind w:firstLine="560" w:firstLineChars="200"/>
        <w:rPr>
          <w:sz w:val="28"/>
          <w:szCs w:val="28"/>
        </w:rPr>
      </w:pPr>
      <w:r>
        <w:rPr>
          <w:rFonts w:hint="eastAsia" w:ascii="宋体" w:hAnsi="宋体" w:cs="宋体"/>
          <w:sz w:val="28"/>
          <w:szCs w:val="28"/>
        </w:rPr>
        <w:t>（2）使用结束后，将消防水带放在阴凉处晾干，盘卷好后，放置原处。</w:t>
      </w:r>
    </w:p>
    <w:sectPr>
      <w:pgSz w:w="11906" w:h="16838"/>
      <w:pgMar w:top="1440" w:right="1280" w:bottom="1440" w:left="15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980D1A"/>
    <w:rsid w:val="000B07E7"/>
    <w:rsid w:val="000D207C"/>
    <w:rsid w:val="00142248"/>
    <w:rsid w:val="001446D6"/>
    <w:rsid w:val="00185430"/>
    <w:rsid w:val="001A3E5C"/>
    <w:rsid w:val="002C7EC6"/>
    <w:rsid w:val="002D33C4"/>
    <w:rsid w:val="003C6AD0"/>
    <w:rsid w:val="003E45CC"/>
    <w:rsid w:val="003F1C79"/>
    <w:rsid w:val="004327BB"/>
    <w:rsid w:val="004D4DF2"/>
    <w:rsid w:val="0050107C"/>
    <w:rsid w:val="0056338F"/>
    <w:rsid w:val="00567E53"/>
    <w:rsid w:val="00763D21"/>
    <w:rsid w:val="00770F2A"/>
    <w:rsid w:val="008F6E2D"/>
    <w:rsid w:val="00966FAF"/>
    <w:rsid w:val="00980D1A"/>
    <w:rsid w:val="00B21E35"/>
    <w:rsid w:val="00CD79B0"/>
    <w:rsid w:val="00D163BE"/>
    <w:rsid w:val="00EA14C8"/>
    <w:rsid w:val="00EC4A00"/>
    <w:rsid w:val="00EE5996"/>
    <w:rsid w:val="00F003CF"/>
    <w:rsid w:val="0D4E7BD0"/>
    <w:rsid w:val="191E097B"/>
    <w:rsid w:val="2331574F"/>
    <w:rsid w:val="39E135D3"/>
    <w:rsid w:val="48F86243"/>
    <w:rsid w:val="4CAF26F1"/>
    <w:rsid w:val="518C60C3"/>
    <w:rsid w:val="76B4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link w:val="11"/>
    <w:autoRedefine/>
    <w:unhideWhenUsed/>
    <w:qFormat/>
    <w:uiPriority w:val="1"/>
    <w:pPr>
      <w:autoSpaceDE w:val="0"/>
      <w:autoSpaceDN w:val="0"/>
      <w:ind w:left="140" w:firstLine="419"/>
      <w:jc w:val="left"/>
    </w:pPr>
    <w:rPr>
      <w:rFonts w:ascii="宋体" w:hAnsi="宋体" w:cs="宋体" w:eastAsiaTheme="minorEastAsia"/>
      <w:szCs w:val="21"/>
      <w:lang w:val="zh-CN" w:bidi="zh-CN"/>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正文文本 Char"/>
    <w:link w:val="3"/>
    <w:autoRedefine/>
    <w:qFormat/>
    <w:uiPriority w:val="1"/>
    <w:rPr>
      <w:rFonts w:ascii="宋体" w:hAnsi="宋体" w:cs="宋体"/>
      <w:szCs w:val="21"/>
      <w:lang w:val="zh-CN" w:bidi="zh-CN"/>
    </w:rPr>
  </w:style>
  <w:style w:type="character" w:customStyle="1" w:styleId="12">
    <w:name w:val="正文文本 Char1"/>
    <w:basedOn w:val="8"/>
    <w:autoRedefine/>
    <w:semiHidden/>
    <w:qFormat/>
    <w:uiPriority w:val="99"/>
    <w:rPr>
      <w:rFonts w:ascii="Times New Roman" w:hAnsi="Times New Roman" w:eastAsia="宋体" w:cs="Times New Roman"/>
      <w:szCs w:val="24"/>
    </w:rPr>
  </w:style>
  <w:style w:type="paragraph" w:customStyle="1" w:styleId="13">
    <w:name w:val="Table Paragraph"/>
    <w:basedOn w:val="1"/>
    <w:autoRedefine/>
    <w:qFormat/>
    <w:uiPriority w:val="1"/>
    <w:pPr>
      <w:autoSpaceDE w:val="0"/>
      <w:autoSpaceDN w:val="0"/>
      <w:spacing w:before="100"/>
      <w:jc w:val="center"/>
    </w:pPr>
    <w:rPr>
      <w:rFonts w:ascii="宋体" w:hAnsi="宋体" w:cs="宋体"/>
      <w:kern w:val="0"/>
      <w:sz w:val="22"/>
      <w:szCs w:val="22"/>
      <w:lang w:val="zh-CN" w:bidi="zh-CN"/>
    </w:rPr>
  </w:style>
  <w:style w:type="character" w:customStyle="1" w:styleId="14">
    <w:name w:val="批注框文本 Char"/>
    <w:basedOn w:val="8"/>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手提式干粉灭火器</c:v>
                </c:pt>
                <c:pt idx="1">
                  <c:v>消防水带</c:v>
                </c:pt>
              </c:strCache>
            </c:strRef>
          </c:cat>
          <c:val>
            <c:numRef>
              <c:f>Sheet1!$B$2:$B$3</c:f>
              <c:numCache>
                <c:formatCode>General</c:formatCode>
                <c:ptCount val="2"/>
                <c:pt idx="0">
                  <c:v>5</c:v>
                </c:pt>
                <c:pt idx="1">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626</Words>
  <Characters>3572</Characters>
  <Lines>29</Lines>
  <Paragraphs>8</Paragraphs>
  <TotalTime>2</TotalTime>
  <ScaleCrop>false</ScaleCrop>
  <LinksUpToDate>false</LinksUpToDate>
  <CharactersWithSpaces>4190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2023-12-05T06:51:00Z</dcterms:created>
  <dc:creator>覃况</dc:creator>
  <cp:lastModifiedBy>盛</cp:lastModifiedBy>
  <cp:lastPrinted>2023-12-28T00:51:00Z</cp:lastPrinted>
  <dcterms:modified xsi:type="dcterms:W3CDTF">2024-01-03T03:18:25Z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CCC71A546BF64F2BB9CCEC4040CAAEB8_12</vt:lpwstr>
  </property>
</Properties>
</file>