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r>
        <w:rPr>
          <w:rFonts w:hint="eastAsia" w:ascii="方正小标宋简体" w:hAnsi="黑体" w:eastAsia="方正小标宋简体" w:cs="仿宋"/>
          <w:sz w:val="44"/>
          <w:szCs w:val="44"/>
        </w:rPr>
        <w:t>注销危险化学品经营许可证名单</w:t>
      </w:r>
    </w:p>
    <w:tbl>
      <w:tblPr>
        <w:tblStyle w:val="4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70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江苏润业化工有限公司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常州峰易昕新材料科技有限公司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常州百裕粉体材料科技有限公司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常州市正豪化工有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常州百洁新材料科技有限公司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常州市资江化工有限公司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常州市通锦物资有限公司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江苏奥斯蒙化工贸易有限公司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常州伊迪曼化工新材料有限公司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常州市华创化工有限公司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常州朗逸化学品有限公司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常州市聚泰新材料有限公司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常州鹿扬新材料科技有限公司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常州中康化工有限公司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常州宸东生物科技有限公司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常州常盛玻璃钢材料有限公司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常州市聚义化工有限公司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江苏鑫地石油化工有限公司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江苏艾维科技发展有限公司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常州市宝通化工有限公司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常州优立康科技有限公司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常州市鹏阳石化有限公司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常州辉特气体有限公司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常州韶安化工科技有限公司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常州博昊化工有限公司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常州领航石油化工有限公司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常州市铭齐诺科技有限公司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常州三友环保科技有限公司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29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常州常宝化工有限公司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30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常州市景帆化工有限公司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31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常州市任待化工有限公司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32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常州麦科斯新材科技有限公司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33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江苏振港机电有限公司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34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常州市超缆商贸有限公司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35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常州新区鹏宇化工有限公司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36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国宏润滑油（中国）有限公司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37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常州华恒涂料有限公司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常州跃泰化工科技有限公司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常州新区富源玻璃钢复合材料有限公司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常州卓洋国际贸易有限公司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常州优利特化工有限公司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苏D(新)行审市经字[2020]000548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常州亚浩化工有限公司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江苏格林沃斯化工有限公司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447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常州高晶化工有限公司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val="en-US" w:eastAsia="zh-CN"/>
              </w:rPr>
              <w:t>苏D(新)行审市经字[2020]001306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hNGQ2YzEwNWMxMTFkYTU5MTU4Njk0ZWY0MGM1NzcifQ=="/>
  </w:docVars>
  <w:rsids>
    <w:rsidRoot w:val="00A55100"/>
    <w:rsid w:val="00336798"/>
    <w:rsid w:val="0040568C"/>
    <w:rsid w:val="005C654F"/>
    <w:rsid w:val="00656861"/>
    <w:rsid w:val="00A55100"/>
    <w:rsid w:val="00D5244E"/>
    <w:rsid w:val="5E15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1268</Characters>
  <Lines>10</Lines>
  <Paragraphs>2</Paragraphs>
  <TotalTime>0</TotalTime>
  <ScaleCrop>false</ScaleCrop>
  <LinksUpToDate>false</LinksUpToDate>
  <CharactersWithSpaces>1488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2023-02-03T01:02:00Z</dcterms:created>
  <dc:creator>未定义</dc:creator>
  <cp:lastModifiedBy>Dell</cp:lastModifiedBy>
  <dcterms:modified xsi:type="dcterms:W3CDTF">2024-02-20T03:41:10Z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FE08D638011D4CC19448113E5CE828FA_12</vt:lpwstr>
  </property>
</Properties>
</file>