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0" w:name="OLE_LINK1"/>
      <w:bookmarkStart w:id="1" w:name="_Hlk153176404"/>
      <w:r>
        <w:rPr>
          <w:b/>
          <w:sz w:val="44"/>
          <w:szCs w:val="44"/>
        </w:rPr>
        <w:t>《常州市新北区养殖水域滩涂规划》</w:t>
      </w:r>
      <w:bookmarkEnd w:id="0"/>
      <w:r>
        <w:rPr>
          <w:b/>
          <w:sz w:val="44"/>
          <w:szCs w:val="44"/>
        </w:rPr>
        <w:t>（2017-2030年）（2023修编版）</w:t>
      </w:r>
      <w:bookmarkEnd w:id="1"/>
      <w:r>
        <w:rPr>
          <w:b/>
          <w:sz w:val="44"/>
          <w:szCs w:val="44"/>
        </w:rPr>
        <w:t>编制说明</w:t>
      </w:r>
    </w:p>
    <w:p>
      <w:pPr>
        <w:spacing w:line="560" w:lineRule="exact"/>
        <w:ind w:firstLine="630" w:firstLineChars="196"/>
        <w:jc w:val="left"/>
        <w:rPr>
          <w:rFonts w:eastAsia="黑体"/>
          <w:b/>
          <w:sz w:val="32"/>
          <w:szCs w:val="32"/>
        </w:rPr>
      </w:pPr>
    </w:p>
    <w:p>
      <w:pPr>
        <w:pStyle w:val="12"/>
        <w:numPr>
          <w:ilvl w:val="0"/>
          <w:numId w:val="1"/>
        </w:numPr>
        <w:spacing w:line="560" w:lineRule="exact"/>
        <w:ind w:firstLineChars="0"/>
        <w:jc w:val="left"/>
        <w:rPr>
          <w:rFonts w:eastAsia="黑体"/>
          <w:b/>
          <w:sz w:val="32"/>
          <w:szCs w:val="32"/>
        </w:rPr>
      </w:pPr>
      <w:r>
        <w:rPr>
          <w:rFonts w:eastAsia="黑体"/>
          <w:b/>
          <w:sz w:val="32"/>
          <w:szCs w:val="32"/>
        </w:rPr>
        <w:t>修编背景</w:t>
      </w:r>
    </w:p>
    <w:p>
      <w:pPr>
        <w:pStyle w:val="6"/>
        <w:spacing w:line="451" w:lineRule="auto"/>
        <w:ind w:firstLine="420"/>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以习近平新时代中国特色社会主义思想为指导，全面贯彻落实</w:t>
      </w:r>
      <w:bookmarkStart w:id="2" w:name="_GoBack"/>
      <w:r>
        <w:rPr>
          <w:rFonts w:ascii="Times New Roman" w:hAnsi="Times New Roman" w:eastAsia="仿宋_GB2312" w:cs="Times New Roman"/>
          <w:kern w:val="2"/>
          <w:sz w:val="32"/>
          <w:szCs w:val="32"/>
        </w:rPr>
        <w:t>党的二十大</w:t>
      </w:r>
      <w:bookmarkEnd w:id="2"/>
      <w:r>
        <w:rPr>
          <w:rFonts w:ascii="Times New Roman" w:hAnsi="Times New Roman" w:eastAsia="仿宋_GB2312" w:cs="Times New Roman"/>
          <w:kern w:val="2"/>
          <w:sz w:val="32"/>
          <w:szCs w:val="32"/>
        </w:rPr>
        <w:t xml:space="preserve">精神，推动绿色发展，加快构筑尊崇自然、绿色发展的生态体系和经济体系，形成绿色发展方式和生活方式，坚定不移走生产发展、生活富裕、生态良好的文明发展道路。依据《农业部关于印发&lt;养殖水域滩涂规划编制工作规范&gt;和&lt;养殖水域滩涂规划编制大纲&gt;的通知》（农渔发〔2016〕39号）的文件精神，结合新北区实际，《新北区养殖水域滩涂规划（2017-2030年）》发布实施几年来，新北区渔业产业格局发生了一些变化，有必要对原规划进行修编。 </w:t>
      </w:r>
    </w:p>
    <w:p>
      <w:pPr>
        <w:spacing w:line="560" w:lineRule="exact"/>
        <w:ind w:firstLine="630" w:firstLineChars="196"/>
        <w:jc w:val="left"/>
        <w:rPr>
          <w:rFonts w:eastAsia="黑体"/>
          <w:b/>
          <w:sz w:val="32"/>
          <w:szCs w:val="32"/>
        </w:rPr>
      </w:pPr>
      <w:r>
        <w:rPr>
          <w:rFonts w:eastAsia="黑体"/>
          <w:b/>
          <w:sz w:val="32"/>
          <w:szCs w:val="32"/>
        </w:rPr>
        <w:t>二、工作简况</w:t>
      </w:r>
    </w:p>
    <w:p>
      <w:pPr>
        <w:spacing w:line="560" w:lineRule="exact"/>
        <w:ind w:firstLine="636" w:firstLineChars="198"/>
        <w:jc w:val="left"/>
        <w:rPr>
          <w:b/>
          <w:sz w:val="32"/>
          <w:szCs w:val="32"/>
        </w:rPr>
      </w:pPr>
      <w:r>
        <w:rPr>
          <w:b/>
          <w:sz w:val="32"/>
          <w:szCs w:val="32"/>
        </w:rPr>
        <w:t>（一）任务来源</w:t>
      </w:r>
    </w:p>
    <w:p>
      <w:pPr>
        <w:spacing w:line="560" w:lineRule="exact"/>
        <w:ind w:firstLine="640" w:firstLineChars="200"/>
        <w:rPr>
          <w:rFonts w:eastAsia="仿宋_GB2312"/>
          <w:sz w:val="32"/>
          <w:szCs w:val="32"/>
        </w:rPr>
      </w:pPr>
      <w:r>
        <w:rPr>
          <w:rFonts w:eastAsia="仿宋_GB2312"/>
          <w:sz w:val="32"/>
          <w:szCs w:val="32"/>
        </w:rPr>
        <w:t>在以上修编背景下，为了保障新北区渔民就业安置、保障新北区水产品长期有效供给，促进新北区水产养殖业可持续发展，针对《新北区养殖水域滩涂规划》（2017-2030）已不能满足新北区渔业产业可持续发展</w:t>
      </w:r>
      <w:r>
        <w:rPr>
          <w:rFonts w:hint="eastAsia" w:eastAsia="仿宋_GB2312"/>
          <w:sz w:val="32"/>
          <w:szCs w:val="32"/>
        </w:rPr>
        <w:t>需要</w:t>
      </w:r>
      <w:r>
        <w:rPr>
          <w:rFonts w:eastAsia="仿宋_GB2312"/>
          <w:sz w:val="32"/>
          <w:szCs w:val="32"/>
        </w:rPr>
        <w:t>的现状，结合新北区渔业产业发展</w:t>
      </w:r>
      <w:r>
        <w:rPr>
          <w:rFonts w:hint="eastAsia" w:eastAsia="仿宋_GB2312"/>
          <w:sz w:val="32"/>
          <w:szCs w:val="32"/>
        </w:rPr>
        <w:t>情况</w:t>
      </w:r>
      <w:r>
        <w:rPr>
          <w:rFonts w:eastAsia="仿宋_GB2312"/>
          <w:sz w:val="32"/>
          <w:szCs w:val="32"/>
        </w:rPr>
        <w:t>，新北区农业农村局提出，开展新北区养殖水域滩涂规划修编工作，编制《常州市新北区养殖水域滩涂规划》（2017-2030年）（2023修编版）（以下简称为《规划修编》），以期更好地指导新北区现代生态渔业可持续发展。</w:t>
      </w:r>
    </w:p>
    <w:p>
      <w:pPr>
        <w:spacing w:line="560" w:lineRule="exact"/>
        <w:ind w:firstLine="640" w:firstLineChars="200"/>
        <w:rPr>
          <w:rFonts w:eastAsia="仿宋_GB2312"/>
          <w:sz w:val="32"/>
          <w:szCs w:val="32"/>
        </w:rPr>
      </w:pPr>
    </w:p>
    <w:p>
      <w:pPr>
        <w:spacing w:line="560" w:lineRule="exact"/>
        <w:ind w:firstLine="636" w:firstLineChars="198"/>
        <w:rPr>
          <w:b/>
          <w:sz w:val="32"/>
          <w:szCs w:val="32"/>
        </w:rPr>
      </w:pPr>
      <w:r>
        <w:rPr>
          <w:b/>
          <w:sz w:val="32"/>
          <w:szCs w:val="32"/>
        </w:rPr>
        <w:t>（二）主要工作过程</w:t>
      </w:r>
    </w:p>
    <w:p>
      <w:pPr>
        <w:spacing w:line="560" w:lineRule="exact"/>
        <w:ind w:firstLine="630" w:firstLineChars="196"/>
        <w:rPr>
          <w:rFonts w:eastAsia="仿宋_GB2312"/>
          <w:b/>
          <w:bCs/>
          <w:color w:val="000000"/>
          <w:kern w:val="0"/>
          <w:sz w:val="32"/>
          <w:szCs w:val="32"/>
        </w:rPr>
      </w:pPr>
      <w:r>
        <w:rPr>
          <w:rFonts w:eastAsia="仿宋_GB2312"/>
          <w:b/>
          <w:bCs/>
          <w:color w:val="000000"/>
          <w:kern w:val="0"/>
          <w:sz w:val="32"/>
          <w:szCs w:val="32"/>
        </w:rPr>
        <w:t>1. 立项前的准备工作</w:t>
      </w:r>
    </w:p>
    <w:p>
      <w:pPr>
        <w:spacing w:line="560" w:lineRule="exact"/>
        <w:ind w:firstLine="640" w:firstLineChars="200"/>
        <w:rPr>
          <w:rFonts w:eastAsia="仿宋_GB2312"/>
          <w:sz w:val="32"/>
          <w:szCs w:val="32"/>
        </w:rPr>
      </w:pPr>
      <w:r>
        <w:rPr>
          <w:rFonts w:eastAsia="仿宋_GB2312"/>
          <w:sz w:val="32"/>
          <w:szCs w:val="32"/>
        </w:rPr>
        <w:t>根据原农业部《养殖水域滩涂规划编制工作规范》和《养殖水域滩涂规划编制大纲》的通知要求，项目承担单位相关人员赴新北区农业农村局进行了现场对接，了解了新北区农业农村局对《规划修编》的主要需求，双方初步达成了共同进行《规划修编》的意向。</w:t>
      </w:r>
    </w:p>
    <w:p>
      <w:pPr>
        <w:spacing w:line="560" w:lineRule="exact"/>
        <w:ind w:firstLine="640" w:firstLineChars="200"/>
        <w:rPr>
          <w:rFonts w:eastAsia="仿宋_GB2312"/>
          <w:sz w:val="32"/>
          <w:szCs w:val="32"/>
        </w:rPr>
      </w:pPr>
      <w:r>
        <w:rPr>
          <w:rFonts w:eastAsia="仿宋_GB2312"/>
          <w:sz w:val="32"/>
          <w:szCs w:val="32"/>
        </w:rPr>
        <w:t>2023年7月28日，中国水产科学研究院淡水渔业研究中心正式受常州市新北区农业局委托，开展《规划修编》的工作，双方签订了技术服务合同。</w:t>
      </w:r>
    </w:p>
    <w:p>
      <w:pPr>
        <w:spacing w:line="560" w:lineRule="exact"/>
        <w:ind w:firstLine="560" w:firstLineChars="200"/>
        <w:rPr>
          <w:rFonts w:eastAsia="仿宋_GB2312"/>
          <w:color w:val="000000"/>
          <w:sz w:val="28"/>
          <w:szCs w:val="28"/>
        </w:rPr>
      </w:pPr>
    </w:p>
    <w:p>
      <w:pPr>
        <w:spacing w:line="560" w:lineRule="exact"/>
        <w:ind w:firstLine="630" w:firstLineChars="196"/>
        <w:rPr>
          <w:rFonts w:eastAsia="仿宋_GB2312"/>
          <w:b/>
          <w:bCs/>
          <w:color w:val="000000"/>
          <w:kern w:val="0"/>
          <w:sz w:val="32"/>
          <w:szCs w:val="32"/>
        </w:rPr>
      </w:pPr>
      <w:r>
        <w:rPr>
          <w:rFonts w:eastAsia="仿宋_GB2312"/>
          <w:b/>
          <w:bCs/>
          <w:color w:val="000000"/>
          <w:kern w:val="0"/>
          <w:sz w:val="32"/>
          <w:szCs w:val="32"/>
        </w:rPr>
        <w:t>2. 编制工作</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（1）规划编制：</w:t>
      </w:r>
    </w:p>
    <w:p>
      <w:pPr>
        <w:spacing w:line="560" w:lineRule="exact"/>
        <w:ind w:firstLine="627" w:firstLineChars="196"/>
        <w:rPr>
          <w:rFonts w:eastAsia="仿宋_GB2312"/>
          <w:bCs/>
          <w:color w:val="000000"/>
          <w:kern w:val="0"/>
          <w:sz w:val="32"/>
          <w:szCs w:val="32"/>
        </w:rPr>
      </w:pPr>
      <w:r>
        <w:rPr>
          <w:rFonts w:hint="eastAsia" w:eastAsia="仿宋_GB2312"/>
          <w:bCs/>
          <w:color w:val="000000"/>
          <w:kern w:val="0"/>
          <w:sz w:val="32"/>
          <w:szCs w:val="32"/>
        </w:rPr>
        <w:t>针对规划编制任务，项目承担单位</w:t>
      </w:r>
      <w:r>
        <w:rPr>
          <w:rFonts w:eastAsia="仿宋_GB2312"/>
          <w:bCs/>
          <w:color w:val="000000"/>
          <w:kern w:val="0"/>
          <w:sz w:val="32"/>
          <w:szCs w:val="32"/>
        </w:rPr>
        <w:t>淡水渔业研究中心成立了</w:t>
      </w:r>
      <w:r>
        <w:rPr>
          <w:rFonts w:eastAsia="仿宋_GB2312"/>
          <w:sz w:val="32"/>
          <w:szCs w:val="32"/>
        </w:rPr>
        <w:t>《规划修编》</w:t>
      </w:r>
      <w:r>
        <w:rPr>
          <w:rFonts w:hint="eastAsia" w:eastAsia="仿宋_GB2312"/>
          <w:sz w:val="32"/>
          <w:szCs w:val="32"/>
        </w:rPr>
        <w:t>工作</w:t>
      </w:r>
      <w:r>
        <w:rPr>
          <w:rFonts w:eastAsia="仿宋_GB2312"/>
          <w:bCs/>
          <w:color w:val="000000"/>
          <w:kern w:val="0"/>
          <w:sz w:val="32"/>
          <w:szCs w:val="32"/>
        </w:rPr>
        <w:t>组，进行了任务分工，制定</w:t>
      </w:r>
      <w:r>
        <w:rPr>
          <w:rFonts w:hint="eastAsia" w:eastAsia="仿宋_GB2312"/>
          <w:bCs/>
          <w:color w:val="000000"/>
          <w:kern w:val="0"/>
          <w:sz w:val="32"/>
          <w:szCs w:val="32"/>
        </w:rPr>
        <w:t>了</w:t>
      </w:r>
      <w:r>
        <w:rPr>
          <w:rFonts w:eastAsia="仿宋_GB2312"/>
          <w:bCs/>
          <w:color w:val="000000"/>
          <w:kern w:val="0"/>
          <w:sz w:val="32"/>
          <w:szCs w:val="32"/>
        </w:rPr>
        <w:t>工作计划</w:t>
      </w:r>
      <w:r>
        <w:rPr>
          <w:rFonts w:hint="eastAsia" w:eastAsia="仿宋_GB2312"/>
          <w:bCs/>
          <w:color w:val="000000"/>
          <w:kern w:val="0"/>
          <w:sz w:val="32"/>
          <w:szCs w:val="32"/>
        </w:rPr>
        <w:t>和</w:t>
      </w:r>
      <w:r>
        <w:rPr>
          <w:rFonts w:eastAsia="仿宋_GB2312"/>
          <w:bCs/>
          <w:color w:val="000000"/>
          <w:kern w:val="0"/>
          <w:sz w:val="32"/>
          <w:szCs w:val="32"/>
        </w:rPr>
        <w:t>实施方案。</w:t>
      </w:r>
      <w:r>
        <w:rPr>
          <w:rFonts w:hint="eastAsia" w:eastAsia="仿宋_GB2312"/>
          <w:bCs/>
          <w:color w:val="000000"/>
          <w:kern w:val="0"/>
          <w:sz w:val="32"/>
          <w:szCs w:val="32"/>
        </w:rPr>
        <w:t>工作</w:t>
      </w:r>
      <w:r>
        <w:rPr>
          <w:rFonts w:eastAsia="仿宋_GB2312"/>
          <w:bCs/>
          <w:color w:val="000000"/>
          <w:kern w:val="0"/>
          <w:sz w:val="32"/>
          <w:szCs w:val="32"/>
        </w:rPr>
        <w:t>组</w:t>
      </w:r>
      <w:r>
        <w:rPr>
          <w:rFonts w:hint="eastAsia" w:eastAsia="仿宋_GB2312"/>
          <w:bCs/>
          <w:color w:val="000000"/>
          <w:kern w:val="0"/>
          <w:sz w:val="32"/>
          <w:szCs w:val="32"/>
        </w:rPr>
        <w:t>首先</w:t>
      </w:r>
      <w:r>
        <w:rPr>
          <w:rFonts w:eastAsia="仿宋_GB2312"/>
          <w:sz w:val="32"/>
          <w:szCs w:val="32"/>
        </w:rPr>
        <w:t>进行了现场调研，和新北区自然资源和规划分局、高新区（新北）生态环境局等相关代表进行了现场座谈，征询了其对</w:t>
      </w:r>
      <w:r>
        <w:rPr>
          <w:rFonts w:eastAsia="仿宋_GB2312"/>
          <w:bCs/>
          <w:color w:val="000000"/>
          <w:kern w:val="0"/>
          <w:sz w:val="32"/>
          <w:szCs w:val="32"/>
        </w:rPr>
        <w:t>了解其对《规划修编》的意见。</w:t>
      </w:r>
      <w:r>
        <w:rPr>
          <w:rFonts w:hint="eastAsia" w:eastAsia="仿宋_GB2312"/>
          <w:bCs/>
          <w:color w:val="000000"/>
          <w:kern w:val="0"/>
          <w:sz w:val="32"/>
          <w:szCs w:val="32"/>
        </w:rPr>
        <w:t>各</w:t>
      </w:r>
      <w:r>
        <w:rPr>
          <w:rFonts w:eastAsia="仿宋_GB2312"/>
          <w:sz w:val="32"/>
          <w:szCs w:val="32"/>
        </w:rPr>
        <w:t>镇</w:t>
      </w:r>
      <w:r>
        <w:rPr>
          <w:rFonts w:hint="eastAsia" w:eastAsia="仿宋_GB2312"/>
          <w:sz w:val="32"/>
          <w:szCs w:val="32"/>
        </w:rPr>
        <w:t>（</w:t>
      </w:r>
      <w:r>
        <w:rPr>
          <w:rFonts w:eastAsia="仿宋_GB2312"/>
          <w:sz w:val="32"/>
          <w:szCs w:val="32"/>
        </w:rPr>
        <w:t>街道</w:t>
      </w:r>
      <w:r>
        <w:rPr>
          <w:rFonts w:hint="eastAsia" w:eastAsia="仿宋_GB2312"/>
          <w:sz w:val="32"/>
          <w:szCs w:val="32"/>
        </w:rPr>
        <w:t>）相关</w:t>
      </w:r>
      <w:r>
        <w:rPr>
          <w:rFonts w:eastAsia="仿宋_GB2312"/>
          <w:sz w:val="32"/>
          <w:szCs w:val="32"/>
        </w:rPr>
        <w:t>人员进行了充分的沟通，</w:t>
      </w:r>
      <w:r>
        <w:rPr>
          <w:rFonts w:eastAsia="仿宋_GB2312"/>
          <w:bCs/>
          <w:color w:val="000000"/>
          <w:kern w:val="0"/>
          <w:sz w:val="32"/>
          <w:szCs w:val="32"/>
        </w:rPr>
        <w:t>了解其对《规划修编》的意见。</w:t>
      </w:r>
      <w:r>
        <w:rPr>
          <w:rFonts w:hint="eastAsia" w:eastAsia="仿宋_GB2312"/>
          <w:bCs/>
          <w:color w:val="000000"/>
          <w:kern w:val="0"/>
          <w:sz w:val="32"/>
          <w:szCs w:val="32"/>
        </w:rPr>
        <w:t>工作组</w:t>
      </w:r>
      <w:r>
        <w:rPr>
          <w:rFonts w:eastAsia="仿宋_GB2312"/>
          <w:sz w:val="32"/>
          <w:szCs w:val="32"/>
        </w:rPr>
        <w:t>列出了修编过程中需要的主要材料清单，</w:t>
      </w:r>
      <w:r>
        <w:rPr>
          <w:rFonts w:eastAsia="仿宋_GB2312"/>
          <w:bCs/>
          <w:color w:val="000000"/>
          <w:kern w:val="0"/>
          <w:sz w:val="32"/>
          <w:szCs w:val="32"/>
        </w:rPr>
        <w:t>收集相关资料后，着手对资料进行分析和整理，形成最终方案。在最终方案的基础上，进行了养殖区、禁养区、限养区以及总图的制图，并对文本进行了相应的修改。</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（2）征求意见：</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《规划修编》初稿形成后，</w:t>
      </w:r>
      <w:r>
        <w:rPr>
          <w:rFonts w:hint="eastAsia" w:eastAsia="仿宋_GB2312"/>
          <w:bCs/>
          <w:color w:val="000000"/>
          <w:kern w:val="0"/>
          <w:sz w:val="32"/>
          <w:szCs w:val="32"/>
        </w:rPr>
        <w:t>工作</w:t>
      </w:r>
      <w:r>
        <w:rPr>
          <w:rFonts w:eastAsia="仿宋_GB2312"/>
          <w:bCs/>
          <w:color w:val="000000"/>
          <w:kern w:val="0"/>
          <w:sz w:val="32"/>
          <w:szCs w:val="32"/>
        </w:rPr>
        <w:t>组先后于2023年10月26日和11月6日两次赴新北区农业农村局进行现场座谈，新北区农业农村局、</w:t>
      </w:r>
      <w:r>
        <w:rPr>
          <w:rFonts w:eastAsia="仿宋_GB2312"/>
          <w:sz w:val="32"/>
          <w:szCs w:val="32"/>
        </w:rPr>
        <w:t>新北区自然资源和规划分局、高新区（新北）生态环境局、</w:t>
      </w:r>
      <w:r>
        <w:rPr>
          <w:rFonts w:hint="eastAsia" w:eastAsia="仿宋_GB2312"/>
          <w:bCs/>
          <w:color w:val="000000"/>
          <w:kern w:val="0"/>
          <w:sz w:val="32"/>
          <w:szCs w:val="32"/>
        </w:rPr>
        <w:t>各</w:t>
      </w:r>
      <w:r>
        <w:rPr>
          <w:rFonts w:eastAsia="仿宋_GB2312"/>
          <w:sz w:val="32"/>
          <w:szCs w:val="32"/>
        </w:rPr>
        <w:t>镇</w:t>
      </w:r>
      <w:r>
        <w:rPr>
          <w:rFonts w:hint="eastAsia" w:eastAsia="仿宋_GB2312"/>
          <w:sz w:val="32"/>
          <w:szCs w:val="32"/>
        </w:rPr>
        <w:t>（</w:t>
      </w:r>
      <w:r>
        <w:rPr>
          <w:rFonts w:eastAsia="仿宋_GB2312"/>
          <w:sz w:val="32"/>
          <w:szCs w:val="32"/>
        </w:rPr>
        <w:t>街道</w:t>
      </w:r>
      <w:r>
        <w:rPr>
          <w:rFonts w:hint="eastAsia" w:eastAsia="仿宋_GB2312"/>
          <w:sz w:val="32"/>
          <w:szCs w:val="32"/>
        </w:rPr>
        <w:t>）相关</w:t>
      </w:r>
      <w:r>
        <w:rPr>
          <w:rFonts w:eastAsia="仿宋_GB2312"/>
          <w:sz w:val="32"/>
          <w:szCs w:val="32"/>
        </w:rPr>
        <w:t>人员参加了座谈并提出了自己的意见。</w:t>
      </w:r>
      <w:r>
        <w:rPr>
          <w:rFonts w:hint="eastAsia" w:eastAsia="仿宋_GB2312"/>
          <w:sz w:val="32"/>
          <w:szCs w:val="32"/>
        </w:rPr>
        <w:t>工作</w:t>
      </w:r>
      <w:r>
        <w:rPr>
          <w:rFonts w:eastAsia="仿宋_GB2312"/>
          <w:sz w:val="32"/>
          <w:szCs w:val="32"/>
        </w:rPr>
        <w:t>组听取了这些意见后对</w:t>
      </w:r>
      <w:r>
        <w:rPr>
          <w:rFonts w:eastAsia="仿宋_GB2312"/>
          <w:bCs/>
          <w:color w:val="000000"/>
          <w:kern w:val="0"/>
          <w:sz w:val="32"/>
          <w:szCs w:val="32"/>
        </w:rPr>
        <w:t>《规划修编》初稿进行了相应的修改和完善。</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（3）专家评审：</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2023年12月7日，常州市新北区农业局组织了来自江苏省渔业技术推广中心、常州市水资源服务中心、南京大学江宁环保技术创新研究院</w:t>
      </w:r>
      <w:r>
        <w:rPr>
          <w:rFonts w:hint="eastAsia" w:eastAsia="仿宋_GB2312"/>
          <w:bCs/>
          <w:color w:val="000000"/>
          <w:kern w:val="0"/>
          <w:sz w:val="32"/>
          <w:szCs w:val="32"/>
        </w:rPr>
        <w:t>的</w:t>
      </w:r>
      <w:r>
        <w:rPr>
          <w:rFonts w:eastAsia="仿宋_GB2312"/>
          <w:bCs/>
          <w:color w:val="000000"/>
          <w:kern w:val="0"/>
          <w:sz w:val="32"/>
          <w:szCs w:val="32"/>
        </w:rPr>
        <w:t>专家组成的专家组组对《规划修编》进行了评审。专家组听取了《规划修编》</w:t>
      </w:r>
      <w:r>
        <w:rPr>
          <w:rFonts w:hint="eastAsia" w:eastAsia="仿宋_GB2312"/>
          <w:bCs/>
          <w:color w:val="000000"/>
          <w:kern w:val="0"/>
          <w:sz w:val="32"/>
          <w:szCs w:val="32"/>
        </w:rPr>
        <w:t>工作</w:t>
      </w:r>
      <w:r>
        <w:rPr>
          <w:rFonts w:eastAsia="仿宋_GB2312"/>
          <w:bCs/>
          <w:color w:val="000000"/>
          <w:kern w:val="0"/>
          <w:sz w:val="32"/>
          <w:szCs w:val="32"/>
        </w:rPr>
        <w:t>组的汇报，审阅了规划文本，经讨论质询，一致同意通过评审。建议编制组按照与会专家的相关建议，对《规划》进行修改完善后，按程序报批实施。</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（4）送审：</w:t>
      </w:r>
    </w:p>
    <w:p>
      <w:pPr>
        <w:spacing w:line="560" w:lineRule="exact"/>
        <w:ind w:firstLine="627" w:firstLineChars="196"/>
        <w:rPr>
          <w:rFonts w:eastAsia="仿宋_GB2312"/>
          <w:bCs/>
          <w:color w:val="000000"/>
          <w:kern w:val="0"/>
          <w:sz w:val="32"/>
          <w:szCs w:val="32"/>
        </w:rPr>
      </w:pPr>
      <w:r>
        <w:rPr>
          <w:rFonts w:eastAsia="仿宋_GB2312"/>
          <w:bCs/>
          <w:color w:val="000000"/>
          <w:kern w:val="0"/>
          <w:sz w:val="32"/>
          <w:szCs w:val="32"/>
        </w:rPr>
        <w:t>根据评审会专家提出的意见，规划编制单位对《常州市新北区养殖水域滩涂规划》（2017-2030年）（2023修编版）又重新进行了补充完善，形成送审稿，呈报常州市新北区人民政府审批。</w:t>
      </w:r>
    </w:p>
    <w:p>
      <w:pPr>
        <w:spacing w:line="560" w:lineRule="exact"/>
        <w:ind w:firstLine="630" w:firstLineChars="196"/>
        <w:jc w:val="left"/>
        <w:rPr>
          <w:rFonts w:eastAsia="黑体"/>
          <w:b/>
          <w:sz w:val="32"/>
          <w:szCs w:val="32"/>
        </w:rPr>
      </w:pPr>
    </w:p>
    <w:p>
      <w:pPr>
        <w:spacing w:line="560" w:lineRule="exact"/>
        <w:ind w:firstLine="630" w:firstLineChars="196"/>
        <w:jc w:val="left"/>
        <w:rPr>
          <w:rFonts w:eastAsia="黑体"/>
          <w:b/>
          <w:sz w:val="32"/>
          <w:szCs w:val="32"/>
        </w:rPr>
      </w:pPr>
      <w:r>
        <w:rPr>
          <w:rFonts w:eastAsia="黑体"/>
          <w:b/>
          <w:sz w:val="32"/>
          <w:szCs w:val="32"/>
        </w:rPr>
        <w:t>二、规划修编的原则、主要内容和依据</w:t>
      </w:r>
    </w:p>
    <w:p>
      <w:pPr>
        <w:spacing w:line="560" w:lineRule="exact"/>
        <w:ind w:firstLine="596" w:firstLineChars="198"/>
        <w:jc w:val="left"/>
        <w:rPr>
          <w:b/>
          <w:sz w:val="30"/>
          <w:szCs w:val="30"/>
        </w:rPr>
      </w:pPr>
      <w:r>
        <w:rPr>
          <w:b/>
          <w:sz w:val="30"/>
          <w:szCs w:val="30"/>
        </w:rPr>
        <w:t>（一）修编原则</w:t>
      </w:r>
    </w:p>
    <w:p>
      <w:pPr>
        <w:spacing w:line="560" w:lineRule="exact"/>
        <w:ind w:firstLine="640" w:firstLineChars="200"/>
        <w:rPr>
          <w:rFonts w:eastAsia="仿宋_GB2312"/>
          <w:sz w:val="32"/>
          <w:szCs w:val="32"/>
        </w:rPr>
      </w:pPr>
      <w:r>
        <w:rPr>
          <w:rFonts w:eastAsia="仿宋_GB2312"/>
          <w:sz w:val="32"/>
          <w:szCs w:val="32"/>
        </w:rPr>
        <w:t>1. 坚持科学规划、因地制宜原则</w:t>
      </w:r>
    </w:p>
    <w:p>
      <w:pPr>
        <w:spacing w:line="560" w:lineRule="exact"/>
        <w:ind w:firstLine="640" w:firstLineChars="200"/>
        <w:rPr>
          <w:rFonts w:eastAsia="仿宋_GB2312"/>
          <w:sz w:val="32"/>
          <w:szCs w:val="32"/>
        </w:rPr>
      </w:pPr>
      <w:r>
        <w:rPr>
          <w:rFonts w:eastAsia="仿宋_GB2312"/>
          <w:sz w:val="32"/>
          <w:szCs w:val="32"/>
        </w:rPr>
        <w:t>规划是在全面调查的基础上，根据新北区水域承载力评价结果和水产养殖产业发展需求，并在已有区划规定基础上，形成新北区养殖水域开发利用和保护的总体思路，合理布局水产养殖生产，制定养殖水域使用管理的具体措施，将适于养殖的水域滩涂确定为养殖水域用地，然后制定养殖功能区规划和养殖区域布局规划。</w:t>
      </w:r>
    </w:p>
    <w:p>
      <w:pPr>
        <w:spacing w:line="560" w:lineRule="exact"/>
        <w:ind w:firstLine="640" w:firstLineChars="200"/>
        <w:rPr>
          <w:rFonts w:eastAsia="仿宋_GB2312"/>
          <w:sz w:val="32"/>
          <w:szCs w:val="32"/>
        </w:rPr>
      </w:pPr>
      <w:r>
        <w:rPr>
          <w:rFonts w:eastAsia="仿宋_GB2312"/>
          <w:sz w:val="32"/>
          <w:szCs w:val="32"/>
        </w:rPr>
        <w:t>2. 坚持生态优先、底线约束原则</w:t>
      </w:r>
    </w:p>
    <w:p>
      <w:pPr>
        <w:spacing w:line="560" w:lineRule="exact"/>
        <w:ind w:firstLine="640" w:firstLineChars="200"/>
        <w:rPr>
          <w:rFonts w:eastAsia="仿宋_GB2312"/>
          <w:sz w:val="32"/>
          <w:szCs w:val="32"/>
        </w:rPr>
      </w:pPr>
      <w:r>
        <w:rPr>
          <w:rFonts w:eastAsia="仿宋_GB2312"/>
          <w:sz w:val="32"/>
          <w:szCs w:val="32"/>
        </w:rPr>
        <w:t>坚持走生产发展、生活富裕、生态良好的文明发展道路，科学开展水域滩涂利用评价，保护水域滩涂生态环境，明确区域经济发展方向，合理安排渔业产业发展空间。要将饮用水源地、自然保护区等重要生态保护区域或公共安全“红线”和“黄线”区域作为禁止或限制养殖区，设定发展底线。</w:t>
      </w:r>
    </w:p>
    <w:p>
      <w:pPr>
        <w:spacing w:line="560" w:lineRule="exact"/>
        <w:ind w:firstLine="640" w:firstLineChars="200"/>
        <w:rPr>
          <w:rFonts w:eastAsia="仿宋_GB2312"/>
          <w:sz w:val="32"/>
          <w:szCs w:val="32"/>
        </w:rPr>
      </w:pPr>
      <w:r>
        <w:rPr>
          <w:rFonts w:eastAsia="仿宋_GB2312"/>
          <w:sz w:val="32"/>
          <w:szCs w:val="32"/>
        </w:rPr>
        <w:t>3. 坚持合理布局、转调结合原则</w:t>
      </w:r>
    </w:p>
    <w:p>
      <w:pPr>
        <w:spacing w:line="560" w:lineRule="exact"/>
        <w:ind w:firstLine="640" w:firstLineChars="200"/>
        <w:rPr>
          <w:rFonts w:eastAsia="仿宋_GB2312"/>
          <w:sz w:val="32"/>
          <w:szCs w:val="32"/>
        </w:rPr>
      </w:pPr>
      <w:r>
        <w:rPr>
          <w:rFonts w:eastAsia="仿宋_GB2312"/>
          <w:sz w:val="32"/>
          <w:szCs w:val="32"/>
        </w:rPr>
        <w:t>稳定淡水池塘养殖，限制围栏养殖，禁止河道养殖，发展生态养殖，支持设施养殖向工厂化循环水方向发展，实现养殖水域滩涂的整体规划、合理储备、有序利用、协调发展。</w:t>
      </w:r>
    </w:p>
    <w:p>
      <w:pPr>
        <w:spacing w:line="560" w:lineRule="exact"/>
        <w:ind w:firstLine="640" w:firstLineChars="200"/>
        <w:rPr>
          <w:rFonts w:eastAsia="仿宋_GB2312"/>
          <w:sz w:val="32"/>
          <w:szCs w:val="32"/>
        </w:rPr>
      </w:pPr>
      <w:r>
        <w:rPr>
          <w:rFonts w:eastAsia="仿宋_GB2312"/>
          <w:sz w:val="32"/>
          <w:szCs w:val="32"/>
        </w:rPr>
        <w:t>4. 坚持统筹协调、横向衔接原则</w:t>
      </w:r>
    </w:p>
    <w:p>
      <w:pPr>
        <w:spacing w:line="560" w:lineRule="exact"/>
        <w:ind w:firstLine="640" w:firstLineChars="200"/>
        <w:rPr>
          <w:rFonts w:eastAsia="仿宋_GB2312"/>
          <w:sz w:val="32"/>
          <w:szCs w:val="32"/>
        </w:rPr>
      </w:pPr>
      <w:r>
        <w:rPr>
          <w:rFonts w:eastAsia="仿宋_GB2312"/>
          <w:sz w:val="32"/>
          <w:szCs w:val="32"/>
        </w:rPr>
        <w:t>做好与《江苏省国家级生态保护红线规划》、《江苏省生态红线区域保护规划》、《江苏省地表水（环境）功能区划》、《常州市“十四五”农业农村现代化规划》、《常州市新北区生态红线区域保护规划》等规划的衔接，避免交叉和矛盾，促进区域经济的协调发展。</w:t>
      </w:r>
    </w:p>
    <w:p>
      <w:pPr>
        <w:spacing w:line="560" w:lineRule="exact"/>
        <w:ind w:firstLine="640" w:firstLineChars="200"/>
        <w:rPr>
          <w:rFonts w:eastAsia="仿宋_GB2312"/>
          <w:sz w:val="32"/>
          <w:szCs w:val="32"/>
        </w:rPr>
      </w:pPr>
      <w:r>
        <w:rPr>
          <w:rFonts w:eastAsia="仿宋_GB2312"/>
          <w:sz w:val="32"/>
          <w:szCs w:val="32"/>
        </w:rPr>
        <w:t>5. 坚持尊重历史，稳定发展原则</w:t>
      </w:r>
    </w:p>
    <w:p>
      <w:pPr>
        <w:spacing w:line="560" w:lineRule="exact"/>
        <w:ind w:firstLine="640" w:firstLineChars="200"/>
        <w:rPr>
          <w:color w:val="000000"/>
          <w:kern w:val="0"/>
          <w:sz w:val="28"/>
          <w:szCs w:val="28"/>
        </w:rPr>
      </w:pPr>
      <w:r>
        <w:rPr>
          <w:rFonts w:eastAsia="仿宋_GB2312"/>
          <w:sz w:val="32"/>
          <w:szCs w:val="32"/>
        </w:rPr>
        <w:t>规划必须尊重传统养殖区的历史，要保持养殖水面的相对稳定，实现水产养殖的可持续发展。</w:t>
      </w:r>
    </w:p>
    <w:p>
      <w:pPr>
        <w:spacing w:line="560" w:lineRule="exact"/>
        <w:ind w:firstLine="560" w:firstLineChars="200"/>
        <w:rPr>
          <w:rFonts w:eastAsia="仿宋_GB2312"/>
          <w:color w:val="000000"/>
          <w:kern w:val="0"/>
          <w:sz w:val="28"/>
          <w:szCs w:val="28"/>
        </w:rPr>
      </w:pPr>
    </w:p>
    <w:p>
      <w:pPr>
        <w:spacing w:line="560" w:lineRule="exact"/>
        <w:ind w:firstLine="636" w:firstLineChars="198"/>
        <w:jc w:val="left"/>
        <w:rPr>
          <w:b/>
          <w:sz w:val="32"/>
          <w:szCs w:val="32"/>
        </w:rPr>
      </w:pPr>
      <w:r>
        <w:rPr>
          <w:b/>
          <w:sz w:val="32"/>
          <w:szCs w:val="32"/>
        </w:rPr>
        <w:t>（二）修编主要内容和依据</w:t>
      </w:r>
    </w:p>
    <w:p>
      <w:pPr>
        <w:spacing w:line="560" w:lineRule="exact"/>
        <w:ind w:firstLine="640" w:firstLineChars="200"/>
        <w:rPr>
          <w:rFonts w:eastAsia="仿宋_GB2312"/>
          <w:sz w:val="32"/>
          <w:szCs w:val="32"/>
        </w:rPr>
      </w:pPr>
      <w:r>
        <w:rPr>
          <w:rFonts w:eastAsia="仿宋_GB2312"/>
          <w:sz w:val="32"/>
          <w:szCs w:val="32"/>
        </w:rPr>
        <w:t>本次修编的基本依据包括了《中华人民共和国渔业法》、《中华人民共和国环境保护法》等法律法规，原农业部《养殖水域滩涂规划编制工作规范》和《养殖水域滩涂规划编制大纲通知》（农渔发</w:t>
      </w:r>
      <w:r>
        <w:rPr>
          <w:rFonts w:eastAsia="微软雅黑"/>
          <w:sz w:val="32"/>
          <w:szCs w:val="32"/>
        </w:rPr>
        <w:t>﹝</w:t>
      </w:r>
      <w:r>
        <w:rPr>
          <w:rFonts w:eastAsia="仿宋_GB2312"/>
          <w:sz w:val="32"/>
          <w:szCs w:val="32"/>
        </w:rPr>
        <w:t>2016</w:t>
      </w:r>
      <w:r>
        <w:rPr>
          <w:rFonts w:eastAsia="微软雅黑"/>
          <w:sz w:val="32"/>
          <w:szCs w:val="32"/>
        </w:rPr>
        <w:t>﹞</w:t>
      </w:r>
      <w:r>
        <w:rPr>
          <w:rFonts w:eastAsia="仿宋_GB2312"/>
          <w:sz w:val="32"/>
          <w:szCs w:val="32"/>
        </w:rPr>
        <w:t>39号）等相关政策，《全国渔业发展第十四个五年规划》、《“十四五”渔业科技发展规划》等相关规划，《渔业水质标准》（GB/T 11607-1989）、《地表水环境质量标准》（GB3838-2002）等相关标准。结合新北区水域</w:t>
      </w:r>
      <w:r>
        <w:rPr>
          <w:rFonts w:hint="eastAsia" w:eastAsia="仿宋_GB2312"/>
          <w:sz w:val="32"/>
          <w:szCs w:val="32"/>
        </w:rPr>
        <w:t>滩涂</w:t>
      </w:r>
      <w:r>
        <w:rPr>
          <w:rFonts w:eastAsia="仿宋_GB2312"/>
          <w:sz w:val="32"/>
          <w:szCs w:val="32"/>
        </w:rPr>
        <w:t>的实际</w:t>
      </w:r>
      <w:r>
        <w:rPr>
          <w:rFonts w:hint="eastAsia" w:eastAsia="仿宋_GB2312"/>
          <w:sz w:val="32"/>
          <w:szCs w:val="32"/>
        </w:rPr>
        <w:t>情况</w:t>
      </w:r>
      <w:r>
        <w:rPr>
          <w:rFonts w:eastAsia="仿宋_GB2312"/>
          <w:sz w:val="32"/>
          <w:szCs w:val="32"/>
        </w:rPr>
        <w:t>，对《新北区养殖水域滩涂规划》（2017-2030）进行修编，主要内容和对应具体依据如下：</w:t>
      </w:r>
    </w:p>
    <w:p>
      <w:pPr>
        <w:spacing w:line="560" w:lineRule="exact"/>
        <w:ind w:firstLine="640" w:firstLineChars="200"/>
        <w:rPr>
          <w:rFonts w:eastAsia="仿宋_GB2312"/>
          <w:sz w:val="32"/>
          <w:szCs w:val="32"/>
        </w:rPr>
      </w:pPr>
      <w:r>
        <w:rPr>
          <w:rFonts w:eastAsia="仿宋_GB2312"/>
          <w:sz w:val="32"/>
          <w:szCs w:val="32"/>
        </w:rPr>
        <w:t>1. 将新孟河两侧（新孟河清水通道，不包括新孟河河道）孟河镇、西夏墅镇和奔牛镇所在四个地块禁养区调整为养殖区，图1和图2分别为调整前和调整后禁养区的变化，图3和图4分别调整前和调整后养殖区的变化。</w:t>
      </w:r>
    </w:p>
    <w:p>
      <w:pPr>
        <w:jc w:val="center"/>
        <w:rPr>
          <w:rFonts w:eastAsia="仿宋_GB2312"/>
          <w:sz w:val="32"/>
          <w:szCs w:val="32"/>
        </w:rPr>
      </w:pPr>
      <w:r>
        <w:rPr>
          <w:rFonts w:eastAsia="仿宋_GB2312"/>
          <w:sz w:val="32"/>
          <w:szCs w:val="32"/>
        </w:rPr>
        <w:drawing>
          <wp:inline distT="0" distB="0" distL="0" distR="0">
            <wp:extent cx="5274310" cy="7469505"/>
            <wp:effectExtent l="0" t="0" r="0" b="0"/>
            <wp:docPr id="2076445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4509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469505"/>
                    </a:xfrm>
                    <a:prstGeom prst="rect">
                      <a:avLst/>
                    </a:prstGeom>
                  </pic:spPr>
                </pic:pic>
              </a:graphicData>
            </a:graphic>
          </wp:inline>
        </w:drawing>
      </w:r>
    </w:p>
    <w:p>
      <w:pPr>
        <w:spacing w:line="560" w:lineRule="exact"/>
        <w:ind w:firstLine="640" w:firstLineChars="200"/>
        <w:jc w:val="center"/>
        <w:rPr>
          <w:rFonts w:eastAsia="仿宋_GB2312"/>
          <w:sz w:val="32"/>
          <w:szCs w:val="32"/>
        </w:rPr>
      </w:pPr>
      <w:r>
        <w:rPr>
          <w:rFonts w:eastAsia="仿宋_GB2312"/>
          <w:sz w:val="32"/>
          <w:szCs w:val="32"/>
        </w:rPr>
        <w:t>图1 调整前禁养区图</w:t>
      </w:r>
    </w:p>
    <w:p>
      <w:pPr>
        <w:jc w:val="center"/>
        <w:rPr>
          <w:rFonts w:eastAsia="仿宋_GB2312"/>
          <w:sz w:val="32"/>
          <w:szCs w:val="32"/>
        </w:rPr>
      </w:pPr>
      <w:r>
        <w:rPr>
          <w:rFonts w:eastAsia="仿宋_GB2312"/>
          <w:sz w:val="32"/>
          <w:szCs w:val="32"/>
        </w:rPr>
        <w:drawing>
          <wp:inline distT="0" distB="0" distL="0" distR="0">
            <wp:extent cx="5274310" cy="7468235"/>
            <wp:effectExtent l="0" t="0" r="0" b="0"/>
            <wp:docPr id="4551128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12849"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468235"/>
                    </a:xfrm>
                    <a:prstGeom prst="rect">
                      <a:avLst/>
                    </a:prstGeom>
                  </pic:spPr>
                </pic:pic>
              </a:graphicData>
            </a:graphic>
          </wp:inline>
        </w:drawing>
      </w:r>
    </w:p>
    <w:p>
      <w:pPr>
        <w:spacing w:line="560" w:lineRule="exact"/>
        <w:ind w:firstLine="640" w:firstLineChars="200"/>
        <w:jc w:val="center"/>
        <w:rPr>
          <w:rFonts w:eastAsia="仿宋_GB2312"/>
          <w:sz w:val="32"/>
          <w:szCs w:val="32"/>
        </w:rPr>
      </w:pPr>
      <w:r>
        <w:rPr>
          <w:rFonts w:eastAsia="仿宋_GB2312"/>
          <w:sz w:val="32"/>
          <w:szCs w:val="32"/>
        </w:rPr>
        <w:t>图2 调整后禁养区图</w:t>
      </w:r>
    </w:p>
    <w:p>
      <w:pPr>
        <w:ind w:firstLine="640" w:firstLineChars="200"/>
        <w:jc w:val="center"/>
        <w:rPr>
          <w:rFonts w:eastAsia="仿宋_GB2312"/>
          <w:sz w:val="32"/>
          <w:szCs w:val="32"/>
        </w:rPr>
      </w:pPr>
    </w:p>
    <w:p>
      <w:pPr>
        <w:ind w:firstLine="640" w:firstLineChars="200"/>
        <w:jc w:val="center"/>
        <w:rPr>
          <w:rFonts w:eastAsia="仿宋_GB2312"/>
          <w:sz w:val="32"/>
          <w:szCs w:val="32"/>
        </w:rPr>
      </w:pPr>
    </w:p>
    <w:p>
      <w:pPr>
        <w:jc w:val="center"/>
        <w:rPr>
          <w:rFonts w:eastAsia="仿宋_GB2312"/>
          <w:sz w:val="32"/>
          <w:szCs w:val="32"/>
        </w:rPr>
      </w:pPr>
      <w:r>
        <w:rPr>
          <w:rFonts w:eastAsia="仿宋_GB2312"/>
          <w:sz w:val="32"/>
          <w:szCs w:val="32"/>
        </w:rPr>
        <w:drawing>
          <wp:inline distT="0" distB="0" distL="0" distR="0">
            <wp:extent cx="5274310" cy="7469505"/>
            <wp:effectExtent l="0" t="0" r="0" b="0"/>
            <wp:docPr id="380498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8423"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9505"/>
                    </a:xfrm>
                    <a:prstGeom prst="rect">
                      <a:avLst/>
                    </a:prstGeom>
                  </pic:spPr>
                </pic:pic>
              </a:graphicData>
            </a:graphic>
          </wp:inline>
        </w:drawing>
      </w:r>
    </w:p>
    <w:p>
      <w:pPr>
        <w:jc w:val="center"/>
        <w:rPr>
          <w:rFonts w:eastAsia="仿宋_GB2312"/>
          <w:sz w:val="32"/>
          <w:szCs w:val="32"/>
        </w:rPr>
      </w:pPr>
      <w:r>
        <w:rPr>
          <w:rFonts w:eastAsia="仿宋_GB2312"/>
          <w:sz w:val="32"/>
          <w:szCs w:val="32"/>
        </w:rPr>
        <w:t>图3调整前养殖区图</w:t>
      </w:r>
    </w:p>
    <w:p>
      <w:pPr>
        <w:jc w:val="center"/>
        <w:rPr>
          <w:rFonts w:eastAsia="仿宋_GB2312"/>
          <w:sz w:val="32"/>
          <w:szCs w:val="32"/>
        </w:rPr>
      </w:pPr>
      <w:r>
        <w:rPr>
          <w:rFonts w:eastAsia="仿宋_GB2312"/>
          <w:sz w:val="32"/>
          <w:szCs w:val="32"/>
        </w:rPr>
        <w:drawing>
          <wp:inline distT="0" distB="0" distL="0" distR="0">
            <wp:extent cx="5274310" cy="7468235"/>
            <wp:effectExtent l="0" t="0" r="0" b="0"/>
            <wp:docPr id="15763395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39510"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8235"/>
                    </a:xfrm>
                    <a:prstGeom prst="rect">
                      <a:avLst/>
                    </a:prstGeom>
                  </pic:spPr>
                </pic:pic>
              </a:graphicData>
            </a:graphic>
          </wp:inline>
        </w:drawing>
      </w:r>
    </w:p>
    <w:p>
      <w:pPr>
        <w:jc w:val="center"/>
        <w:rPr>
          <w:rFonts w:eastAsia="仿宋_GB2312"/>
          <w:sz w:val="32"/>
          <w:szCs w:val="32"/>
        </w:rPr>
      </w:pPr>
      <w:r>
        <w:rPr>
          <w:rFonts w:eastAsia="仿宋_GB2312"/>
          <w:sz w:val="32"/>
          <w:szCs w:val="32"/>
        </w:rPr>
        <w:t>图4调整后养殖区图</w:t>
      </w:r>
    </w:p>
    <w:p>
      <w:pPr>
        <w:spacing w:line="560" w:lineRule="exact"/>
        <w:rPr>
          <w:rFonts w:eastAsia="仿宋_GB2312"/>
          <w:sz w:val="32"/>
          <w:szCs w:val="32"/>
        </w:rPr>
      </w:pPr>
    </w:p>
    <w:p>
      <w:pPr>
        <w:spacing w:line="560" w:lineRule="exact"/>
        <w:rPr>
          <w:rFonts w:eastAsia="仿宋_GB2312"/>
          <w:sz w:val="32"/>
          <w:szCs w:val="32"/>
        </w:rPr>
      </w:pPr>
    </w:p>
    <w:p>
      <w:pPr>
        <w:spacing w:line="560" w:lineRule="exact"/>
        <w:ind w:firstLine="640" w:firstLineChars="200"/>
        <w:rPr>
          <w:rFonts w:eastAsia="仿宋_GB2312"/>
          <w:sz w:val="32"/>
          <w:szCs w:val="32"/>
        </w:rPr>
      </w:pPr>
      <w:r>
        <w:rPr>
          <w:rFonts w:eastAsia="仿宋_GB2312"/>
          <w:sz w:val="32"/>
          <w:szCs w:val="32"/>
        </w:rPr>
        <w:t>依据：</w:t>
      </w:r>
    </w:p>
    <w:p>
      <w:pPr>
        <w:spacing w:line="560" w:lineRule="exact"/>
        <w:ind w:firstLine="640" w:firstLineChars="200"/>
        <w:rPr>
          <w:rFonts w:eastAsia="仿宋_GB2312"/>
          <w:sz w:val="32"/>
          <w:szCs w:val="32"/>
        </w:rPr>
      </w:pPr>
      <w:r>
        <w:rPr>
          <w:rFonts w:eastAsia="仿宋_GB2312"/>
          <w:sz w:val="32"/>
          <w:szCs w:val="32"/>
        </w:rPr>
        <w:t>（1）《中华人民共和国渔业法》中国家鼓励全民所有制单位、集体所有制单位和个人充分利用适于养殖的水域、滩涂，发展养殖业的条款；（2）养殖水域滩涂规划编制工作规范指导思想中稳定基本养殖水域、保障渔民合法权益、确保有效供给等内容；（3）该区域不在养殖水域滩涂规划编制规范中必需划为禁养区的范围内；（4）新北区按照江苏省和常州市的有关要求，积极推进养殖池塘标准化改造工作，按照江苏省《水产养殖业污染物控制技术规范》的有关要求进行池塘养殖尾水处理的有关要求，建设养殖池塘尾水处理单元。严格遵守从2023年6月1日起实施的《池塘养殖尾水排放标准》，这将显著降低池塘养殖对外环境的影响；（5）新孟河连接长江部分进行了改道，进一步降低了池塘养殖对重要水体环境的影响；（6）随着常州市所有区、市养殖水域滩涂规划的完成，常州市几个区之间所在新孟河清水通道区域养殖池塘的功能分区不统一问题显现出来，这不利于新孟河清水通道的保护和开发；（7）原规划禁养区图、表和数字描述</w:t>
      </w:r>
      <w:r>
        <w:rPr>
          <w:rFonts w:hint="eastAsia" w:eastAsia="仿宋_GB2312"/>
          <w:sz w:val="32"/>
          <w:szCs w:val="32"/>
        </w:rPr>
        <w:t>存在</w:t>
      </w:r>
      <w:r>
        <w:rPr>
          <w:rFonts w:eastAsia="仿宋_GB2312"/>
          <w:sz w:val="32"/>
          <w:szCs w:val="32"/>
        </w:rPr>
        <w:t>不一致</w:t>
      </w:r>
      <w:r>
        <w:rPr>
          <w:rFonts w:hint="eastAsia" w:eastAsia="仿宋_GB2312"/>
          <w:sz w:val="32"/>
          <w:szCs w:val="32"/>
        </w:rPr>
        <w:t>的地方</w:t>
      </w:r>
      <w:r>
        <w:rPr>
          <w:rFonts w:eastAsia="仿宋_GB2312"/>
          <w:sz w:val="32"/>
          <w:szCs w:val="32"/>
        </w:rPr>
        <w:t>；（8）根据新北区实际情况，该区域属于渔民一直在进行水产养殖的区域，对于保障渔民就业安置、保障新北区水产品长期有效供给都具有重要的现实意义，而让养殖户退出养殖具有较大的经济和社会压力。综上所述，原《规划》”）发布实施几年来，新北区渔业产业格局发生了一些变化，当前“新孟河（新北区）清水通道维护区”仍然作为禁养区已经不符合新北区水产养殖业的可持续发展的需要。</w:t>
      </w:r>
    </w:p>
    <w:p>
      <w:pPr>
        <w:spacing w:line="560" w:lineRule="exact"/>
        <w:ind w:firstLine="640" w:firstLineChars="200"/>
        <w:rPr>
          <w:rFonts w:eastAsia="仿宋_GB2312"/>
          <w:sz w:val="32"/>
          <w:szCs w:val="32"/>
        </w:rPr>
      </w:pPr>
      <w:r>
        <w:rPr>
          <w:rFonts w:eastAsia="仿宋_GB2312"/>
          <w:sz w:val="32"/>
          <w:szCs w:val="32"/>
        </w:rPr>
        <w:t>2. 正文中提及到的新北区水域滩涂总面积、池塘水域面积、基准水质数据。</w:t>
      </w:r>
    </w:p>
    <w:p>
      <w:pPr>
        <w:spacing w:line="560" w:lineRule="exact"/>
        <w:ind w:firstLine="640" w:firstLineChars="200"/>
        <w:rPr>
          <w:rFonts w:eastAsia="仿宋_GB2312"/>
          <w:sz w:val="32"/>
          <w:szCs w:val="32"/>
        </w:rPr>
      </w:pPr>
      <w:r>
        <w:rPr>
          <w:rFonts w:eastAsia="仿宋_GB2312"/>
          <w:sz w:val="32"/>
          <w:szCs w:val="32"/>
        </w:rPr>
        <w:t>依据：</w:t>
      </w:r>
    </w:p>
    <w:p>
      <w:pPr>
        <w:spacing w:line="560" w:lineRule="exact"/>
        <w:ind w:firstLine="640" w:firstLineChars="200"/>
        <w:rPr>
          <w:rFonts w:eastAsia="仿宋_GB2312"/>
          <w:sz w:val="32"/>
          <w:szCs w:val="32"/>
        </w:rPr>
      </w:pPr>
      <w:r>
        <w:rPr>
          <w:rFonts w:eastAsia="仿宋_GB2312"/>
          <w:sz w:val="32"/>
          <w:szCs w:val="32"/>
        </w:rPr>
        <w:t xml:space="preserve">本次新北区养殖水域滩涂规划修订基准年为2022年，池塘调查数据也采用2022年的养殖池塘调查统计数据，故滩涂规划中所有涉及到水域滩涂总面积和池塘水域面积的数据也进行了相应的调整；基准水质数据也相应的采用了2022年的数据。 </w:t>
      </w:r>
    </w:p>
    <w:p>
      <w:pPr>
        <w:spacing w:line="560" w:lineRule="exact"/>
        <w:ind w:firstLine="640" w:firstLineChars="200"/>
        <w:rPr>
          <w:rFonts w:eastAsia="仿宋_GB2312"/>
          <w:sz w:val="32"/>
          <w:szCs w:val="32"/>
        </w:rPr>
      </w:pPr>
      <w:r>
        <w:rPr>
          <w:rFonts w:eastAsia="仿宋_GB2312"/>
          <w:sz w:val="32"/>
          <w:szCs w:val="32"/>
        </w:rPr>
        <w:t xml:space="preserve">3.养殖区、禁养区图。 </w:t>
      </w:r>
    </w:p>
    <w:p>
      <w:pPr>
        <w:spacing w:line="560" w:lineRule="exact"/>
        <w:ind w:firstLine="640" w:firstLineChars="200"/>
        <w:rPr>
          <w:rFonts w:eastAsia="仿宋_GB2312"/>
          <w:sz w:val="32"/>
          <w:szCs w:val="32"/>
        </w:rPr>
      </w:pPr>
      <w:r>
        <w:rPr>
          <w:rFonts w:eastAsia="仿宋_GB2312"/>
          <w:sz w:val="32"/>
          <w:szCs w:val="32"/>
        </w:rPr>
        <w:t>依据：</w:t>
      </w:r>
    </w:p>
    <w:p>
      <w:pPr>
        <w:spacing w:line="560" w:lineRule="exact"/>
        <w:ind w:firstLine="640" w:firstLineChars="200"/>
        <w:rPr>
          <w:rFonts w:eastAsia="仿宋_GB2312"/>
          <w:sz w:val="32"/>
          <w:szCs w:val="32"/>
        </w:rPr>
      </w:pPr>
      <w:r>
        <w:rPr>
          <w:rFonts w:eastAsia="仿宋_GB2312"/>
          <w:sz w:val="32"/>
          <w:szCs w:val="32"/>
        </w:rPr>
        <w:t>本次修编主要是依据2022年的养殖池塘调查统计数据，将新孟河两侧（新孟河清水通道）孟河镇、西夏墅镇和奔牛镇所在四个地块禁养区调整为养殖区，故养殖区和禁养区图均进行了相应的修编。</w:t>
      </w:r>
    </w:p>
    <w:p>
      <w:pPr>
        <w:spacing w:line="560" w:lineRule="exact"/>
        <w:ind w:firstLine="640" w:firstLineChars="200"/>
        <w:rPr>
          <w:rFonts w:eastAsia="仿宋_GB2312"/>
          <w:sz w:val="32"/>
          <w:szCs w:val="32"/>
        </w:rPr>
      </w:pPr>
      <w:r>
        <w:rPr>
          <w:rFonts w:eastAsia="仿宋_GB2312"/>
          <w:sz w:val="32"/>
          <w:szCs w:val="32"/>
        </w:rPr>
        <w:t>4.正文文本中的一些文字的修改</w:t>
      </w:r>
    </w:p>
    <w:p>
      <w:pPr>
        <w:spacing w:line="560" w:lineRule="exact"/>
        <w:ind w:firstLine="640" w:firstLineChars="200"/>
        <w:rPr>
          <w:color w:val="000000"/>
          <w:kern w:val="0"/>
          <w:sz w:val="28"/>
          <w:szCs w:val="28"/>
        </w:rPr>
      </w:pPr>
      <w:r>
        <w:rPr>
          <w:rFonts w:eastAsia="仿宋_GB2312"/>
          <w:sz w:val="32"/>
          <w:szCs w:val="32"/>
        </w:rPr>
        <w:t>依据：</w:t>
      </w:r>
    </w:p>
    <w:p>
      <w:pPr>
        <w:spacing w:line="560" w:lineRule="exact"/>
        <w:ind w:firstLine="320" w:firstLineChars="100"/>
      </w:pPr>
      <w:r>
        <w:rPr>
          <w:rFonts w:eastAsia="仿宋_GB2312"/>
          <w:sz w:val="32"/>
          <w:szCs w:val="32"/>
        </w:rPr>
        <w:t>（1）编制依据中的部分法律、法规、政策、规划、标准在2017-2022年间进行了修订或更新，因而在相应的文字上也进行了体现；（2）新北区经济社会发展的描述性文字、新北区渔业产业</w:t>
      </w:r>
      <w:r>
        <w:rPr>
          <w:rFonts w:hint="eastAsia" w:eastAsia="仿宋_GB2312"/>
          <w:sz w:val="32"/>
          <w:szCs w:val="32"/>
        </w:rPr>
        <w:t>发展现状描述性文字等都依据实际情况进行了相应的修改。</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Pi91E0AAAAAIBAAAPAAAAAAAAAAEAIAAAACIAAABkcnMvZG93&#10;bnJldi54bWxQSwECFAAUAAAACACHTuJADh8Kis8BAACTAwAADgAAAAAAAAABACAAAAAfAQAAZHJz&#10;L2Uyb0RvYy54bWxQSwUGAAAAAAYABgBZAQAAYAU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377D10"/>
    <w:multiLevelType w:val="multilevel"/>
    <w:tmpl w:val="4D377D10"/>
    <w:lvl w:ilvl="0" w:tentative="0">
      <w:start w:val="1"/>
      <w:numFmt w:val="japaneseCounting"/>
      <w:lvlText w:val="%1、"/>
      <w:lvlJc w:val="left"/>
      <w:pPr>
        <w:ind w:left="1350" w:hanging="720"/>
      </w:pPr>
      <w:rPr>
        <w:rFonts w:hint="default"/>
      </w:rPr>
    </w:lvl>
    <w:lvl w:ilvl="1" w:tentative="0">
      <w:start w:val="1"/>
      <w:numFmt w:val="lowerLetter"/>
      <w:lvlText w:val="%2)"/>
      <w:lvlJc w:val="left"/>
      <w:pPr>
        <w:ind w:left="1510" w:hanging="440"/>
      </w:pPr>
    </w:lvl>
    <w:lvl w:ilvl="2" w:tentative="0">
      <w:start w:val="1"/>
      <w:numFmt w:val="lowerRoman"/>
      <w:lvlText w:val="%3."/>
      <w:lvlJc w:val="right"/>
      <w:pPr>
        <w:ind w:left="1950" w:hanging="440"/>
      </w:pPr>
    </w:lvl>
    <w:lvl w:ilvl="3" w:tentative="0">
      <w:start w:val="1"/>
      <w:numFmt w:val="decimal"/>
      <w:lvlText w:val="%4."/>
      <w:lvlJc w:val="left"/>
      <w:pPr>
        <w:ind w:left="2390" w:hanging="440"/>
      </w:pPr>
    </w:lvl>
    <w:lvl w:ilvl="4" w:tentative="0">
      <w:start w:val="1"/>
      <w:numFmt w:val="lowerLetter"/>
      <w:lvlText w:val="%5)"/>
      <w:lvlJc w:val="left"/>
      <w:pPr>
        <w:ind w:left="2830" w:hanging="440"/>
      </w:pPr>
    </w:lvl>
    <w:lvl w:ilvl="5" w:tentative="0">
      <w:start w:val="1"/>
      <w:numFmt w:val="lowerRoman"/>
      <w:lvlText w:val="%6."/>
      <w:lvlJc w:val="right"/>
      <w:pPr>
        <w:ind w:left="3270" w:hanging="440"/>
      </w:pPr>
    </w:lvl>
    <w:lvl w:ilvl="6" w:tentative="0">
      <w:start w:val="1"/>
      <w:numFmt w:val="decimal"/>
      <w:lvlText w:val="%7."/>
      <w:lvlJc w:val="left"/>
      <w:pPr>
        <w:ind w:left="3710" w:hanging="440"/>
      </w:pPr>
    </w:lvl>
    <w:lvl w:ilvl="7" w:tentative="0">
      <w:start w:val="1"/>
      <w:numFmt w:val="lowerLetter"/>
      <w:lvlText w:val="%8)"/>
      <w:lvlJc w:val="left"/>
      <w:pPr>
        <w:ind w:left="4150" w:hanging="440"/>
      </w:pPr>
    </w:lvl>
    <w:lvl w:ilvl="8" w:tentative="0">
      <w:start w:val="1"/>
      <w:numFmt w:val="lowerRoman"/>
      <w:lvlText w:val="%9."/>
      <w:lvlJc w:val="right"/>
      <w:pPr>
        <w:ind w:left="459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jMzdkZWU4YmZkZDFhYWM4N2Y5MjM0MmMyYzg3MmIifQ=="/>
  </w:docVars>
  <w:rsids>
    <w:rsidRoot w:val="78CC4BE4"/>
    <w:rsid w:val="000034D4"/>
    <w:rsid w:val="0001309E"/>
    <w:rsid w:val="000153B1"/>
    <w:rsid w:val="000164AC"/>
    <w:rsid w:val="00030531"/>
    <w:rsid w:val="0008266C"/>
    <w:rsid w:val="00090320"/>
    <w:rsid w:val="000C6762"/>
    <w:rsid w:val="000E2ED3"/>
    <w:rsid w:val="00133191"/>
    <w:rsid w:val="00155B8E"/>
    <w:rsid w:val="00155DD5"/>
    <w:rsid w:val="001768A4"/>
    <w:rsid w:val="001C7708"/>
    <w:rsid w:val="001D3E95"/>
    <w:rsid w:val="001D73D2"/>
    <w:rsid w:val="001F5D32"/>
    <w:rsid w:val="001F7764"/>
    <w:rsid w:val="0020567C"/>
    <w:rsid w:val="00216471"/>
    <w:rsid w:val="002408F1"/>
    <w:rsid w:val="002949F5"/>
    <w:rsid w:val="002D3BB4"/>
    <w:rsid w:val="00300EE6"/>
    <w:rsid w:val="00304C20"/>
    <w:rsid w:val="00312439"/>
    <w:rsid w:val="0033243D"/>
    <w:rsid w:val="0034203D"/>
    <w:rsid w:val="00355528"/>
    <w:rsid w:val="003C0FEA"/>
    <w:rsid w:val="003D4BBF"/>
    <w:rsid w:val="00401BC8"/>
    <w:rsid w:val="00455A79"/>
    <w:rsid w:val="004A762B"/>
    <w:rsid w:val="004C16F6"/>
    <w:rsid w:val="004E5567"/>
    <w:rsid w:val="00552B52"/>
    <w:rsid w:val="00552C5C"/>
    <w:rsid w:val="005913AF"/>
    <w:rsid w:val="00593D4D"/>
    <w:rsid w:val="00597CFE"/>
    <w:rsid w:val="005C3A5C"/>
    <w:rsid w:val="005C597E"/>
    <w:rsid w:val="005D1DA9"/>
    <w:rsid w:val="005D6A76"/>
    <w:rsid w:val="005E44A0"/>
    <w:rsid w:val="00614BED"/>
    <w:rsid w:val="00661436"/>
    <w:rsid w:val="006928E9"/>
    <w:rsid w:val="006A0D33"/>
    <w:rsid w:val="006D08C0"/>
    <w:rsid w:val="006D6A4C"/>
    <w:rsid w:val="006E1903"/>
    <w:rsid w:val="006E316B"/>
    <w:rsid w:val="00730CE6"/>
    <w:rsid w:val="007346F1"/>
    <w:rsid w:val="007368D6"/>
    <w:rsid w:val="00796D19"/>
    <w:rsid w:val="007C341F"/>
    <w:rsid w:val="007D33EF"/>
    <w:rsid w:val="007D4348"/>
    <w:rsid w:val="007F08BA"/>
    <w:rsid w:val="0080791F"/>
    <w:rsid w:val="00821A5A"/>
    <w:rsid w:val="00837525"/>
    <w:rsid w:val="0084038E"/>
    <w:rsid w:val="00842904"/>
    <w:rsid w:val="0084555F"/>
    <w:rsid w:val="0086352E"/>
    <w:rsid w:val="008A33A8"/>
    <w:rsid w:val="008E1C63"/>
    <w:rsid w:val="00907796"/>
    <w:rsid w:val="00934DF9"/>
    <w:rsid w:val="009453D5"/>
    <w:rsid w:val="0095057E"/>
    <w:rsid w:val="00954E96"/>
    <w:rsid w:val="00963E5F"/>
    <w:rsid w:val="00973EF7"/>
    <w:rsid w:val="009C632A"/>
    <w:rsid w:val="009D1CC9"/>
    <w:rsid w:val="009E7D9C"/>
    <w:rsid w:val="009F2956"/>
    <w:rsid w:val="009F4E57"/>
    <w:rsid w:val="00A47949"/>
    <w:rsid w:val="00AB3088"/>
    <w:rsid w:val="00AD2AF3"/>
    <w:rsid w:val="00B02E06"/>
    <w:rsid w:val="00B1520D"/>
    <w:rsid w:val="00B2633B"/>
    <w:rsid w:val="00B41F06"/>
    <w:rsid w:val="00B70686"/>
    <w:rsid w:val="00B77AC7"/>
    <w:rsid w:val="00C2687D"/>
    <w:rsid w:val="00C445F9"/>
    <w:rsid w:val="00C526BB"/>
    <w:rsid w:val="00C87A1B"/>
    <w:rsid w:val="00CD35BD"/>
    <w:rsid w:val="00CD4256"/>
    <w:rsid w:val="00CD4F9B"/>
    <w:rsid w:val="00D6644E"/>
    <w:rsid w:val="00D669E3"/>
    <w:rsid w:val="00D732C9"/>
    <w:rsid w:val="00D80C9D"/>
    <w:rsid w:val="00DF2137"/>
    <w:rsid w:val="00E10934"/>
    <w:rsid w:val="00E14011"/>
    <w:rsid w:val="00E32778"/>
    <w:rsid w:val="00E4051E"/>
    <w:rsid w:val="00E424F2"/>
    <w:rsid w:val="00E56BE7"/>
    <w:rsid w:val="00E56C30"/>
    <w:rsid w:val="00E758D9"/>
    <w:rsid w:val="00E82860"/>
    <w:rsid w:val="00E93EE9"/>
    <w:rsid w:val="00E974F6"/>
    <w:rsid w:val="00ED53F7"/>
    <w:rsid w:val="00EE31BB"/>
    <w:rsid w:val="00EF42EF"/>
    <w:rsid w:val="00F63892"/>
    <w:rsid w:val="00F648F2"/>
    <w:rsid w:val="00F701F5"/>
    <w:rsid w:val="00F84E6C"/>
    <w:rsid w:val="00F90C3B"/>
    <w:rsid w:val="00F93EE7"/>
    <w:rsid w:val="00F94F0C"/>
    <w:rsid w:val="00F95553"/>
    <w:rsid w:val="00FD3036"/>
    <w:rsid w:val="1AA1288E"/>
    <w:rsid w:val="78CC4BE4"/>
    <w:rsid w:val="7D2114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link w:val="10"/>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link w:val="11"/>
    <w:qFormat/>
    <w:uiPriority w:val="0"/>
    <w:pPr>
      <w:keepNext/>
      <w:keepLines/>
      <w:spacing w:before="260" w:after="260" w:line="413" w:lineRule="auto"/>
      <w:outlineLvl w:val="2"/>
    </w:pPr>
    <w:rPr>
      <w:b/>
      <w:sz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autoRedefine/>
    <w:uiPriority w:val="0"/>
    <w:pPr>
      <w:tabs>
        <w:tab w:val="center" w:pos="4153"/>
        <w:tab w:val="right" w:pos="8306"/>
      </w:tabs>
      <w:snapToGrid w:val="0"/>
      <w:jc w:val="left"/>
    </w:pPr>
    <w:rPr>
      <w:sz w:val="18"/>
      <w:szCs w:val="18"/>
    </w:rPr>
  </w:style>
  <w:style w:type="paragraph" w:styleId="5">
    <w:name w:val="header"/>
    <w:basedOn w:val="1"/>
    <w:link w:val="9"/>
    <w:autoRedefine/>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9">
    <w:name w:val="页眉 Char"/>
    <w:basedOn w:val="8"/>
    <w:link w:val="5"/>
    <w:autoRedefine/>
    <w:uiPriority w:val="0"/>
    <w:rPr>
      <w:kern w:val="2"/>
      <w:sz w:val="18"/>
      <w:szCs w:val="18"/>
    </w:rPr>
  </w:style>
  <w:style w:type="character" w:customStyle="1" w:styleId="10">
    <w:name w:val="标题 2 Char"/>
    <w:basedOn w:val="8"/>
    <w:link w:val="2"/>
    <w:uiPriority w:val="0"/>
    <w:rPr>
      <w:rFonts w:ascii="Arial" w:hAnsi="Arial" w:eastAsia="黑体"/>
      <w:b/>
      <w:kern w:val="2"/>
      <w:sz w:val="32"/>
      <w:szCs w:val="22"/>
    </w:rPr>
  </w:style>
  <w:style w:type="character" w:customStyle="1" w:styleId="11">
    <w:name w:val="标题 3 Char"/>
    <w:basedOn w:val="8"/>
    <w:link w:val="3"/>
    <w:qFormat/>
    <w:uiPriority w:val="0"/>
    <w:rPr>
      <w:b/>
      <w:kern w:val="2"/>
      <w:sz w:val="32"/>
      <w:szCs w:val="22"/>
    </w:rPr>
  </w:style>
  <w:style w:type="paragraph" w:styleId="12">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5C8AC0-F000-4291-AA07-36BE159F1D5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521</Words>
  <Characters>2973</Characters>
  <Lines>24</Lines>
  <Paragraphs>6</Paragraphs>
  <TotalTime>5</TotalTime>
  <ScaleCrop>false</ScaleCrop>
  <LinksUpToDate>false</LinksUpToDate>
  <CharactersWithSpaces>3488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2023-12-13T05:59:00Z</dcterms:created>
  <dc:creator>y</dc:creator>
  <cp:lastModifiedBy>未遂</cp:lastModifiedBy>
  <dcterms:modified xsi:type="dcterms:W3CDTF">2024-03-18T08:32:43Z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D35846E0842F4730839B78BECCAAC86D_13</vt:lpwstr>
  </property>
</Properties>
</file>