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Arial Unicode MS" w:hAnsi="仿宋_GB2312" w:eastAsia="Arial Unicode MS" w:cs="Arial Unicode MS"/>
          <w:sz w:val="44"/>
          <w:szCs w:val="44"/>
        </w:rPr>
      </w:pPr>
      <w:r>
        <w:rPr>
          <w:rFonts w:hint="eastAsia" w:ascii="Arial Unicode MS" w:hAnsi="仿宋_GB2312" w:eastAsia="Arial Unicode MS" w:cs="Arial Unicode MS"/>
          <w:sz w:val="44"/>
          <w:szCs w:val="44"/>
        </w:rPr>
        <w:t>政 府 工 作 报 告</w:t>
      </w:r>
    </w:p>
    <w:p>
      <w:pPr>
        <w:tabs>
          <w:tab w:val="left" w:pos="1470"/>
        </w:tabs>
        <w:spacing w:line="700" w:lineRule="exact"/>
        <w:jc w:val="center"/>
        <w:rPr>
          <w:rFonts w:ascii="楷体_GB2312" w:hAnsi="楷体" w:eastAsia="楷体_GB2312"/>
          <w:bCs/>
          <w:color w:val="000000"/>
          <w:sz w:val="32"/>
          <w:szCs w:val="32"/>
        </w:rPr>
      </w:pPr>
      <w:r>
        <w:rPr>
          <w:rFonts w:hint="eastAsia" w:ascii="Arial Unicode MS" w:hAnsi="Arial Unicode MS" w:eastAsia="Arial Unicode MS" w:cs="Arial Unicode MS"/>
          <w:sz w:val="32"/>
          <w:szCs w:val="32"/>
        </w:rPr>
        <w:t>——</w:t>
      </w:r>
      <w:r>
        <w:rPr>
          <w:rFonts w:hint="eastAsia" w:ascii="楷体_GB2312" w:hAnsi="楷体" w:eastAsia="楷体_GB2312"/>
          <w:bCs/>
          <w:color w:val="000000"/>
          <w:sz w:val="32"/>
          <w:szCs w:val="32"/>
        </w:rPr>
        <w:t>2019年12月27日在常州市新北区西夏墅镇第四届</w:t>
      </w:r>
    </w:p>
    <w:p>
      <w:pPr>
        <w:tabs>
          <w:tab w:val="left" w:pos="1470"/>
        </w:tabs>
        <w:spacing w:line="700" w:lineRule="exact"/>
        <w:jc w:val="center"/>
        <w:rPr>
          <w:rFonts w:ascii="楷体_GB2312" w:hAnsi="楷体" w:eastAsia="楷体_GB2312"/>
          <w:bCs/>
          <w:color w:val="000000"/>
          <w:sz w:val="32"/>
          <w:szCs w:val="32"/>
        </w:rPr>
      </w:pPr>
      <w:r>
        <w:rPr>
          <w:rFonts w:hint="eastAsia" w:ascii="楷体_GB2312" w:hAnsi="楷体" w:eastAsia="楷体_GB2312"/>
          <w:bCs/>
          <w:color w:val="000000"/>
          <w:sz w:val="32"/>
          <w:szCs w:val="32"/>
        </w:rPr>
        <w:t>人民代表大会第七次会议上</w:t>
      </w:r>
    </w:p>
    <w:p>
      <w:pPr>
        <w:spacing w:line="700" w:lineRule="exact"/>
        <w:jc w:val="center"/>
        <w:rPr>
          <w:rFonts w:ascii="楷体_GB2312" w:hAnsi="楷体" w:eastAsia="楷体_GB2312" w:cs="楷体_GB2312"/>
          <w:sz w:val="32"/>
          <w:szCs w:val="32"/>
        </w:rPr>
      </w:pPr>
      <w:r>
        <w:rPr>
          <w:rFonts w:hint="eastAsia" w:ascii="楷体_GB2312" w:hAnsi="楷体" w:eastAsia="楷体_GB2312" w:cs="楷体_GB2312"/>
          <w:sz w:val="32"/>
          <w:szCs w:val="32"/>
        </w:rPr>
        <w:t>王 华 国</w:t>
      </w:r>
    </w:p>
    <w:p>
      <w:pPr>
        <w:spacing w:line="700" w:lineRule="exact"/>
        <w:jc w:val="left"/>
        <w:rPr>
          <w:rFonts w:ascii="楷体_GB2312" w:hAnsi="楷体_GB2312" w:eastAsia="楷体_GB2312"/>
          <w:sz w:val="32"/>
          <w:szCs w:val="32"/>
        </w:rPr>
      </w:pPr>
    </w:p>
    <w:p>
      <w:pPr>
        <w:spacing w:line="560" w:lineRule="exact"/>
        <w:rPr>
          <w:rFonts w:eastAsia="仿宋_GB2312"/>
          <w:color w:val="000000"/>
          <w:sz w:val="32"/>
          <w:szCs w:val="32"/>
        </w:rPr>
      </w:pPr>
      <w:r>
        <w:rPr>
          <w:rFonts w:hint="eastAsia" w:hAnsi="仿宋_GB2312" w:eastAsia="仿宋_GB2312" w:cs="仿宋_GB2312"/>
          <w:color w:val="000000"/>
          <w:sz w:val="32"/>
          <w:szCs w:val="32"/>
        </w:rPr>
        <w:t>各位代表：</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现在，我代表西夏墅镇人民政府向大会报告2019年经济社会发展情况及2020年重点工作安排，请予审议，并请列席人员提出意见。</w:t>
      </w:r>
    </w:p>
    <w:p>
      <w:pPr>
        <w:spacing w:line="560" w:lineRule="exact"/>
        <w:rPr>
          <w:rFonts w:ascii="黑体" w:hAnsi="黑体" w:eastAsia="黑体" w:cs="仿宋_GB2312"/>
          <w:color w:val="000000"/>
          <w:sz w:val="32"/>
          <w:szCs w:val="32"/>
        </w:rPr>
      </w:pPr>
    </w:p>
    <w:p>
      <w:pPr>
        <w:spacing w:line="560" w:lineRule="exact"/>
        <w:jc w:val="center"/>
        <w:rPr>
          <w:rFonts w:ascii="黑体" w:hAnsi="黑体" w:eastAsia="黑体" w:cs="仿宋_GB2312"/>
          <w:color w:val="000000"/>
          <w:sz w:val="32"/>
          <w:szCs w:val="32"/>
        </w:rPr>
      </w:pPr>
      <w:r>
        <w:rPr>
          <w:rFonts w:hint="eastAsia" w:ascii="黑体" w:hAnsi="黑体" w:eastAsia="黑体" w:cs="仿宋_GB2312"/>
          <w:color w:val="000000"/>
          <w:sz w:val="32"/>
          <w:szCs w:val="32"/>
        </w:rPr>
        <w:t>2019年工作回顾</w:t>
      </w:r>
    </w:p>
    <w:p>
      <w:pPr>
        <w:spacing w:line="560" w:lineRule="exact"/>
        <w:ind w:firstLine="64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2019年，</w:t>
      </w:r>
      <w:r>
        <w:rPr>
          <w:rFonts w:hint="eastAsia" w:ascii="仿宋_GB2312" w:hAnsi="仿宋_GB2312" w:eastAsia="仿宋_GB2312"/>
          <w:color w:val="000000"/>
          <w:sz w:val="32"/>
          <w:szCs w:val="32"/>
        </w:rPr>
        <w:t>西夏墅镇在区委、区政府和镇党委的正确领导下，在镇人大和各位代表的监督支持下，围绕四位一体“工具智造小镇”建设总目标，全力推进“党建引领工程和六个专项行动”，全镇经济社会各项事业健康发展，较好地完成了各项目标任务。</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一、精准发力“稳增长”，经济形势稳中向好</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落实稳中求进工作总基调，坚持科技引领、效益为先，精准发力，经济质效逐步提升。</w:t>
      </w:r>
    </w:p>
    <w:p>
      <w:pPr>
        <w:spacing w:line="560" w:lineRule="exact"/>
        <w:ind w:firstLine="640" w:firstLineChars="200"/>
        <w:rPr>
          <w:rFonts w:ascii="仿宋_GB2312" w:hAnsi="黑体" w:eastAsia="仿宋_GB2312" w:cs="仿宋_GB2312"/>
          <w:color w:val="000000"/>
          <w:sz w:val="32"/>
          <w:szCs w:val="32"/>
          <w:highlight w:val="yellow"/>
        </w:rPr>
      </w:pPr>
      <w:r>
        <w:rPr>
          <w:rFonts w:hint="eastAsia" w:ascii="楷体_GB2312" w:hAnsi="黑体" w:eastAsia="楷体_GB2312" w:cs="仿宋_GB2312"/>
          <w:color w:val="000000"/>
          <w:sz w:val="32"/>
          <w:szCs w:val="32"/>
        </w:rPr>
        <w:t>一是经济发展量质并举。</w:t>
      </w:r>
      <w:r>
        <w:rPr>
          <w:rFonts w:hint="eastAsia" w:ascii="仿宋_GB2312" w:hAnsi="黑体" w:eastAsia="仿宋_GB2312" w:cs="仿宋_GB2312"/>
          <w:color w:val="000000"/>
          <w:sz w:val="32"/>
          <w:szCs w:val="32"/>
        </w:rPr>
        <w:t>面对复杂的国内国际经济形势，减税降费宏观政策调控等改革发展稳定任务，努力破解发展难题，2019年我镇各项主要经济指标保持稳定增长。预计实现地区生产总值60.1亿元，同比增长11.1%；一般公共预算收入3.4亿元；固定资产投资25.2亿元，同比增长7.3%，其中工业投资19.2亿元，同比增长7.5%，服务业投资6亿元，同比增长7.1%；自营进出口19.3亿元，同比增长20%。</w:t>
      </w:r>
    </w:p>
    <w:p>
      <w:pPr>
        <w:spacing w:line="560" w:lineRule="exact"/>
        <w:ind w:firstLine="640" w:firstLineChars="200"/>
        <w:rPr>
          <w:rFonts w:ascii="楷体_GB2312" w:hAnsi="黑体" w:eastAsia="楷体_GB2312" w:cs="仿宋_GB2312"/>
          <w:color w:val="FF0000"/>
          <w:sz w:val="32"/>
          <w:szCs w:val="32"/>
        </w:rPr>
      </w:pPr>
      <w:r>
        <w:rPr>
          <w:rFonts w:hint="eastAsia" w:ascii="楷体_GB2312" w:hAnsi="黑体" w:eastAsia="楷体_GB2312" w:cs="仿宋_GB2312"/>
          <w:color w:val="000000"/>
          <w:sz w:val="32"/>
          <w:szCs w:val="32"/>
        </w:rPr>
        <w:t>二是产业引资成效显著。</w:t>
      </w:r>
      <w:r>
        <w:rPr>
          <w:rFonts w:hint="eastAsia" w:ascii="仿宋_GB2312" w:eastAsia="仿宋_GB2312"/>
          <w:kern w:val="32"/>
          <w:sz w:val="32"/>
          <w:szCs w:val="32"/>
        </w:rPr>
        <w:t>“工具智造小镇”顺利通过省级特色小镇年度考核。</w:t>
      </w:r>
      <w:r>
        <w:rPr>
          <w:rFonts w:hint="eastAsia" w:ascii="仿宋_GB2312" w:hAnsi="仿宋_GB2312" w:eastAsia="仿宋_GB2312" w:cs="仿宋_GB2312"/>
          <w:sz w:val="32"/>
          <w:szCs w:val="32"/>
        </w:rPr>
        <w:t>围绕“产、城、人、文、智、体制机制”六个方面，明优势、补短板，小镇客厅、工具规划展示馆等一批重点工程完成方案设计，特色小镇建设迈入新阶段。加大主导产业培育力度，2019年预计新材料行业实现销售41.5亿元，同比增长30%，刀工具行业实现销售29亿元。宏发纵横、金牛研磨、考普乐等重点企业销售增长明显，优质企业的引领作用不断增强。</w:t>
      </w:r>
    </w:p>
    <w:p>
      <w:pPr>
        <w:spacing w:line="560" w:lineRule="exact"/>
        <w:ind w:firstLine="640" w:firstLineChars="200"/>
        <w:rPr>
          <w:rFonts w:ascii="仿宋_GB2312" w:eastAsia="仿宋_GB2312"/>
          <w:kern w:val="32"/>
          <w:sz w:val="32"/>
          <w:szCs w:val="32"/>
        </w:rPr>
      </w:pPr>
      <w:r>
        <w:rPr>
          <w:rFonts w:hint="eastAsia" w:ascii="楷体_GB2312" w:hAnsi="黑体" w:eastAsia="楷体_GB2312" w:cs="仿宋_GB2312"/>
          <w:color w:val="000000"/>
          <w:sz w:val="32"/>
          <w:szCs w:val="32"/>
        </w:rPr>
        <w:t>三是重大项目带动发力。</w:t>
      </w:r>
      <w:r>
        <w:rPr>
          <w:rFonts w:hint="eastAsia" w:ascii="仿宋_GB2312" w:hAnsi="仿宋_GB2312" w:eastAsia="仿宋_GB2312" w:cs="仿宋_GB2312"/>
          <w:color w:val="000000"/>
          <w:sz w:val="32"/>
          <w:szCs w:val="32"/>
        </w:rPr>
        <w:t>紧扣“重大项目攻坚年”要求，围绕市、区20个重点项目持续发力，宏发纵横等续建项目建成投产，大利节能等新建项目建成投运，雅居乐、美华圣坤、青海量具等新建项目正在进行主体建设。加大盘活闲置土地资源力度，全年盘活大利节能、益江机械等低效用地102亩，积极与市发改委对接，推进编制纺织印染园区规划发展方案，促进纺织印染企业提质增效，经济发展活力进一步提升。</w:t>
      </w:r>
    </w:p>
    <w:p>
      <w:pPr>
        <w:spacing w:line="560" w:lineRule="exact"/>
        <w:ind w:firstLine="640" w:firstLineChars="200"/>
        <w:rPr>
          <w:rFonts w:ascii="仿宋_GB2312" w:hAnsi="黑体" w:eastAsia="仿宋_GB2312" w:cs="仿宋_GB2312"/>
          <w:color w:val="000000"/>
          <w:sz w:val="32"/>
          <w:szCs w:val="32"/>
          <w:highlight w:val="yellow"/>
        </w:rPr>
      </w:pPr>
      <w:r>
        <w:rPr>
          <w:rFonts w:hint="eastAsia" w:ascii="楷体_GB2312" w:hAnsi="黑体" w:eastAsia="楷体_GB2312" w:cs="仿宋_GB2312"/>
          <w:color w:val="000000"/>
          <w:sz w:val="32"/>
          <w:szCs w:val="32"/>
        </w:rPr>
        <w:t>四是创新功能加速集聚。</w:t>
      </w:r>
      <w:r>
        <w:rPr>
          <w:rFonts w:hint="eastAsia" w:ascii="仿宋_GB2312" w:hAnsi="仿宋_GB2312" w:eastAsia="仿宋_GB2312" w:cs="仿宋_GB2312"/>
          <w:sz w:val="32"/>
          <w:szCs w:val="32"/>
        </w:rPr>
        <w:t>集聚创新要素资源，加大科技人才招引力度，创新质效显著增强。“江苏高效精密工具研究基地”正式成立，并与上海交大陈明教授团队合作建立海博工具产业研究院，正式市场化运行。西夏墅工具产业创业服务中心荣获“江苏省专业孵化器十强”称号。宏发纵横-申长雨院士工作站正式启动，新增省级孵化器1家，省级工程技术研究中心1家，新建市级博士后创新创业基地1家。完成申请专利638件，其中发明专利225件，引进省“双创”人才1名、市“龙城英才”6名、市“云计划”创新人才2名，科技人才工作名列全区前茅。</w:t>
      </w:r>
    </w:p>
    <w:p>
      <w:pPr>
        <w:spacing w:line="560" w:lineRule="exact"/>
        <w:ind w:firstLine="640" w:firstLineChars="200"/>
        <w:rPr>
          <w:rFonts w:ascii="仿宋_GB2312" w:hAnsi="黑体" w:eastAsia="仿宋_GB2312" w:cs="仿宋_GB2312"/>
          <w:color w:val="000000"/>
          <w:sz w:val="32"/>
          <w:szCs w:val="32"/>
          <w:highlight w:val="yellow"/>
        </w:rPr>
      </w:pPr>
      <w:r>
        <w:rPr>
          <w:rFonts w:hint="eastAsia" w:ascii="黑体" w:hAnsi="黑体" w:eastAsia="黑体" w:cs="仿宋_GB2312"/>
          <w:color w:val="000000"/>
          <w:sz w:val="32"/>
          <w:szCs w:val="32"/>
        </w:rPr>
        <w:t>二、乡村振兴“优生态”，全镇面貌明显改善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始终坚持把乡村振兴工作摆在突出位置，推进美丽乡村建设，发挥西夏墅区位和生态优势，镇村品质和内涵不断提升。</w:t>
      </w:r>
    </w:p>
    <w:p>
      <w:pPr>
        <w:spacing w:line="560" w:lineRule="exact"/>
        <w:ind w:firstLine="640" w:firstLineChars="200"/>
        <w:rPr>
          <w:rFonts w:ascii="仿宋_GB2312" w:hAnsi="宋体" w:eastAsia="仿宋_GB2312"/>
          <w:sz w:val="32"/>
          <w:szCs w:val="32"/>
          <w:highlight w:val="yellow"/>
        </w:rPr>
      </w:pPr>
      <w:r>
        <w:rPr>
          <w:rFonts w:hint="eastAsia" w:ascii="楷体_GB2312" w:hAnsi="黑体" w:eastAsia="楷体_GB2312" w:cs="仿宋_GB2312"/>
          <w:color w:val="000000"/>
          <w:sz w:val="32"/>
          <w:szCs w:val="32"/>
        </w:rPr>
        <w:t>一是美丽乡村持续深化。</w:t>
      </w:r>
      <w:r>
        <w:rPr>
          <w:rFonts w:hint="eastAsia" w:ascii="仿宋_GB2312" w:eastAsia="仿宋_GB2312"/>
          <w:color w:val="000000"/>
          <w:sz w:val="32"/>
          <w:szCs w:val="32"/>
        </w:rPr>
        <w:t>梅林夏家、东南大薛家、韩村进入省第三批特色田园乡村建设试点。继续深化“梅林-东南”美丽乡村建设，高新纺织与融商智投深入合作，加快东南小院、西金小院的后续建设，逐步开放试运营。创办乡村振兴学习社，实现基层党建、美丽乡村与农村经济发展同频共振。落实全域土地整治要求，梅林、东南村率先推进全域土地综合整治试点工作，</w:t>
      </w:r>
      <w:r>
        <w:rPr>
          <w:rFonts w:hint="eastAsia" w:ascii="仿宋_GB2312" w:hAnsi="仿宋_GB2312" w:eastAsia="仿宋_GB2312" w:cs="仿宋_GB2312"/>
          <w:sz w:val="32"/>
          <w:szCs w:val="32"/>
        </w:rPr>
        <w:t>推进“多规合一”，美丽乡村布局不断优化。</w:t>
      </w:r>
    </w:p>
    <w:p>
      <w:pPr>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二是“三农”工作不断推进。</w:t>
      </w:r>
      <w:r>
        <w:rPr>
          <w:rFonts w:hint="eastAsia" w:ascii="仿宋_GB2312" w:eastAsia="仿宋_GB2312"/>
          <w:color w:val="000000"/>
          <w:sz w:val="32"/>
          <w:szCs w:val="32"/>
        </w:rPr>
        <w:t>全力做好“三农”工作，推进水稻绿色高质高效生产，省绿色高效创建现场观摩会、省休耕轮作及水稻育秧落谷现场会、区农民丰收节相继在东南村举办。做好“三资三化”核查工作，加快推进农村产权流转交易市场建设，全年通过产权交易平台成功完成交易16宗，金额68.8万元。完成S122以南、政泰路两侧1800亩高标准农田改造工程，</w:t>
      </w:r>
      <w:r>
        <w:rPr>
          <w:rFonts w:hint="eastAsia" w:ascii="仿宋_GB2312" w:eastAsia="仿宋_GB2312"/>
          <w:sz w:val="32"/>
          <w:szCs w:val="32"/>
        </w:rPr>
        <w:t>农业生产条件逐步提升。</w:t>
      </w:r>
    </w:p>
    <w:p>
      <w:pPr>
        <w:spacing w:line="56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三是环境整治力度加大。</w:t>
      </w:r>
      <w:r>
        <w:rPr>
          <w:rFonts w:hint="eastAsia" w:ascii="仿宋_GB2312" w:eastAsia="仿宋_GB2312"/>
          <w:sz w:val="32"/>
          <w:szCs w:val="32"/>
        </w:rPr>
        <w:t>坚持高标准建设，精细化管理，成功创建国家卫生镇，完善垃圾分类基础设施建设，健全垃圾分类收集转运工作机制，提升镇区整体环境。</w:t>
      </w:r>
      <w:r>
        <w:rPr>
          <w:rFonts w:hint="eastAsia" w:ascii="仿宋_GB2312" w:eastAsia="仿宋_GB2312"/>
          <w:color w:val="000000"/>
          <w:sz w:val="32"/>
          <w:szCs w:val="32"/>
        </w:rPr>
        <w:t>全面启动人居环境整治，浦河社区和水塔口村分别创建省级和市级农村人居环境整治综合示范村，村容村貌明显提升。加强大气污染防控，坚持领导带班巡查，加强“散乱污”企业整治，共</w:t>
      </w:r>
      <w:r>
        <w:rPr>
          <w:rFonts w:hint="eastAsia" w:ascii="仿宋_GB2312" w:hAnsi="黑体" w:eastAsia="仿宋_GB2312" w:cs="仿宋_GB2312"/>
          <w:color w:val="000000"/>
          <w:sz w:val="32"/>
          <w:szCs w:val="32"/>
        </w:rPr>
        <w:t>整治提升企业64家，取缔28家。</w:t>
      </w:r>
      <w:r>
        <w:rPr>
          <w:rFonts w:hint="eastAsia" w:ascii="仿宋_GB2312" w:eastAsia="仿宋_GB2312"/>
          <w:color w:val="000000"/>
          <w:sz w:val="32"/>
          <w:szCs w:val="32"/>
        </w:rPr>
        <w:t>强化河长制工作要求，落实“一河一策”整治方案，全面完成灵清河、午塘河等黑臭水体整治工作，</w:t>
      </w:r>
      <w:r>
        <w:rPr>
          <w:rFonts w:hint="eastAsia" w:ascii="仿宋_GB2312" w:hAnsi="仿宋_GB2312" w:eastAsia="仿宋_GB2312" w:cs="仿宋_GB2312"/>
          <w:sz w:val="32"/>
          <w:szCs w:val="32"/>
        </w:rPr>
        <w:t>完成村（社区）沟塘清淤40处，累计清淤7.5万立方米，</w:t>
      </w:r>
      <w:r>
        <w:rPr>
          <w:rFonts w:hint="eastAsia" w:ascii="仿宋_GB2312" w:hAnsi="黑体" w:eastAsia="仿宋_GB2312" w:cs="仿宋_GB2312"/>
          <w:color w:val="000000"/>
          <w:sz w:val="32"/>
          <w:szCs w:val="32"/>
        </w:rPr>
        <w:t>生态环境明显改善。</w:t>
      </w:r>
    </w:p>
    <w:p>
      <w:pPr>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四是基础配套稳步提升。</w:t>
      </w:r>
      <w:r>
        <w:rPr>
          <w:rFonts w:hint="eastAsia" w:ascii="仿宋_GB2312" w:hAnsi="仿宋_GB2312" w:eastAsia="仿宋_GB2312" w:cs="仿宋_GB2312"/>
          <w:sz w:val="32"/>
          <w:szCs w:val="32"/>
        </w:rPr>
        <w:t>准确把握西夏墅定位，进一步完善总体规划，突出自身特色和优势，不断优化城镇布局，城镇面貌不断提升。</w:t>
      </w:r>
      <w:r>
        <w:rPr>
          <w:rFonts w:hint="eastAsia" w:ascii="仿宋_GB2312" w:eastAsia="仿宋_GB2312"/>
          <w:color w:val="000000"/>
          <w:sz w:val="32"/>
          <w:szCs w:val="32"/>
        </w:rPr>
        <w:t>加速河东新镇区建设，提前三个月完成对香山福园二期</w:t>
      </w:r>
      <w:r>
        <w:rPr>
          <w:rFonts w:hint="eastAsia" w:ascii="仿宋_GB2312" w:hAnsi="仿宋_GB2312" w:eastAsia="仿宋_GB2312" w:cs="仿宋_GB2312"/>
          <w:sz w:val="32"/>
          <w:szCs w:val="32"/>
        </w:rPr>
        <w:t>622</w:t>
      </w:r>
      <w:r>
        <w:rPr>
          <w:rFonts w:hint="eastAsia" w:ascii="仿宋_GB2312" w:eastAsia="仿宋_GB2312"/>
          <w:color w:val="000000"/>
          <w:sz w:val="32"/>
          <w:szCs w:val="32"/>
        </w:rPr>
        <w:t>户共1223人次回迁安置工作，圆满完成新孟河拓浚的动迁安置任务。完成阿里山路以东250户居民燃气接管工程，农贸市场完成竣工验收，即将投入使用，居民生活更加便利。加快河东新镇区和产业园区配套道路管网设施建设，完成平顶山路、钟山路和申江路市政道路及雨污水管网等配套工程建设。积极配合新孟河拓浚，完成水塔口桥、丽江桥、南桥3座桥梁的建设，居民出行更加便捷。</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三、围绕民生“齐发力”，社会氛围更加和谐</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始终坚持把民生民本作为一切工作的出发点和落脚点，努力构建共建共治共享的社会治理格局，民生福祉进一步增强。</w:t>
      </w:r>
    </w:p>
    <w:p>
      <w:pPr>
        <w:snapToGrid w:val="0"/>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一是民生保障有效改善。</w:t>
      </w:r>
      <w:r>
        <w:rPr>
          <w:rFonts w:hint="eastAsia" w:ascii="仿宋_GB2312" w:eastAsia="仿宋_GB2312"/>
          <w:sz w:val="32"/>
          <w:szCs w:val="32"/>
        </w:rPr>
        <w:t>认真做好低保动态管理，扎实推进社会救助工作，累计发放生活保障、助残养老、失地农民等各类保障资金1300余万元。把接收安置好退役军人作为支持国防和军队改革的实际行动，圆满完成退役军人帮扶工作。</w:t>
      </w:r>
      <w:r>
        <w:rPr>
          <w:rFonts w:hint="eastAsia" w:ascii="仿宋_GB2312" w:hAnsi="仿宋_GB2312" w:eastAsia="仿宋_GB2312" w:cs="仿宋_GB2312"/>
          <w:sz w:val="32"/>
          <w:szCs w:val="32"/>
        </w:rPr>
        <w:t>建成香山欣园日间照料中心，持续开展居家养老服务</w:t>
      </w:r>
      <w:r>
        <w:rPr>
          <w:rFonts w:hint="eastAsia" w:ascii="仿宋_GB2312" w:eastAsia="仿宋_GB2312"/>
          <w:sz w:val="32"/>
          <w:szCs w:val="32"/>
        </w:rPr>
        <w:t>。</w:t>
      </w:r>
      <w:r>
        <w:rPr>
          <w:rFonts w:hint="eastAsia" w:ascii="仿宋_GB2312" w:eastAsia="仿宋_GB2312"/>
          <w:color w:val="000000"/>
          <w:sz w:val="32"/>
          <w:szCs w:val="32"/>
        </w:rPr>
        <w:t>举办西夏墅“春风行动”招聘会和常州技师学院双选会，有效缓解企业用工荒。做好“阳光扶贫”走访慰问工作，及时组织对脱贫人员“回头看”，确保不出现返贫现象。切实保障被征地农民权益，落实好被征地农民社会保障工作，人民幸福感不断增强。</w:t>
      </w:r>
    </w:p>
    <w:p>
      <w:pPr>
        <w:spacing w:line="560" w:lineRule="exact"/>
        <w:ind w:firstLine="640" w:firstLineChars="200"/>
        <w:rPr>
          <w:rFonts w:ascii="仿宋_GB2312" w:eastAsia="仿宋_GB2312"/>
          <w:color w:val="000000"/>
          <w:sz w:val="32"/>
          <w:szCs w:val="32"/>
        </w:rPr>
      </w:pPr>
      <w:r>
        <w:rPr>
          <w:rFonts w:hint="eastAsia" w:ascii="楷体_GB2312" w:hAnsi="黑体" w:eastAsia="楷体_GB2312" w:cs="仿宋_GB2312"/>
          <w:color w:val="000000"/>
          <w:sz w:val="32"/>
          <w:szCs w:val="32"/>
        </w:rPr>
        <w:t>二是公共服务持续优化。</w:t>
      </w:r>
      <w:r>
        <w:rPr>
          <w:rFonts w:hint="eastAsia" w:ascii="仿宋_GB2312" w:eastAsia="仿宋_GB2312"/>
          <w:color w:val="000000"/>
          <w:sz w:val="32"/>
          <w:szCs w:val="32"/>
        </w:rPr>
        <w:t>大力支持公共事业发展，成立常州市新墅教育发展基金会，举办首届教师节表彰大会，发放奖励金10余万元，积极促进教育事业发展。西夏墅幼儿园荣获“全国幼儿体操大会自编操金奖”，西夏墅小学获评“全国青少年科学调查体验优秀实施学校”。开展流动就业创业人员随迁子女积分入学试点工作，有效解决流动就业人员子女上学难的问题。</w:t>
      </w:r>
      <w:r>
        <w:rPr>
          <w:rFonts w:hint="eastAsia" w:ascii="仿宋_GB2312" w:hAnsi="宋体" w:eastAsia="仿宋_GB2312" w:cs="宋体"/>
          <w:sz w:val="32"/>
          <w:szCs w:val="32"/>
        </w:rPr>
        <w:t>开展家庭医生签约服务工作，共签约15000余人，百姓看病就医更加方便。</w:t>
      </w:r>
      <w:r>
        <w:rPr>
          <w:rFonts w:hint="eastAsia" w:ascii="仿宋_GB2312" w:eastAsia="仿宋_GB2312"/>
          <w:color w:val="000000"/>
          <w:sz w:val="32"/>
          <w:szCs w:val="32"/>
        </w:rPr>
        <w:t>举办“筑梦新时代 激扬好青春”暨</w:t>
      </w:r>
      <w:r>
        <w:rPr>
          <w:rFonts w:hint="eastAsia" w:ascii="仿宋_GB2312" w:eastAsia="仿宋_GB2312"/>
          <w:color w:val="000000"/>
          <w:sz w:val="32"/>
          <w:szCs w:val="32"/>
          <w:lang w:val="en-US" w:eastAsia="zh-CN"/>
        </w:rPr>
        <w:t>庆祝中国共产党成立</w:t>
      </w:r>
      <w:bookmarkStart w:id="0" w:name="_GoBack"/>
      <w:bookmarkEnd w:id="0"/>
      <w:r>
        <w:rPr>
          <w:rFonts w:hint="eastAsia" w:ascii="仿宋_GB2312" w:eastAsia="仿宋_GB2312"/>
          <w:color w:val="000000"/>
          <w:sz w:val="32"/>
          <w:szCs w:val="32"/>
        </w:rPr>
        <w:t>98周年文艺汇演，“小镇大舞台”惠民工程和“乐动四季”系列活动，惠及群众5000余人次，居民的业余生活不断丰富。</w:t>
      </w:r>
    </w:p>
    <w:p>
      <w:pPr>
        <w:spacing w:line="56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三是社会治理稳定和谐。</w:t>
      </w:r>
      <w:r>
        <w:rPr>
          <w:rFonts w:hint="eastAsia" w:ascii="仿宋_GB2312" w:eastAsia="仿宋_GB2312"/>
          <w:color w:val="000000"/>
          <w:sz w:val="32"/>
          <w:szCs w:val="32"/>
        </w:rPr>
        <w:t>创新网格化社会治理，优化网格设置，实现“网格”+“警格”双网融合，网格赋能全面增强，截至目前，共受理事项</w:t>
      </w:r>
      <w:r>
        <w:rPr>
          <w:rFonts w:hint="eastAsia" w:ascii="仿宋_GB2312" w:hAnsi="宋体" w:eastAsia="仿宋_GB2312"/>
          <w:color w:val="000000"/>
          <w:sz w:val="32"/>
          <w:szCs w:val="32"/>
        </w:rPr>
        <w:t>29583</w:t>
      </w:r>
      <w:r>
        <w:rPr>
          <w:rFonts w:hint="eastAsia" w:ascii="仿宋_GB2312" w:eastAsia="仿宋_GB2312"/>
          <w:color w:val="000000"/>
          <w:sz w:val="32"/>
          <w:szCs w:val="32"/>
        </w:rPr>
        <w:t>起，办结29039起，办结率达98.2%。积极化解矛盾纠纷，充分发挥镇村两级调委会作用，共调处各类纠纷80余件，天堂园等一批历史遗留问题得到有效化解。积极落实扫黑除恶专项斗争，健全领导小组工作机制，联合各职能部门，查摆有效线索，破获案件12起，打掉恶势力团伙1个，有力遏制黑恶势力犯罪问题的发生，不断提升居民安全感和满意度。</w:t>
      </w:r>
      <w:r>
        <w:rPr>
          <w:rFonts w:hint="eastAsia" w:ascii="仿宋_GB2312" w:hAnsi="黑体" w:eastAsia="仿宋_GB2312" w:cs="仿宋_GB2312"/>
          <w:color w:val="000000"/>
          <w:sz w:val="32"/>
          <w:szCs w:val="32"/>
        </w:rPr>
        <w:t>落实“非洲猪瘟”防治要求，全力做好食品药品管控工作，全年未发生重大食品安全事故。深入开展安全生产专项整治行动，严格落实安全生产责任，共检查各类企业640余家，查处整改隐患2500余处，企业安全生产意识不断增强。</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四、深化改革“强保障”，政府效能不断提升</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坚持以人民为中心，不断强化作风效能，优化政府服务，政府形象不断提升。</w:t>
      </w:r>
    </w:p>
    <w:p>
      <w:pPr>
        <w:snapToGrid w:val="0"/>
        <w:spacing w:line="560" w:lineRule="exact"/>
        <w:ind w:firstLine="640" w:firstLineChars="200"/>
        <w:rPr>
          <w:rFonts w:ascii="仿宋_GB2312" w:eastAsia="仿宋_GB2312"/>
          <w:sz w:val="32"/>
          <w:szCs w:val="32"/>
        </w:rPr>
      </w:pPr>
      <w:r>
        <w:rPr>
          <w:rFonts w:hint="eastAsia" w:ascii="楷体_GB2312" w:hAnsi="黑体" w:eastAsia="楷体_GB2312" w:cs="仿宋_GB2312"/>
          <w:color w:val="000000"/>
          <w:sz w:val="32"/>
          <w:szCs w:val="32"/>
        </w:rPr>
        <w:t>一是主题教育成效显著。</w:t>
      </w:r>
      <w:r>
        <w:rPr>
          <w:rFonts w:hint="eastAsia" w:ascii="仿宋_GB2312" w:eastAsia="仿宋_GB2312"/>
          <w:sz w:val="32"/>
          <w:szCs w:val="32"/>
        </w:rPr>
        <w:t>领导班子在主题教育中“走在前、作表率”，带头学习贯彻落实习近平新时代中国特色社会主义思想和党的十九大精神，带领开展集中学习，带头参加“党员义工365”活动15次、下基层调研49次、专题讲党课14次、检视整改问题139个。针对本镇特点制定调查问卷，召开检视问题座谈会，深入群众听取意见，梳理意见建议100余条，精准把脉发展难题，以解决问题检验主题教育成果，推动问题不断整改落实。精心打造“自选动作”，开展村（社区）党建提质、事业单位党建提标、非公党建提效“三提”行动，切实强化宗旨意识，主题教育的经验成效被共产党员网、新华网等媒体专题报道，进一步营造干事创业的良好氛围。</w:t>
      </w:r>
    </w:p>
    <w:p>
      <w:pPr>
        <w:tabs>
          <w:tab w:val="left" w:pos="6165"/>
        </w:tabs>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二是依法行政不断强化。</w:t>
      </w:r>
      <w:r>
        <w:rPr>
          <w:rFonts w:hint="eastAsia" w:ascii="仿宋_GB2312" w:eastAsia="仿宋_GB2312"/>
          <w:sz w:val="32"/>
          <w:szCs w:val="32"/>
        </w:rPr>
        <w:t>坚持依法行政，规范重大事项决策行为，决策的科学化、民主化、法治化水平不断提升。加快推进“互联网+”政务服务，全面梳理规范行政权力、公共服务清单128项，镇级为民服务中心试运行，加快推动居民劳动、社会保障等服务事项集中办理，自觉接受镇人大监督、广泛听取各方面意见，扎实推进2019年人大监督十件民生实事项目，敬老院改造、农村道路、危桥改造等一批项目建成投入使用，依法行政进一步规范。</w:t>
      </w:r>
    </w:p>
    <w:p>
      <w:pPr>
        <w:tabs>
          <w:tab w:val="left" w:pos="6165"/>
        </w:tabs>
        <w:spacing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s="仿宋_GB2312"/>
          <w:color w:val="000000"/>
          <w:sz w:val="32"/>
          <w:szCs w:val="32"/>
        </w:rPr>
        <w:t>三是作风效能不断提升。</w:t>
      </w:r>
      <w:r>
        <w:rPr>
          <w:rFonts w:hint="eastAsia" w:ascii="仿宋_GB2312" w:hAnsi="仿宋_GB2312" w:eastAsia="仿宋_GB2312" w:cs="仿宋_GB2312"/>
          <w:color w:val="000000"/>
          <w:sz w:val="32"/>
          <w:szCs w:val="32"/>
        </w:rPr>
        <w:t>以区委巡察村（社区）和市委提级巡察“回头看”反馈问题整改为契机，对区委巡察出的问题，镇村两级共落实整改措施618条，出台和完善制度89项。对市委提级巡察“回头看”指出的9个方面问题，共落实整改措施30条，健全制度3项。完善党风廉政考核细则，确保“一岗双责”有效执行。充分发挥工程监管APP平台作用，全面提升审计工作规范化水平，开展工程项目预决算审计493个，核减资金</w:t>
      </w:r>
      <w:r>
        <w:rPr>
          <w:rFonts w:hint="eastAsia" w:ascii="仿宋_GB2312" w:hAnsi="宋体" w:eastAsia="仿宋_GB2312" w:cs="宋体"/>
          <w:kern w:val="0"/>
          <w:sz w:val="32"/>
          <w:szCs w:val="32"/>
        </w:rPr>
        <w:t>1100</w:t>
      </w:r>
      <w:r>
        <w:rPr>
          <w:rFonts w:hint="eastAsia" w:ascii="仿宋_GB2312" w:hAnsi="仿宋_GB2312" w:eastAsia="仿宋_GB2312" w:cs="仿宋_GB2312"/>
          <w:color w:val="000000"/>
          <w:sz w:val="32"/>
          <w:szCs w:val="32"/>
        </w:rPr>
        <w:t>余万元。深入开展“担当作为优环境、攻坚克难促发展”机关作风建设三大行动，促进作风转变、效能提升。</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此外，人武、双拥、统计、物价、老龄、档案、商会、协会等各项工作得到全面加强。</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各位代表，2019年西夏墅经济社会发展取得的成绩来之不易。这些成绩的取得，离不开区委、区政府和镇党委的正确领导，离不开各部门、各单位的团结协作，更离不开全镇广大干部群众的共同努力。在此，我谨代表西夏墅镇人民政府，向所有关心、支持、参与西夏墅建设的同志们、朋友们表示衷心的感谢，并致以崇高的敬意！</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在充分肯定成绩的同时，我们也清醒的认识到发展中存在的问题</w:t>
      </w:r>
      <w:r>
        <w:rPr>
          <w:rFonts w:hint="eastAsia" w:ascii="仿宋_GB2312" w:hAnsi="黑体" w:eastAsia="仿宋_GB2312" w:cs="仿宋_GB2312"/>
          <w:sz w:val="32"/>
          <w:szCs w:val="32"/>
        </w:rPr>
        <w:t>：</w:t>
      </w:r>
      <w:r>
        <w:rPr>
          <w:rFonts w:hint="eastAsia" w:ascii="仿宋_GB2312" w:hAnsi="黑体" w:eastAsia="仿宋_GB2312" w:cs="仿宋_GB2312"/>
          <w:b/>
          <w:bCs/>
          <w:sz w:val="32"/>
          <w:szCs w:val="32"/>
        </w:rPr>
        <w:t>一是经济发展质效还需提高。</w:t>
      </w:r>
      <w:r>
        <w:rPr>
          <w:rFonts w:hint="eastAsia" w:ascii="仿宋_GB2312" w:hAnsi="黑体" w:eastAsia="仿宋_GB2312" w:cs="仿宋_GB2312"/>
          <w:sz w:val="32"/>
          <w:szCs w:val="32"/>
        </w:rPr>
        <w:t>西夏墅的产业转型速度还不够快，发展后劲不足，特色产业小而散，龙头企业规模欠缺，特别是受宏观经济形势影响，经济下行压力较大。</w:t>
      </w:r>
      <w:r>
        <w:rPr>
          <w:rFonts w:hint="eastAsia" w:ascii="仿宋_GB2312" w:hAnsi="黑体" w:eastAsia="仿宋_GB2312" w:cs="仿宋_GB2312"/>
          <w:b/>
          <w:bCs/>
          <w:sz w:val="32"/>
          <w:szCs w:val="32"/>
        </w:rPr>
        <w:t>二是公共服务配套有待完善。</w:t>
      </w:r>
      <w:r>
        <w:rPr>
          <w:rFonts w:hint="eastAsia" w:ascii="仿宋_GB2312" w:hAnsi="黑体" w:eastAsia="仿宋_GB2312" w:cs="仿宋_GB2312"/>
          <w:sz w:val="32"/>
          <w:szCs w:val="32"/>
        </w:rPr>
        <w:t>西部片区与东部片区、美丽乡村先行区与其他村（社区）之间发展不平衡，学校、医疗等公共设施配套还有欠缺。</w:t>
      </w:r>
      <w:r>
        <w:rPr>
          <w:rFonts w:hint="eastAsia" w:ascii="仿宋_GB2312" w:hAnsi="黑体" w:eastAsia="仿宋_GB2312" w:cs="仿宋_GB2312"/>
          <w:b/>
          <w:bCs/>
          <w:sz w:val="32"/>
          <w:szCs w:val="32"/>
        </w:rPr>
        <w:t>三是社会治理短板有待弥补。</w:t>
      </w:r>
      <w:r>
        <w:rPr>
          <w:rFonts w:hint="eastAsia" w:ascii="仿宋_GB2312" w:hAnsi="黑体" w:eastAsia="仿宋_GB2312" w:cs="仿宋_GB2312"/>
          <w:sz w:val="32"/>
          <w:szCs w:val="32"/>
        </w:rPr>
        <w:t>城镇管理的标准还不高，长效管理、精细化管理体系还不完善，一些矛盾集中的问题治理成效还不明显。</w:t>
      </w:r>
      <w:r>
        <w:rPr>
          <w:rFonts w:hint="eastAsia" w:ascii="仿宋_GB2312" w:hAnsi="仿宋_GB2312" w:eastAsia="仿宋_GB2312" w:cs="仿宋_GB2312"/>
          <w:sz w:val="32"/>
          <w:szCs w:val="32"/>
        </w:rPr>
        <w:t>对此，我们将采取扎实有效措施，切实予以解决。</w:t>
      </w:r>
    </w:p>
    <w:p>
      <w:pPr>
        <w:spacing w:line="560" w:lineRule="exact"/>
        <w:jc w:val="center"/>
        <w:rPr>
          <w:rFonts w:ascii="黑体" w:hAnsi="黑体" w:eastAsia="黑体" w:cs="仿宋_GB2312"/>
          <w:color w:val="000000"/>
          <w:sz w:val="32"/>
          <w:szCs w:val="32"/>
        </w:rPr>
      </w:pPr>
    </w:p>
    <w:p>
      <w:pPr>
        <w:spacing w:line="560" w:lineRule="exact"/>
        <w:jc w:val="center"/>
        <w:rPr>
          <w:rFonts w:ascii="黑体" w:hAnsi="黑体" w:eastAsia="黑体" w:cs="仿宋_GB2312"/>
          <w:color w:val="000000"/>
          <w:sz w:val="32"/>
          <w:szCs w:val="32"/>
        </w:rPr>
      </w:pPr>
      <w:r>
        <w:rPr>
          <w:rFonts w:hint="eastAsia" w:ascii="黑体" w:hAnsi="黑体" w:eastAsia="黑体" w:cs="仿宋_GB2312"/>
          <w:color w:val="000000"/>
          <w:sz w:val="32"/>
          <w:szCs w:val="32"/>
        </w:rPr>
        <w:t>2020年工作任务</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仿宋_GB2312" w:eastAsia="仿宋_GB2312" w:cs="仿宋_GB2312"/>
          <w:sz w:val="32"/>
          <w:szCs w:val="32"/>
        </w:rPr>
        <w:t>2020年既是“十三五”规划的收官之年，也是全面贯彻落实十九届四中全会精神的开局之年，</w:t>
      </w:r>
      <w:r>
        <w:rPr>
          <w:rFonts w:hint="eastAsia" w:ascii="仿宋_GB2312" w:hAnsi="黑体" w:eastAsia="仿宋_GB2312" w:cs="仿宋_GB2312"/>
          <w:color w:val="000000"/>
          <w:sz w:val="32"/>
          <w:szCs w:val="32"/>
        </w:rPr>
        <w:t>围绕市、区相关工作要求，做好全年的工作，意义深远，责任重大。</w:t>
      </w:r>
    </w:p>
    <w:p>
      <w:pPr>
        <w:spacing w:line="560" w:lineRule="exact"/>
        <w:ind w:firstLine="643" w:firstLineChars="200"/>
        <w:rPr>
          <w:rFonts w:ascii="仿宋_GB2312" w:hAnsi="黑体" w:eastAsia="仿宋_GB2312" w:cs="仿宋_GB2312"/>
          <w:color w:val="000000"/>
          <w:sz w:val="32"/>
          <w:szCs w:val="32"/>
        </w:rPr>
      </w:pPr>
      <w:r>
        <w:rPr>
          <w:rFonts w:hint="eastAsia" w:ascii="仿宋_GB2312" w:hAnsi="黑体" w:eastAsia="仿宋_GB2312" w:cs="仿宋_GB2312"/>
          <w:b/>
          <w:color w:val="000000"/>
          <w:sz w:val="32"/>
          <w:szCs w:val="32"/>
        </w:rPr>
        <w:t>2020年政府工作的总体要求是：</w:t>
      </w:r>
      <w:r>
        <w:rPr>
          <w:rFonts w:hint="eastAsia" w:ascii="仿宋_GB2312" w:hAnsi="仿宋_GB2312" w:eastAsia="仿宋_GB2312" w:cs="仿宋_GB2312"/>
          <w:sz w:val="32"/>
          <w:szCs w:val="32"/>
        </w:rPr>
        <w:t>全面贯彻落实党的十九大、十九届二中、三中、四中全会精神，以习近平新时代中国特色社会主义思想为指导，紧扣区委、区政府的重要决策部署，按照镇四届四次党代会的目标要求，抢抓三大机遇，全力推进产业转型升级，加快推进河东新镇区建设，努力完善城镇配套功能，不断满足人民日益增长的美好生活需求。</w:t>
      </w:r>
    </w:p>
    <w:p>
      <w:pPr>
        <w:spacing w:line="560" w:lineRule="exact"/>
        <w:ind w:firstLine="643" w:firstLineChars="200"/>
        <w:rPr>
          <w:rFonts w:ascii="仿宋_GB2312" w:hAnsi="黑体" w:eastAsia="仿宋_GB2312" w:cs="仿宋_GB2312"/>
          <w:color w:val="000000"/>
          <w:sz w:val="32"/>
          <w:szCs w:val="32"/>
        </w:rPr>
      </w:pPr>
      <w:r>
        <w:rPr>
          <w:rFonts w:hint="eastAsia" w:ascii="仿宋_GB2312" w:hAnsi="黑体" w:eastAsia="仿宋_GB2312" w:cs="仿宋_GB2312"/>
          <w:b/>
          <w:color w:val="000000"/>
          <w:sz w:val="32"/>
          <w:szCs w:val="32"/>
        </w:rPr>
        <w:t>2020年经济社会发展的主要目标是：</w:t>
      </w:r>
      <w:r>
        <w:rPr>
          <w:rFonts w:hint="eastAsia" w:ascii="仿宋_GB2312" w:hAnsi="宋体" w:eastAsia="仿宋_GB2312" w:cs="宋体"/>
          <w:sz w:val="32"/>
          <w:szCs w:val="32"/>
        </w:rPr>
        <w:t>地区生产总值增长8%左右；服务业增加值增长10%左右；全社会固定资产投资增长</w:t>
      </w:r>
      <w:r>
        <w:rPr>
          <w:rFonts w:ascii="仿宋_GB2312" w:hAnsi="宋体" w:eastAsia="仿宋_GB2312" w:cs="宋体"/>
          <w:sz w:val="32"/>
          <w:szCs w:val="32"/>
        </w:rPr>
        <w:t>6</w:t>
      </w:r>
      <w:r>
        <w:rPr>
          <w:rFonts w:hint="eastAsia" w:ascii="仿宋_GB2312" w:hAnsi="宋体" w:eastAsia="仿宋_GB2312" w:cs="宋体"/>
          <w:sz w:val="32"/>
          <w:szCs w:val="32"/>
        </w:rPr>
        <w:t>%左右，其中工业投入增长</w:t>
      </w:r>
      <w:r>
        <w:rPr>
          <w:rFonts w:ascii="仿宋_GB2312" w:hAnsi="宋体" w:eastAsia="仿宋_GB2312" w:cs="宋体"/>
          <w:sz w:val="32"/>
          <w:szCs w:val="32"/>
        </w:rPr>
        <w:t>6</w:t>
      </w:r>
      <w:r>
        <w:rPr>
          <w:rFonts w:hint="eastAsia" w:ascii="仿宋_GB2312" w:hAnsi="宋体" w:eastAsia="仿宋_GB2312" w:cs="宋体"/>
          <w:sz w:val="32"/>
          <w:szCs w:val="32"/>
        </w:rPr>
        <w:t>%左右，服务业投资增长10%左右；一般公共预算收入增长</w:t>
      </w:r>
      <w:r>
        <w:rPr>
          <w:rFonts w:ascii="仿宋_GB2312" w:hAnsi="宋体" w:eastAsia="仿宋_GB2312" w:cs="宋体"/>
          <w:sz w:val="32"/>
          <w:szCs w:val="32"/>
        </w:rPr>
        <w:t>6</w:t>
      </w:r>
      <w:r>
        <w:rPr>
          <w:rFonts w:hint="eastAsia" w:ascii="仿宋_GB2312" w:hAnsi="宋体" w:eastAsia="仿宋_GB2312" w:cs="宋体"/>
          <w:sz w:val="32"/>
          <w:szCs w:val="32"/>
        </w:rPr>
        <w:t>%左右；农民人均纯收入增长12%左右。</w:t>
      </w:r>
      <w:r>
        <w:rPr>
          <w:rFonts w:hint="eastAsia" w:ascii="仿宋_GB2312" w:hAnsi="黑体" w:eastAsia="仿宋_GB2312" w:cs="仿宋_GB2312"/>
          <w:color w:val="000000"/>
          <w:sz w:val="32"/>
          <w:szCs w:val="32"/>
        </w:rPr>
        <w:t>围绕</w:t>
      </w:r>
      <w:r>
        <w:rPr>
          <w:rFonts w:ascii="仿宋_GB2312" w:hAnsi="黑体" w:eastAsia="仿宋_GB2312" w:cs="仿宋_GB2312"/>
          <w:color w:val="000000"/>
          <w:sz w:val="32"/>
          <w:szCs w:val="32"/>
        </w:rPr>
        <w:t>上述目标任务</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我们</w:t>
      </w:r>
      <w:r>
        <w:rPr>
          <w:rFonts w:hint="eastAsia" w:ascii="仿宋_GB2312" w:hAnsi="黑体" w:eastAsia="仿宋_GB2312" w:cs="仿宋_GB2312"/>
          <w:color w:val="000000"/>
          <w:sz w:val="32"/>
          <w:szCs w:val="32"/>
        </w:rPr>
        <w:t>将</w:t>
      </w:r>
      <w:r>
        <w:rPr>
          <w:rFonts w:ascii="仿宋_GB2312" w:hAnsi="黑体" w:eastAsia="仿宋_GB2312" w:cs="仿宋_GB2312"/>
          <w:color w:val="000000"/>
          <w:sz w:val="32"/>
          <w:szCs w:val="32"/>
        </w:rPr>
        <w:t>具体做好以下几方面工作</w:t>
      </w:r>
      <w:r>
        <w:rPr>
          <w:rFonts w:hint="eastAsia" w:ascii="仿宋_GB2312" w:hAnsi="黑体" w:eastAsia="仿宋_GB2312" w:cs="仿宋_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一、聚焦高质量高附加值，切实增强综合实力</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大力支持实体经济发展，着力壮大主导产业，促进经济转型升级，不断提升经济发展质效。</w:t>
      </w:r>
    </w:p>
    <w:p>
      <w:pPr>
        <w:spacing w:line="560" w:lineRule="exact"/>
        <w:ind w:firstLine="640" w:firstLineChars="200"/>
        <w:rPr>
          <w:rFonts w:ascii="仿宋_GB2312" w:eastAsia="仿宋_GB2312"/>
          <w:sz w:val="32"/>
          <w:szCs w:val="32"/>
        </w:rPr>
      </w:pPr>
      <w:r>
        <w:rPr>
          <w:rFonts w:hint="eastAsia" w:ascii="楷体_GB2312" w:hAnsi="黑体" w:eastAsia="楷体_GB2312" w:cs="仿宋_GB2312"/>
          <w:color w:val="000000"/>
          <w:sz w:val="32"/>
          <w:szCs w:val="32"/>
        </w:rPr>
        <w:t>一要打造特色小镇新篇章。</w:t>
      </w:r>
      <w:r>
        <w:rPr>
          <w:rFonts w:hint="eastAsia" w:ascii="仿宋_GB2312" w:hAnsi="黑体" w:eastAsia="仿宋_GB2312" w:cs="仿宋_GB2312"/>
          <w:color w:val="000000"/>
          <w:sz w:val="32"/>
          <w:szCs w:val="32"/>
        </w:rPr>
        <w:t>编制实施“工具智造小镇”2020年建设计划，</w:t>
      </w:r>
      <w:r>
        <w:rPr>
          <w:rFonts w:hint="eastAsia" w:ascii="仿宋_GB2312" w:eastAsia="仿宋_GB2312"/>
          <w:sz w:val="32"/>
          <w:szCs w:val="32"/>
        </w:rPr>
        <w:t>不断完善“工具智造小镇”建设规划，</w:t>
      </w:r>
      <w:r>
        <w:rPr>
          <w:rFonts w:hint="eastAsia" w:ascii="仿宋_GB2312" w:hAnsi="仿宋_GB2312" w:eastAsia="仿宋_GB2312" w:cs="仿宋_GB2312"/>
          <w:sz w:val="32"/>
          <w:szCs w:val="32"/>
        </w:rPr>
        <w:t>重点围绕产业培育、产城融合、人才引进、生态环境、文化传承、体制机制6个方面做文章，积极推进小镇建设，抓好小镇客厅、雅居乐科技园、海博工具研究院等项目的建设跟进，确保项目尽快建成投运。</w:t>
      </w:r>
      <w:r>
        <w:rPr>
          <w:rFonts w:hint="eastAsia" w:ascii="仿宋_GB2312" w:eastAsia="仿宋_GB2312"/>
          <w:sz w:val="32"/>
          <w:szCs w:val="32"/>
        </w:rPr>
        <w:t>充分发挥陈明教授小镇镇长的技术优势和广泛资源，加快集聚技术、人才、设备等高端资源，助力小镇产业发展。深入挖掘产业文化，加强舆论宣传，广泛凝聚建设合力。</w:t>
      </w:r>
    </w:p>
    <w:p>
      <w:pPr>
        <w:spacing w:line="560" w:lineRule="exact"/>
        <w:ind w:firstLine="640"/>
        <w:rPr>
          <w:rFonts w:ascii="仿宋_GB2312" w:hAnsi="仿宋_GB2312" w:eastAsia="仿宋_GB2312" w:cs="仿宋_GB2312"/>
          <w:sz w:val="32"/>
          <w:szCs w:val="32"/>
          <w:highlight w:val="yellow"/>
        </w:rPr>
      </w:pPr>
      <w:r>
        <w:rPr>
          <w:rFonts w:hint="eastAsia" w:ascii="楷体_GB2312" w:hAnsi="黑体" w:eastAsia="楷体_GB2312" w:cs="仿宋_GB2312"/>
          <w:color w:val="000000"/>
          <w:sz w:val="32"/>
          <w:szCs w:val="32"/>
        </w:rPr>
        <w:t>二要培育主导产业新动能。</w:t>
      </w:r>
      <w:r>
        <w:rPr>
          <w:rFonts w:hint="eastAsia" w:ascii="仿宋_GB2312" w:eastAsia="仿宋_GB2312"/>
          <w:sz w:val="32"/>
          <w:szCs w:val="32"/>
        </w:rPr>
        <w:t>持续加大刀工具、新材料等主导产业培育力度，锁定全球工具产业链领军型企业，扶持一批骨干企业实现品牌化、高端化、智能化发展，着力做大做强工具产业。抢抓青海量具等在建项目的建设进度，倒排时序，确保项目加快建设，尽早投产见效。注重发挥海力工具、宏发纵横新材料等龙头企业引领作用，以点带面，催发产业内生动力，促进两大产业的健康发展。加大潜在企业股改上市培育力度，力争培育一批上市后备企业。整合现有资源，全力推动汽摩配产业优化升级，助推产业全面发展。</w:t>
      </w:r>
    </w:p>
    <w:p>
      <w:pPr>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color w:val="000000"/>
          <w:sz w:val="32"/>
          <w:szCs w:val="32"/>
        </w:rPr>
        <w:t>三要点燃项目推进新引擎。</w:t>
      </w:r>
      <w:r>
        <w:rPr>
          <w:rFonts w:hint="eastAsia" w:ascii="仿宋_GB2312" w:hAnsi="仿宋_GB2312" w:eastAsia="仿宋_GB2312" w:cs="仿宋_GB2312"/>
          <w:sz w:val="32"/>
          <w:szCs w:val="32"/>
        </w:rPr>
        <w:t>围绕产业建链强链，拓宽招商引资渠道，积极与上海等先进地区对接，招引优质成熟项目，不断增强招商引资工作成效。持续开展工业企业用地增效工作，有效摸排C、D类企业情况，加大闲置土地盘活力度，坚持“以亩均论英雄，按质效配资源”。持续推进《纺织印染园区规划》编制工作，促进园区优化产业布局，推进节能减排，细化完善“一企一策”方案，通过对纺织印染企业的引优汰劣，不断提升低效土地利用率，助推产业提质增效。</w:t>
      </w:r>
    </w:p>
    <w:p>
      <w:pPr>
        <w:spacing w:line="560" w:lineRule="exact"/>
        <w:ind w:firstLine="640" w:firstLineChars="200"/>
        <w:rPr>
          <w:rFonts w:ascii="仿宋_GB2312" w:eastAsia="仿宋_GB2312"/>
          <w:color w:val="000000"/>
          <w:sz w:val="32"/>
        </w:rPr>
      </w:pPr>
      <w:r>
        <w:rPr>
          <w:rFonts w:hint="eastAsia" w:ascii="楷体_GB2312" w:hAnsi="黑体" w:eastAsia="楷体_GB2312" w:cs="仿宋_GB2312"/>
          <w:color w:val="000000"/>
          <w:sz w:val="32"/>
          <w:szCs w:val="32"/>
        </w:rPr>
        <w:t>四要强化创新实力新支撑。</w:t>
      </w:r>
      <w:r>
        <w:rPr>
          <w:rFonts w:hint="eastAsia" w:ascii="仿宋_GB2312" w:eastAsia="仿宋_GB2312"/>
          <w:sz w:val="32"/>
          <w:szCs w:val="32"/>
        </w:rPr>
        <w:t>发挥众创社区集聚效应和国家级孵化器、众创空间的创新引领作用，</w:t>
      </w:r>
      <w:r>
        <w:rPr>
          <w:rFonts w:hint="eastAsia" w:ascii="仿宋_GB2312" w:hAnsi="仿宋_GB2312" w:eastAsia="仿宋_GB2312" w:cs="仿宋_GB2312"/>
          <w:sz w:val="32"/>
          <w:szCs w:val="32"/>
        </w:rPr>
        <w:t>力争新增市级孵化器1家，市级以上研发机构3家，</w:t>
      </w:r>
      <w:r>
        <w:rPr>
          <w:rFonts w:hint="eastAsia" w:ascii="仿宋_GB2312" w:eastAsia="仿宋_GB2312"/>
          <w:sz w:val="32"/>
          <w:szCs w:val="32"/>
        </w:rPr>
        <w:t>加快推动江苏现代高效精密工具产业研究院建设，尽早实现科技成果转化。</w:t>
      </w:r>
      <w:r>
        <w:rPr>
          <w:rFonts w:hint="eastAsia" w:ascii="仿宋_GB2312" w:hAnsi="黑体" w:eastAsia="仿宋_GB2312" w:cs="仿宋_GB2312"/>
          <w:color w:val="000000"/>
          <w:sz w:val="32"/>
          <w:szCs w:val="32"/>
        </w:rPr>
        <w:t>重点扶持高新技术企业，2020年计划新申报高企20家，争取有效期内的高新技术企业60家，鼓励企业加大研发投入，确保全年发明专利超过220件，切实提升企业创新水平。</w:t>
      </w:r>
      <w:r>
        <w:rPr>
          <w:rFonts w:hint="eastAsia" w:ascii="仿宋_GB2312" w:eastAsia="仿宋_GB2312"/>
          <w:color w:val="000000"/>
          <w:sz w:val="32"/>
        </w:rPr>
        <w:t>广泛对接国内外知名高校院所，突出产业特色，强化引才育才服务，计划</w:t>
      </w:r>
      <w:r>
        <w:rPr>
          <w:rFonts w:hint="eastAsia" w:ascii="仿宋_GB2312" w:eastAsia="仿宋_GB2312"/>
          <w:sz w:val="32"/>
          <w:szCs w:val="32"/>
        </w:rPr>
        <w:t>引进培育省“双创”计划人才1名，市“龙城英才”创业人才5名，努力</w:t>
      </w:r>
      <w:r>
        <w:rPr>
          <w:rFonts w:hint="eastAsia" w:ascii="仿宋_GB2312" w:eastAsia="仿宋_GB2312"/>
          <w:color w:val="000000"/>
          <w:sz w:val="32"/>
        </w:rPr>
        <w:t>打造高层次人才集聚地。</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二、聚焦生态文明内涵，扎实推进镇村建设</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坚持把实施乡村振兴战略作为提升农村发展的根本之策，努力构建“城乡靓、生态美、民风淳、百姓富”的镇村发展格局。</w:t>
      </w:r>
    </w:p>
    <w:p>
      <w:pPr>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color w:val="000000"/>
          <w:sz w:val="32"/>
          <w:szCs w:val="32"/>
        </w:rPr>
        <w:t>一要提升城镇功能配套。</w:t>
      </w:r>
      <w:r>
        <w:rPr>
          <w:rFonts w:hint="eastAsia" w:ascii="仿宋_GB2312" w:hAnsi="仿宋_GB2312" w:eastAsia="仿宋_GB2312" w:cs="仿宋_GB2312"/>
          <w:sz w:val="32"/>
          <w:szCs w:val="32"/>
        </w:rPr>
        <w:t>稳步推进河东新镇区建设，加快推进香山福园四期和配套路网建设，确保早日完成动迁安置。加快推进西夏墅初级中学建设，争取明年年内主体封顶，及时改善西夏墅教育环境。加快推进交警中队异地新建工作，争取明年上半年完成鑫海北地块商业综合体的土地出让工作。加快重点基础设施建设，做好阳澄湖路、阿里山路沿街商铺污水管网接管工作，继续实施农村道路和危桥改造工程，确保群众出行便利。</w:t>
      </w:r>
    </w:p>
    <w:p>
      <w:pPr>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color w:val="000000"/>
          <w:sz w:val="32"/>
          <w:szCs w:val="32"/>
        </w:rPr>
        <w:t>二要放大“三农”工作优势。</w:t>
      </w:r>
      <w:r>
        <w:rPr>
          <w:rFonts w:hint="eastAsia" w:ascii="仿宋_GB2312" w:hAnsi="仿宋_GB2312" w:eastAsia="仿宋_GB2312" w:cs="仿宋_GB2312"/>
          <w:sz w:val="32"/>
          <w:szCs w:val="32"/>
        </w:rPr>
        <w:t>落实全市“660”示范点培育行动要求，继续深化梅林、东南全域土地综合整治试点工作。以省级特色田园乡村建设为契机，重点打造梅林夏家、东南大薛家、韩村片区，不断提升村容村貌。加强社会资本合作，高质量完成民宿建设，开发乡村旅游线路，打造美丽乡村2.0版。推行绿色发展理念，开展绿肥品种试验，创建东南粮食绿色高产高效示范片区。联合团区委、嘉壹度青创平台，建立“壹度农青舍”，加强农村青年创业引导，不断推进农业三产孵化。积极开展“一镇一业”“一村一品”特色农业，提升“梅林”“夏墅”农产品的知名度和影响力。继续做好“三资”平台管理，拓宽农业农村增收途径，壮大村级集体经济。</w:t>
      </w:r>
    </w:p>
    <w:p>
      <w:pPr>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sz w:val="32"/>
          <w:szCs w:val="32"/>
        </w:rPr>
        <w:t>三要全力保障安全稳定。</w:t>
      </w:r>
      <w:r>
        <w:rPr>
          <w:rFonts w:hint="eastAsia" w:ascii="仿宋_GB2312" w:hAnsi="仿宋_GB2312" w:eastAsia="仿宋_GB2312" w:cs="仿宋_GB2312"/>
          <w:sz w:val="32"/>
          <w:szCs w:val="32"/>
        </w:rPr>
        <w:t>全年围绕</w:t>
      </w:r>
      <w:r>
        <w:rPr>
          <w:rFonts w:ascii="仿宋_GB2312" w:hAnsi="仿宋_GB2312" w:eastAsia="仿宋_GB2312" w:cs="仿宋_GB2312"/>
          <w:sz w:val="32"/>
          <w:szCs w:val="32"/>
        </w:rPr>
        <w:t>国务院江苏</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安全生产专项整治督导工作</w:t>
      </w:r>
      <w:r>
        <w:rPr>
          <w:rFonts w:hint="eastAsia" w:ascii="仿宋_GB2312" w:hAnsi="仿宋_GB2312" w:eastAsia="仿宋_GB2312" w:cs="仿宋_GB2312"/>
          <w:sz w:val="32"/>
          <w:szCs w:val="32"/>
        </w:rPr>
        <w:t>，深入开展全覆盖、拉网式的安全生产专项整治行动，严查冶金工贸、固废危废、加油站和商业场所、火灾防控、特种设备、宗教场所、</w:t>
      </w:r>
      <w:r>
        <w:rPr>
          <w:rFonts w:ascii="仿宋_GB2312" w:hAnsi="仿宋_GB2312" w:eastAsia="仿宋_GB2312" w:cs="仿宋_GB2312"/>
          <w:sz w:val="32"/>
          <w:szCs w:val="32"/>
        </w:rPr>
        <w:t>建筑施工</w:t>
      </w:r>
      <w:r>
        <w:rPr>
          <w:rFonts w:hint="eastAsia" w:ascii="仿宋_GB2312" w:hAnsi="仿宋_GB2312" w:eastAsia="仿宋_GB2312" w:cs="仿宋_GB2312"/>
          <w:sz w:val="32"/>
          <w:szCs w:val="32"/>
        </w:rPr>
        <w:t>等领域安全生产合法合规情况。通过边排查边整治，边治理边完善，帮助企业筑牢安全生产事故防线，补齐安全生产短板。进一步健全安全生产监管体系，</w:t>
      </w:r>
      <w:r>
        <w:rPr>
          <w:rFonts w:hint="eastAsia" w:ascii="仿宋_GB2312" w:eastAsia="仿宋_GB2312"/>
          <w:sz w:val="32"/>
          <w:szCs w:val="32"/>
        </w:rPr>
        <w:t>完善环境突发事件应急预案，</w:t>
      </w:r>
      <w:r>
        <w:rPr>
          <w:rFonts w:hint="eastAsia" w:ascii="仿宋_GB2312" w:hAnsi="仿宋_GB2312" w:eastAsia="仿宋_GB2312" w:cs="仿宋_GB2312"/>
          <w:sz w:val="32"/>
          <w:szCs w:val="32"/>
        </w:rPr>
        <w:t>确保政府督促责任、部门监管责任和企业主体责任落实到位，推动全镇安全生产形势持续稳定向好。</w:t>
      </w:r>
    </w:p>
    <w:p>
      <w:pPr>
        <w:spacing w:line="560" w:lineRule="exact"/>
        <w:ind w:firstLine="640" w:firstLineChars="200"/>
        <w:rPr>
          <w:rFonts w:ascii="仿宋_GB2312" w:hAnsi="黑体" w:eastAsia="仿宋_GB2312" w:cs="仿宋_GB2312"/>
          <w:color w:val="FF0000"/>
          <w:sz w:val="32"/>
          <w:szCs w:val="32"/>
        </w:rPr>
      </w:pPr>
      <w:r>
        <w:rPr>
          <w:rFonts w:hint="eastAsia" w:ascii="楷体_GB2312" w:hAnsi="黑体" w:eastAsia="楷体_GB2312" w:cs="仿宋_GB2312"/>
          <w:sz w:val="32"/>
          <w:szCs w:val="32"/>
        </w:rPr>
        <w:t>四要深入实施污染防治。</w:t>
      </w:r>
      <w:r>
        <w:rPr>
          <w:rFonts w:hint="eastAsia" w:ascii="仿宋_GB2312" w:hAnsi="仿宋_GB2312" w:eastAsia="仿宋_GB2312" w:cs="仿宋_GB2312"/>
          <w:sz w:val="32"/>
          <w:szCs w:val="32"/>
        </w:rPr>
        <w:t>以创建国家生态文明建设示范镇和江苏省健康镇为重要契机，始终保持对环境违法行为的高压打击态势，做好“双随机”环境监管，持续推进污染防治攻坚战专项整治行动。抓实工地道路扬尘污染整治、秸秆禁烧、重点污染企业管控等工作，提升空气质量。抓细河长制工作，对照“一河一策”方案，巩固黑臭水体治理成效，</w:t>
      </w:r>
      <w:r>
        <w:rPr>
          <w:rFonts w:hint="eastAsia" w:ascii="仿宋_GB2312" w:hAnsi="黑体" w:eastAsia="仿宋_GB2312" w:cs="仿宋_GB2312"/>
          <w:sz w:val="32"/>
          <w:szCs w:val="32"/>
        </w:rPr>
        <w:t>不断提升水环境综合治理水平。抓牢土壤质量监管、固废危废处理等工作，尤其针对已经关停的化工企业地块进行监管和治理修复，切实打好蓝天、碧水、净土保卫战。</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三、聚焦获得感幸福感，竭力优化公共服务供给</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抓住人民群众最关心最直接最现实的利益问题，全力保障民生民本，完善公共服务体系，努力促进社会和谐稳定。</w:t>
      </w:r>
    </w:p>
    <w:p>
      <w:pPr>
        <w:spacing w:line="56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一要健全社会保障网。</w:t>
      </w:r>
      <w:r>
        <w:rPr>
          <w:rFonts w:hint="eastAsia" w:ascii="仿宋_GB2312" w:hAnsi="仿宋_GB2312" w:eastAsia="仿宋_GB2312" w:cs="仿宋_GB2312"/>
          <w:sz w:val="32"/>
          <w:szCs w:val="32"/>
        </w:rPr>
        <w:t>集中力量办好</w:t>
      </w:r>
      <w:r>
        <w:rPr>
          <w:rFonts w:hint="eastAsia" w:ascii="仿宋_GB2312" w:hAnsi="黑体" w:eastAsia="仿宋_GB2312" w:cs="仿宋_GB2312"/>
          <w:color w:val="000000"/>
          <w:sz w:val="32"/>
          <w:szCs w:val="32"/>
        </w:rPr>
        <w:t>人大监督</w:t>
      </w:r>
      <w:r>
        <w:rPr>
          <w:rFonts w:hint="eastAsia" w:ascii="仿宋_GB2312" w:hAnsi="仿宋_GB2312" w:eastAsia="仿宋_GB2312" w:cs="仿宋_GB2312"/>
          <w:sz w:val="32"/>
          <w:szCs w:val="32"/>
        </w:rPr>
        <w:t>民生实事，强化社会救助体系建设，发挥慈善基金会、残疾人圆梦中心作用，严格落实各类保障工作，兜牢民生底线。积极开展劳动者职业技能培训，</w:t>
      </w:r>
      <w:r>
        <w:rPr>
          <w:rFonts w:hint="eastAsia" w:ascii="仿宋_GB2312" w:hAnsi="仿宋_GB2312" w:eastAsia="仿宋_GB2312" w:cs="仿宋_GB2312"/>
          <w:kern w:val="0"/>
          <w:sz w:val="32"/>
          <w:szCs w:val="32"/>
        </w:rPr>
        <w:t>继续做好劳动监察日常巡查和“两欠一逃”专项检查</w:t>
      </w:r>
      <w:r>
        <w:rPr>
          <w:rFonts w:hint="eastAsia" w:ascii="仿宋_GB2312" w:hAnsi="仿宋_GB2312" w:eastAsia="仿宋_GB2312" w:cs="仿宋_GB2312"/>
          <w:sz w:val="32"/>
          <w:szCs w:val="32"/>
        </w:rPr>
        <w:t>。扎实做好居家养老服务，继续推进养老院改造，做好日间照料中心、居家养老服务中心及老年人助餐点的管理运营工作，努力提升社会保障水平。</w:t>
      </w:r>
    </w:p>
    <w:p>
      <w:pPr>
        <w:spacing w:line="560" w:lineRule="exact"/>
        <w:ind w:firstLine="640"/>
        <w:rPr>
          <w:rFonts w:ascii="仿宋_GB2312" w:hAnsi="仿宋_GB2312" w:eastAsia="仿宋_GB2312" w:cs="仿宋_GB2312"/>
          <w:sz w:val="32"/>
          <w:szCs w:val="32"/>
        </w:rPr>
      </w:pPr>
      <w:r>
        <w:rPr>
          <w:rFonts w:hint="eastAsia" w:ascii="楷体_GB2312" w:hAnsi="黑体" w:eastAsia="楷体_GB2312" w:cs="仿宋_GB2312"/>
          <w:color w:val="000000"/>
          <w:sz w:val="32"/>
          <w:szCs w:val="32"/>
        </w:rPr>
        <w:t>二要优化公共服务网。</w:t>
      </w:r>
      <w:r>
        <w:rPr>
          <w:rFonts w:hint="eastAsia" w:ascii="仿宋_GB2312" w:hAnsi="仿宋_GB2312" w:eastAsia="仿宋_GB2312" w:cs="仿宋_GB2312"/>
          <w:sz w:val="32"/>
          <w:szCs w:val="32"/>
        </w:rPr>
        <w:t>把保障群众基本生活作为完善公共服务体系的重要一环，继续做好流动就业创业人员随迁子女积分入学工作，促进流动就业人员子女上学更有序规范。加强教育事业的资金投入，</w:t>
      </w:r>
      <w:r>
        <w:rPr>
          <w:rFonts w:hint="eastAsia" w:ascii="仿宋_GB2312" w:eastAsia="仿宋_GB2312"/>
          <w:sz w:val="32"/>
          <w:szCs w:val="32"/>
        </w:rPr>
        <w:t>改造提升学校硬件设施，继续运营和管理好教育基金会，切实优化教育环境。持续推进家庭医生签约服务工作，完善特色科室功能设备，积极创建“江苏省糖尿病特色专科”。继续</w:t>
      </w:r>
      <w:r>
        <w:rPr>
          <w:rFonts w:hint="eastAsia" w:ascii="仿宋_GB2312" w:hAnsi="仿宋_GB2312" w:eastAsia="仿宋_GB2312" w:cs="仿宋_GB2312"/>
          <w:sz w:val="32"/>
          <w:szCs w:val="32"/>
        </w:rPr>
        <w:t>丰富“乐动四季”文体活动品牌，扎实开展“小镇大舞台”，送戏下乡等文化惠民活动，丰富群众精神生活。</w:t>
      </w:r>
    </w:p>
    <w:p>
      <w:pPr>
        <w:spacing w:line="56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三要筑牢稳定和谐网。</w:t>
      </w:r>
      <w:r>
        <w:rPr>
          <w:rFonts w:hint="eastAsia" w:ascii="仿宋_GB2312" w:eastAsia="仿宋_GB2312"/>
          <w:color w:val="000000"/>
          <w:sz w:val="32"/>
        </w:rPr>
        <w:t>创新网格化社会治理机制，落实绩效考核，切实提升网格职能。</w:t>
      </w:r>
      <w:r>
        <w:rPr>
          <w:rFonts w:hint="eastAsia" w:ascii="仿宋_GB2312" w:hAnsi="仿宋_GB2312" w:eastAsia="仿宋_GB2312" w:cs="仿宋_GB2312"/>
          <w:color w:val="000000" w:themeColor="text1"/>
          <w:sz w:val="32"/>
          <w:szCs w:val="32"/>
        </w:rPr>
        <w:t>进一步规范和完善镇村两级调委会、公调对接的组织建设、队伍建设和制度建设。发挥审判工作站作用，进一步加强法治专业力量。发挥多调联动作用，推动化解积案及疑难纠纷调处力度，确保不发生因调解不力而引发的群体性事件。进一步加大扫黑除恶专项斗争、反邪教、禁毒警示教育和护路护线宣传活动的力度</w:t>
      </w:r>
      <w:r>
        <w:rPr>
          <w:rFonts w:hint="eastAsia" w:ascii="仿宋_GB2312" w:hAnsi="仿宋_GB2312" w:eastAsia="仿宋_GB2312" w:cs="仿宋_GB2312"/>
          <w:sz w:val="32"/>
          <w:szCs w:val="32"/>
        </w:rPr>
        <w:t>，继续深入推进平安西夏墅创建活动，提升群众安全感、满意度。</w:t>
      </w: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四、聚焦法治阳光高效廉洁，全面打造务实规范型政府</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坚持为民务实，不断提高执行能力和服务水平，努力建设职能科学、权责法定、公开公正、廉洁高效的务实规范型政府。</w:t>
      </w:r>
    </w:p>
    <w:p>
      <w:pPr>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一要在政务服务上下功夫。</w:t>
      </w:r>
      <w:r>
        <w:rPr>
          <w:rFonts w:hint="eastAsia" w:ascii="仿宋_GB2312" w:hAnsi="黑体" w:eastAsia="仿宋_GB2312" w:cs="仿宋_GB2312"/>
          <w:color w:val="000000"/>
          <w:sz w:val="32"/>
          <w:szCs w:val="32"/>
        </w:rPr>
        <w:t>切实转变政府思维，优化营商环境、缩短流程时间、提升政务服务，不断提升政府工作效率。积极寻求化解政府性债务的有效办法，合理编制预算，压缩开支、守住红线。不断完善“两办一问”重点工作机制，定期召开重点工作推进会，及时分析并解决工作推进中出现的问题，确保全年重点工作有效落实。深入推进政务公开，突出抓好重大项目建设等信息公开，促进政府工作公开透明。深化“互联网+”政务服务改革，继续做好为民服务中心的运营管理工作，完善村（社区）便民服务中心的管理和建设，实现政务服务体系基层全方位提升。</w:t>
      </w:r>
    </w:p>
    <w:p>
      <w:pPr>
        <w:spacing w:line="560" w:lineRule="exact"/>
        <w:ind w:firstLine="640" w:firstLineChars="200"/>
        <w:rPr>
          <w:rFonts w:ascii="仿宋_GB2312" w:hAnsi="黑体" w:eastAsia="仿宋_GB2312" w:cs="仿宋_GB2312"/>
          <w:color w:val="000000"/>
          <w:sz w:val="32"/>
          <w:szCs w:val="32"/>
        </w:rPr>
      </w:pPr>
      <w:r>
        <w:rPr>
          <w:rFonts w:hint="eastAsia" w:ascii="楷体_GB2312" w:hAnsi="黑体" w:eastAsia="楷体_GB2312" w:cs="仿宋_GB2312"/>
          <w:color w:val="000000"/>
          <w:sz w:val="32"/>
          <w:szCs w:val="32"/>
        </w:rPr>
        <w:t>二要在法治建设上下功夫。</w:t>
      </w:r>
      <w:r>
        <w:rPr>
          <w:rFonts w:hint="eastAsia" w:ascii="仿宋_GB2312" w:hAnsi="黑体" w:eastAsia="仿宋_GB2312" w:cs="仿宋_GB2312"/>
          <w:color w:val="000000"/>
          <w:sz w:val="32"/>
          <w:szCs w:val="32"/>
        </w:rPr>
        <w:t>进一步转变政府职能，扎实推进法治政府建设，发挥政府法律顾问作用，用法治的思维和治理方式推动工作。自觉接受党内监督、人大监督、民主监督、司法监督和社会监督，认真办理人大代表议案。严格落实政府议事规则，坚持民主集中制，认真执行“三重一大”决策制度，健全科学民主决策机制，严格履行重大行政决策公众参与、专家论证、风险评估、合法性审查和集体讨论决定等法定程序。严格规范公正文明执法，建立执法全过程记录制度，有效维护经济社会秩序，提高政府公信力。</w:t>
      </w:r>
    </w:p>
    <w:p>
      <w:pPr>
        <w:spacing w:line="56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三要在廉洁高效上下功夫。</w:t>
      </w:r>
      <w:r>
        <w:rPr>
          <w:rFonts w:hint="eastAsia" w:ascii="仿宋_GB2312" w:hAnsi="黑体" w:eastAsia="仿宋_GB2312" w:cs="仿宋_GB2312"/>
          <w:color w:val="000000"/>
          <w:sz w:val="32"/>
          <w:szCs w:val="32"/>
        </w:rPr>
        <w:t>坚决贯彻全面从严治党要求，把严肃政治纪律、政治规矩摆在首要位置，认真履行主体责任和“一岗双责”，深入推进政府系统党风廉政建设和反腐败斗争。从严落实中央八项规定精神及相关实施细则要求，</w:t>
      </w:r>
      <w:r>
        <w:rPr>
          <w:rFonts w:hint="eastAsia" w:ascii="仿宋_GB2312" w:hAnsi="仿宋_GB2312" w:eastAsia="仿宋_GB2312" w:cs="仿宋_GB2312"/>
          <w:sz w:val="32"/>
          <w:szCs w:val="32"/>
        </w:rPr>
        <w:t>紧跟监察体制改革步伐，加大纪律审查力度，加强新条例学习和应用，</w:t>
      </w:r>
      <w:r>
        <w:rPr>
          <w:rFonts w:hint="eastAsia" w:ascii="仿宋_GB2312" w:hAnsi="黑体" w:eastAsia="仿宋_GB2312" w:cs="仿宋_GB2312"/>
          <w:color w:val="000000"/>
          <w:sz w:val="32"/>
          <w:szCs w:val="32"/>
        </w:rPr>
        <w:t>筑牢拒腐防变思想防线和制度防线。加强外部监管，每月开展两次以上机关效能检查，严控“三公”经费支出，加强行政审批、工程招投标、产权交易、涉农资金、政府采购等重点领域监管，营造风清气正、干事创业的良好氛围。</w:t>
      </w:r>
    </w:p>
    <w:p>
      <w:pPr>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sz w:val="32"/>
          <w:szCs w:val="32"/>
        </w:rPr>
        <w:t>各位代表！积力之所举，则无不胜；众智之所为，则无不成。让我们在区委、区政府和镇党委的正确领导下，紧紧依靠全镇人民，以锐意创新的勇气、敢为人先的锐气、蓬勃向上的朝气，奋力创造出无愧于历史、无愧于时代的新业绩，全力开创西夏墅镇经济社会高质量发展建设的新局面！</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454FA5-7D97-46A8-B64E-5D6ECD20D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9F6F83DE-DBBA-4DBD-9F3F-DACADA890EBC}"/>
  </w:font>
  <w:font w:name="仿宋_GB2312">
    <w:panose1 w:val="02010609030101010101"/>
    <w:charset w:val="86"/>
    <w:family w:val="modern"/>
    <w:pitch w:val="default"/>
    <w:sig w:usb0="00000001" w:usb1="080E0000" w:usb2="00000000" w:usb3="00000000" w:csb0="00040000" w:csb1="00000000"/>
    <w:embedRegular r:id="rId3" w:fontKey="{2AC60099-7308-403A-B127-EC24BFD44733}"/>
  </w:font>
  <w:font w:name="楷体_GB2312">
    <w:panose1 w:val="02010609030101010101"/>
    <w:charset w:val="86"/>
    <w:family w:val="modern"/>
    <w:pitch w:val="default"/>
    <w:sig w:usb0="00000001" w:usb1="080E0000" w:usb2="00000000" w:usb3="00000000" w:csb0="00040000" w:csb1="00000000"/>
    <w:embedRegular r:id="rId4" w:fontKey="{8A40E9BA-5B43-4AEA-81E3-92E162ADB7C1}"/>
  </w:font>
  <w:font w:name="楷体">
    <w:panose1 w:val="02010609060101010101"/>
    <w:charset w:val="86"/>
    <w:family w:val="modern"/>
    <w:pitch w:val="default"/>
    <w:sig w:usb0="800002BF" w:usb1="38CF7CFA" w:usb2="00000016" w:usb3="00000000" w:csb0="00040001" w:csb1="00000000"/>
    <w:embedRegular r:id="rId5" w:fontKey="{D25DE8B1-D7AA-4BBA-8623-DA9AFD77B4B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958833"/>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pPr>
      <w:pStyle w:val="3"/>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54800D9D"/>
    <w:rsid w:val="00002E31"/>
    <w:rsid w:val="00011670"/>
    <w:rsid w:val="00020399"/>
    <w:rsid w:val="000717FA"/>
    <w:rsid w:val="000834D7"/>
    <w:rsid w:val="00091BEC"/>
    <w:rsid w:val="00093C95"/>
    <w:rsid w:val="000E4321"/>
    <w:rsid w:val="000E5CFA"/>
    <w:rsid w:val="000F2921"/>
    <w:rsid w:val="00141581"/>
    <w:rsid w:val="001537D9"/>
    <w:rsid w:val="00161968"/>
    <w:rsid w:val="001C50A2"/>
    <w:rsid w:val="001E5AD1"/>
    <w:rsid w:val="00224849"/>
    <w:rsid w:val="002256C8"/>
    <w:rsid w:val="00237B0E"/>
    <w:rsid w:val="00255A43"/>
    <w:rsid w:val="00267795"/>
    <w:rsid w:val="00274FFB"/>
    <w:rsid w:val="00285CAE"/>
    <w:rsid w:val="002914F8"/>
    <w:rsid w:val="002B115D"/>
    <w:rsid w:val="002C2CBB"/>
    <w:rsid w:val="0032301E"/>
    <w:rsid w:val="00327A06"/>
    <w:rsid w:val="0033728C"/>
    <w:rsid w:val="003626D4"/>
    <w:rsid w:val="00393DC7"/>
    <w:rsid w:val="003A3AE7"/>
    <w:rsid w:val="003E3BE5"/>
    <w:rsid w:val="00421E0B"/>
    <w:rsid w:val="00441DA0"/>
    <w:rsid w:val="00464090"/>
    <w:rsid w:val="00476624"/>
    <w:rsid w:val="00490FC1"/>
    <w:rsid w:val="004A0581"/>
    <w:rsid w:val="00547EF3"/>
    <w:rsid w:val="0057284B"/>
    <w:rsid w:val="00581297"/>
    <w:rsid w:val="005815A2"/>
    <w:rsid w:val="005A3E4D"/>
    <w:rsid w:val="005B247A"/>
    <w:rsid w:val="005E292D"/>
    <w:rsid w:val="00601877"/>
    <w:rsid w:val="006062BC"/>
    <w:rsid w:val="00617E96"/>
    <w:rsid w:val="006301BC"/>
    <w:rsid w:val="006373BF"/>
    <w:rsid w:val="00637F12"/>
    <w:rsid w:val="006515E2"/>
    <w:rsid w:val="006B42CE"/>
    <w:rsid w:val="006C15ED"/>
    <w:rsid w:val="006C22B6"/>
    <w:rsid w:val="006D1605"/>
    <w:rsid w:val="006D5C66"/>
    <w:rsid w:val="00705E93"/>
    <w:rsid w:val="00711354"/>
    <w:rsid w:val="00711D18"/>
    <w:rsid w:val="007572E8"/>
    <w:rsid w:val="007863AC"/>
    <w:rsid w:val="007C6BB0"/>
    <w:rsid w:val="007F1515"/>
    <w:rsid w:val="008174EE"/>
    <w:rsid w:val="00820E3E"/>
    <w:rsid w:val="00835A51"/>
    <w:rsid w:val="00855473"/>
    <w:rsid w:val="00891E31"/>
    <w:rsid w:val="008A25F2"/>
    <w:rsid w:val="008A42AA"/>
    <w:rsid w:val="008A4665"/>
    <w:rsid w:val="008B2B54"/>
    <w:rsid w:val="008B427F"/>
    <w:rsid w:val="008C32D6"/>
    <w:rsid w:val="008E0980"/>
    <w:rsid w:val="009171D7"/>
    <w:rsid w:val="00924864"/>
    <w:rsid w:val="0096121B"/>
    <w:rsid w:val="00963D5D"/>
    <w:rsid w:val="00981779"/>
    <w:rsid w:val="00994AC5"/>
    <w:rsid w:val="009B6AF8"/>
    <w:rsid w:val="009D3C6C"/>
    <w:rsid w:val="009E67B6"/>
    <w:rsid w:val="00A00982"/>
    <w:rsid w:val="00A05848"/>
    <w:rsid w:val="00A35AD1"/>
    <w:rsid w:val="00A46FE7"/>
    <w:rsid w:val="00AB7136"/>
    <w:rsid w:val="00AD4C6D"/>
    <w:rsid w:val="00B31DA8"/>
    <w:rsid w:val="00B52D82"/>
    <w:rsid w:val="00B726DC"/>
    <w:rsid w:val="00B8526A"/>
    <w:rsid w:val="00BB3A19"/>
    <w:rsid w:val="00BB753A"/>
    <w:rsid w:val="00BC1625"/>
    <w:rsid w:val="00C2371F"/>
    <w:rsid w:val="00C5692E"/>
    <w:rsid w:val="00C7016D"/>
    <w:rsid w:val="00C74902"/>
    <w:rsid w:val="00CB2D28"/>
    <w:rsid w:val="00CB75C8"/>
    <w:rsid w:val="00CC6C04"/>
    <w:rsid w:val="00CE1291"/>
    <w:rsid w:val="00D51045"/>
    <w:rsid w:val="00D60FF2"/>
    <w:rsid w:val="00D62D1A"/>
    <w:rsid w:val="00D67CAA"/>
    <w:rsid w:val="00D70F71"/>
    <w:rsid w:val="00D8109B"/>
    <w:rsid w:val="00DA4BD3"/>
    <w:rsid w:val="00DC56A5"/>
    <w:rsid w:val="00DD2D5C"/>
    <w:rsid w:val="00E917E5"/>
    <w:rsid w:val="00EB0CAA"/>
    <w:rsid w:val="00ED0E03"/>
    <w:rsid w:val="00ED7B44"/>
    <w:rsid w:val="00F12D07"/>
    <w:rsid w:val="00F81A9C"/>
    <w:rsid w:val="00F8620B"/>
    <w:rsid w:val="00F90F55"/>
    <w:rsid w:val="00FB1DF3"/>
    <w:rsid w:val="00FC0813"/>
    <w:rsid w:val="00FC671A"/>
    <w:rsid w:val="010D5A09"/>
    <w:rsid w:val="025F404E"/>
    <w:rsid w:val="02EA052E"/>
    <w:rsid w:val="039F7107"/>
    <w:rsid w:val="057B439F"/>
    <w:rsid w:val="06FA59D3"/>
    <w:rsid w:val="07727684"/>
    <w:rsid w:val="082C33A8"/>
    <w:rsid w:val="088A1FDE"/>
    <w:rsid w:val="0924262C"/>
    <w:rsid w:val="098835BD"/>
    <w:rsid w:val="09A0543B"/>
    <w:rsid w:val="0A187729"/>
    <w:rsid w:val="0A3454F7"/>
    <w:rsid w:val="0B375663"/>
    <w:rsid w:val="0BA15733"/>
    <w:rsid w:val="0C1F7310"/>
    <w:rsid w:val="0C2D0D48"/>
    <w:rsid w:val="0C363EA4"/>
    <w:rsid w:val="0C9E5DE4"/>
    <w:rsid w:val="0D5702B9"/>
    <w:rsid w:val="0E45027B"/>
    <w:rsid w:val="0E515E2D"/>
    <w:rsid w:val="0E7B5180"/>
    <w:rsid w:val="0F1C73A1"/>
    <w:rsid w:val="11691235"/>
    <w:rsid w:val="118B3528"/>
    <w:rsid w:val="11A95F95"/>
    <w:rsid w:val="11AC29E5"/>
    <w:rsid w:val="121F6D6A"/>
    <w:rsid w:val="12221B07"/>
    <w:rsid w:val="129D1423"/>
    <w:rsid w:val="12DF08E8"/>
    <w:rsid w:val="12F7276C"/>
    <w:rsid w:val="13EC4B7F"/>
    <w:rsid w:val="13ED0008"/>
    <w:rsid w:val="14AC0CCF"/>
    <w:rsid w:val="15036274"/>
    <w:rsid w:val="152A5697"/>
    <w:rsid w:val="159F788E"/>
    <w:rsid w:val="15AC6D3C"/>
    <w:rsid w:val="15AD6F3F"/>
    <w:rsid w:val="17453135"/>
    <w:rsid w:val="180555E2"/>
    <w:rsid w:val="18BC1AEF"/>
    <w:rsid w:val="19604836"/>
    <w:rsid w:val="199F6298"/>
    <w:rsid w:val="19D228FE"/>
    <w:rsid w:val="1A6010F6"/>
    <w:rsid w:val="1AAA3564"/>
    <w:rsid w:val="1B6423EF"/>
    <w:rsid w:val="1BDE26E0"/>
    <w:rsid w:val="1C317D0C"/>
    <w:rsid w:val="1C555B57"/>
    <w:rsid w:val="1D6A1F35"/>
    <w:rsid w:val="1DBA4712"/>
    <w:rsid w:val="1FF61794"/>
    <w:rsid w:val="226849EE"/>
    <w:rsid w:val="22FA07C6"/>
    <w:rsid w:val="23836515"/>
    <w:rsid w:val="23881FD8"/>
    <w:rsid w:val="241643D4"/>
    <w:rsid w:val="24291772"/>
    <w:rsid w:val="24817DF0"/>
    <w:rsid w:val="24B809B4"/>
    <w:rsid w:val="250137DC"/>
    <w:rsid w:val="25447D43"/>
    <w:rsid w:val="257F0EC5"/>
    <w:rsid w:val="25F51C4F"/>
    <w:rsid w:val="25FB6B07"/>
    <w:rsid w:val="261C01EA"/>
    <w:rsid w:val="26D5207E"/>
    <w:rsid w:val="26E85301"/>
    <w:rsid w:val="2766549A"/>
    <w:rsid w:val="281F5A16"/>
    <w:rsid w:val="28353CB3"/>
    <w:rsid w:val="289313B2"/>
    <w:rsid w:val="29DF4FEE"/>
    <w:rsid w:val="2A905594"/>
    <w:rsid w:val="2B592241"/>
    <w:rsid w:val="2C932C9F"/>
    <w:rsid w:val="2EEA394F"/>
    <w:rsid w:val="2FBC677A"/>
    <w:rsid w:val="2FFE28F9"/>
    <w:rsid w:val="3030690B"/>
    <w:rsid w:val="307A6A8B"/>
    <w:rsid w:val="30D16DC7"/>
    <w:rsid w:val="313F5212"/>
    <w:rsid w:val="31A45124"/>
    <w:rsid w:val="31BD2E64"/>
    <w:rsid w:val="32134116"/>
    <w:rsid w:val="32516572"/>
    <w:rsid w:val="32BF6DF2"/>
    <w:rsid w:val="32C01F13"/>
    <w:rsid w:val="3321778C"/>
    <w:rsid w:val="33305EFE"/>
    <w:rsid w:val="366A0697"/>
    <w:rsid w:val="366C60F1"/>
    <w:rsid w:val="36A61426"/>
    <w:rsid w:val="375C0643"/>
    <w:rsid w:val="384D33AB"/>
    <w:rsid w:val="389144BE"/>
    <w:rsid w:val="396F2CF1"/>
    <w:rsid w:val="39773F97"/>
    <w:rsid w:val="39D46D0B"/>
    <w:rsid w:val="3AC83909"/>
    <w:rsid w:val="3C3A1B1D"/>
    <w:rsid w:val="3C600ED4"/>
    <w:rsid w:val="3CC243CB"/>
    <w:rsid w:val="3CF40094"/>
    <w:rsid w:val="3D8406AC"/>
    <w:rsid w:val="3E442D4B"/>
    <w:rsid w:val="3EE81E63"/>
    <w:rsid w:val="3F42523A"/>
    <w:rsid w:val="40064A9F"/>
    <w:rsid w:val="40577E7A"/>
    <w:rsid w:val="40B953AA"/>
    <w:rsid w:val="42E531C3"/>
    <w:rsid w:val="43593595"/>
    <w:rsid w:val="4397472D"/>
    <w:rsid w:val="43CC2664"/>
    <w:rsid w:val="446644FA"/>
    <w:rsid w:val="45153443"/>
    <w:rsid w:val="457C218B"/>
    <w:rsid w:val="4593327A"/>
    <w:rsid w:val="4757708B"/>
    <w:rsid w:val="47741D85"/>
    <w:rsid w:val="47FC2E86"/>
    <w:rsid w:val="4821420B"/>
    <w:rsid w:val="486B3F53"/>
    <w:rsid w:val="487936E8"/>
    <w:rsid w:val="49313E7A"/>
    <w:rsid w:val="49440D37"/>
    <w:rsid w:val="49582112"/>
    <w:rsid w:val="4A46681A"/>
    <w:rsid w:val="4AE6025C"/>
    <w:rsid w:val="4BA124ED"/>
    <w:rsid w:val="4CD00FE1"/>
    <w:rsid w:val="4CEA1F98"/>
    <w:rsid w:val="4D103154"/>
    <w:rsid w:val="4DAE24CA"/>
    <w:rsid w:val="4EC2169D"/>
    <w:rsid w:val="4F3C6020"/>
    <w:rsid w:val="4F941D0F"/>
    <w:rsid w:val="51975CD0"/>
    <w:rsid w:val="519F47A1"/>
    <w:rsid w:val="52460A8B"/>
    <w:rsid w:val="529C0C18"/>
    <w:rsid w:val="529D1767"/>
    <w:rsid w:val="52CF4BCB"/>
    <w:rsid w:val="5356120B"/>
    <w:rsid w:val="53762ED5"/>
    <w:rsid w:val="54800D9D"/>
    <w:rsid w:val="551A5461"/>
    <w:rsid w:val="55270E4B"/>
    <w:rsid w:val="555E4AA5"/>
    <w:rsid w:val="55A61F47"/>
    <w:rsid w:val="586E173F"/>
    <w:rsid w:val="596259CE"/>
    <w:rsid w:val="59F753A1"/>
    <w:rsid w:val="5AFD515F"/>
    <w:rsid w:val="5B687CFF"/>
    <w:rsid w:val="5BC239E1"/>
    <w:rsid w:val="5C027815"/>
    <w:rsid w:val="5C0815E1"/>
    <w:rsid w:val="5C092DB0"/>
    <w:rsid w:val="5C181890"/>
    <w:rsid w:val="5CC23035"/>
    <w:rsid w:val="5CF677FA"/>
    <w:rsid w:val="5DD818F7"/>
    <w:rsid w:val="5DE2055F"/>
    <w:rsid w:val="5F352AB2"/>
    <w:rsid w:val="5F954C0E"/>
    <w:rsid w:val="5FAD25C8"/>
    <w:rsid w:val="5FBE1D5F"/>
    <w:rsid w:val="5FC53334"/>
    <w:rsid w:val="600B57AA"/>
    <w:rsid w:val="60CC5D5D"/>
    <w:rsid w:val="62354F7F"/>
    <w:rsid w:val="62950E53"/>
    <w:rsid w:val="62CB1BA4"/>
    <w:rsid w:val="64FD4537"/>
    <w:rsid w:val="6565216E"/>
    <w:rsid w:val="656B5A40"/>
    <w:rsid w:val="66255C81"/>
    <w:rsid w:val="66705BA2"/>
    <w:rsid w:val="67DD0202"/>
    <w:rsid w:val="68837AE7"/>
    <w:rsid w:val="688C1CBE"/>
    <w:rsid w:val="68ED0BBD"/>
    <w:rsid w:val="695A2F95"/>
    <w:rsid w:val="69684EBE"/>
    <w:rsid w:val="6A60196C"/>
    <w:rsid w:val="6A806F40"/>
    <w:rsid w:val="6ACC2B99"/>
    <w:rsid w:val="6BBC4675"/>
    <w:rsid w:val="6C730060"/>
    <w:rsid w:val="6C8B4E0C"/>
    <w:rsid w:val="6C9B09B1"/>
    <w:rsid w:val="6D400AA8"/>
    <w:rsid w:val="6E7E7B43"/>
    <w:rsid w:val="6E8F18C4"/>
    <w:rsid w:val="6EA661E1"/>
    <w:rsid w:val="6ED71286"/>
    <w:rsid w:val="6F495B1F"/>
    <w:rsid w:val="6F4B40FC"/>
    <w:rsid w:val="70923B34"/>
    <w:rsid w:val="70C17A65"/>
    <w:rsid w:val="71330BF2"/>
    <w:rsid w:val="71BC2A20"/>
    <w:rsid w:val="72CB3E7C"/>
    <w:rsid w:val="73114E83"/>
    <w:rsid w:val="738574CF"/>
    <w:rsid w:val="74AA66DB"/>
    <w:rsid w:val="75215286"/>
    <w:rsid w:val="75374547"/>
    <w:rsid w:val="7579569B"/>
    <w:rsid w:val="76D20CAD"/>
    <w:rsid w:val="76EF422D"/>
    <w:rsid w:val="775F57EB"/>
    <w:rsid w:val="788456FB"/>
    <w:rsid w:val="78851CC3"/>
    <w:rsid w:val="78BF665F"/>
    <w:rsid w:val="78D46D79"/>
    <w:rsid w:val="79165836"/>
    <w:rsid w:val="799625D8"/>
    <w:rsid w:val="7B2973C7"/>
    <w:rsid w:val="7B9347A6"/>
    <w:rsid w:val="7C222396"/>
    <w:rsid w:val="7C4F52E5"/>
    <w:rsid w:val="7CDB77F0"/>
    <w:rsid w:val="7D1F17ED"/>
    <w:rsid w:val="7E1464B6"/>
    <w:rsid w:val="7E151AB1"/>
    <w:rsid w:val="7E372F12"/>
    <w:rsid w:val="7E815954"/>
    <w:rsid w:val="7E854677"/>
    <w:rsid w:val="7EE12271"/>
    <w:rsid w:val="7F871EA0"/>
    <w:rsid w:val="7F9C5F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8A87-D5CD-406B-A027-F8738B4DF2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1230</Words>
  <Characters>7012</Characters>
  <Lines>58</Lines>
  <Paragraphs>16</Paragraphs>
  <TotalTime>31</TotalTime>
  <ScaleCrop>false</ScaleCrop>
  <LinksUpToDate>false</LinksUpToDate>
  <CharactersWithSpaces>8226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2018-12-24T06:47:00Z</dcterms:created>
  <dc:creator>Devil会微笑</dc:creator>
  <cp:lastModifiedBy>未遂</cp:lastModifiedBy>
  <cp:lastPrinted>2019-12-24T08:12:00Z</cp:lastPrinted>
  <dcterms:modified xsi:type="dcterms:W3CDTF">2024-04-03T06:31:42Z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AEC7CFF2CF084ADCA9F2D17DFE181A69_12</vt:lpwstr>
  </property>
</Properties>
</file>