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楷体_GB2312" w:cs="Times New Roman"/>
          <w:b/>
        </w:rPr>
      </w:pPr>
      <w:r>
        <w:rPr>
          <w:rFonts w:ascii="Times New Roman" w:hAnsi="Times New Roman" w:eastAsia="方正小标宋简体" w:cs="Times New Roman"/>
          <w:sz w:val="44"/>
          <w:szCs w:val="44"/>
        </w:rPr>
        <w:t>常州市新北区</w:t>
      </w:r>
      <w:r>
        <w:rPr>
          <w:rFonts w:hint="eastAsia" w:ascii="Times New Roman" w:hAnsi="Times New Roman" w:eastAsia="方正小标宋简体" w:cs="Times New Roman"/>
          <w:sz w:val="44"/>
          <w:szCs w:val="44"/>
          <w:lang w:eastAsia="zh-CN"/>
        </w:rPr>
        <w:t>西夏墅镇</w:t>
      </w:r>
      <w:r>
        <w:rPr>
          <w:rFonts w:ascii="Times New Roman" w:hAnsi="Times New Roman" w:eastAsia="方正小标宋简体" w:cs="Times New Roman"/>
          <w:sz w:val="44"/>
          <w:szCs w:val="44"/>
        </w:rPr>
        <w:t>政务公开</w:t>
      </w:r>
      <w:r>
        <w:rPr>
          <w:rFonts w:hint="eastAsia" w:ascii="Times New Roman" w:hAnsi="Times New Roman" w:eastAsia="方正小标宋简体" w:cs="Times New Roman"/>
          <w:sz w:val="44"/>
          <w:szCs w:val="44"/>
        </w:rPr>
        <w:t>事项</w:t>
      </w:r>
      <w:r>
        <w:rPr>
          <w:rFonts w:ascii="Times New Roman" w:hAnsi="Times New Roman" w:eastAsia="方正小标宋简体" w:cs="Times New Roman"/>
          <w:sz w:val="44"/>
          <w:szCs w:val="44"/>
        </w:rPr>
        <w:t>清单</w:t>
      </w:r>
    </w:p>
    <w:p>
      <w:pPr>
        <w:spacing w:line="600" w:lineRule="exact"/>
        <w:jc w:val="center"/>
        <w:rPr>
          <w:rFonts w:ascii="Times New Roman" w:hAnsi="Times New Roman" w:eastAsia="方正小标宋简体" w:cs="Times New Roman"/>
          <w:sz w:val="44"/>
          <w:szCs w:val="44"/>
        </w:rPr>
      </w:pPr>
    </w:p>
    <w:tbl>
      <w:tblPr>
        <w:tblStyle w:val="6"/>
        <w:tblW w:w="515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82"/>
        <w:gridCol w:w="1182"/>
        <w:gridCol w:w="1329"/>
        <w:gridCol w:w="2317"/>
        <w:gridCol w:w="5655"/>
        <w:gridCol w:w="1818"/>
        <w:gridCol w:w="11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blHeader/>
          <w:jc w:val="center"/>
        </w:trPr>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一级指标</w:t>
            </w:r>
          </w:p>
        </w:tc>
        <w:tc>
          <w:tcPr>
            <w:tcW w:w="1182"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二级指标</w:t>
            </w:r>
          </w:p>
        </w:tc>
        <w:tc>
          <w:tcPr>
            <w:tcW w:w="1329"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三级指标</w:t>
            </w:r>
          </w:p>
        </w:tc>
        <w:tc>
          <w:tcPr>
            <w:tcW w:w="2317"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公开内容</w:t>
            </w:r>
          </w:p>
        </w:tc>
        <w:tc>
          <w:tcPr>
            <w:tcW w:w="5655"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公开依据</w:t>
            </w:r>
          </w:p>
        </w:tc>
        <w:tc>
          <w:tcPr>
            <w:tcW w:w="1818"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公开时限</w:t>
            </w:r>
          </w:p>
        </w:tc>
        <w:tc>
          <w:tcPr>
            <w:tcW w:w="1176" w:type="dxa"/>
            <w:vAlign w:val="center"/>
          </w:tcPr>
          <w:p>
            <w:pPr>
              <w:spacing w:line="370" w:lineRule="exact"/>
              <w:ind w:left="-57" w:right="-57"/>
              <w:jc w:val="center"/>
              <w:rPr>
                <w:rFonts w:ascii="仿宋_GB2312" w:hAnsi="黑体" w:eastAsia="仿宋_GB2312" w:cs="Times New Roman"/>
                <w:sz w:val="24"/>
                <w:szCs w:val="24"/>
              </w:rPr>
            </w:pPr>
            <w:r>
              <w:rPr>
                <w:rFonts w:hint="eastAsia" w:ascii="仿宋_GB2312" w:hAnsi="黑体" w:eastAsia="仿宋_GB2312" w:cs="Times New Roman"/>
                <w:sz w:val="24"/>
                <w:szCs w:val="24"/>
              </w:rPr>
              <w:t>公开渠道和载体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4"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主动公开</w:t>
            </w:r>
          </w:p>
        </w:tc>
        <w:tc>
          <w:tcPr>
            <w:tcW w:w="1182" w:type="dxa"/>
            <w:vMerge w:val="restart"/>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基础信息</w:t>
            </w:r>
          </w:p>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公开</w:t>
            </w:r>
          </w:p>
        </w:tc>
        <w:tc>
          <w:tcPr>
            <w:tcW w:w="1329"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信息公开</w:t>
            </w:r>
          </w:p>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指南</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1.主动公开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2.对外发布政府信息的渠道</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3.依申请公开</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4.工作机构、地址、联系方式、办公时间</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《中华人民共和国政府信息公开条例》第三条。</w:t>
            </w:r>
          </w:p>
        </w:tc>
        <w:tc>
          <w:tcPr>
            <w:tcW w:w="1818"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及时更新</w:t>
            </w:r>
          </w:p>
        </w:tc>
        <w:tc>
          <w:tcPr>
            <w:tcW w:w="1176" w:type="dxa"/>
            <w:vAlign w:val="center"/>
          </w:tcPr>
          <w:p>
            <w:pPr>
              <w:spacing w:line="37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6"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行政规范性文件</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本级政府现行有效行政规范性文件的集中规范公开与动态更新情况。</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eastAsia="仿宋_GB2312" w:cs="Times New Roman"/>
                <w:sz w:val="24"/>
                <w:szCs w:val="24"/>
              </w:rPr>
              <w:t>《中华人民共和国政府信息公开条例》第二十条。</w:t>
            </w:r>
          </w:p>
          <w:p>
            <w:pPr>
              <w:spacing w:line="370" w:lineRule="exact"/>
              <w:ind w:left="-57" w:right="-57"/>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2.</w:t>
            </w:r>
            <w:r>
              <w:rPr>
                <w:rFonts w:hint="eastAsia" w:ascii="仿宋_GB2312" w:eastAsia="仿宋_GB2312" w:cs="Times New Roman"/>
                <w:sz w:val="24"/>
                <w:szCs w:val="24"/>
              </w:rPr>
              <w:t>《国务院办公厅关于印发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年政务公开工作要点的通知》（国办发〔</w:t>
            </w:r>
            <w:r>
              <w:rPr>
                <w:rFonts w:hint="eastAsia" w:ascii="仿宋_GB2312" w:hAnsi="Times New Roman" w:eastAsia="仿宋_GB2312" w:cs="Times New Roman"/>
                <w:sz w:val="24"/>
                <w:szCs w:val="24"/>
              </w:rPr>
              <w:t>2022</w:t>
            </w:r>
            <w:r>
              <w:rPr>
                <w:rFonts w:hint="eastAsia" w:ascii="仿宋_GB2312" w:eastAsia="仿宋_GB2312" w:cs="Times New Roman"/>
                <w:sz w:val="24"/>
                <w:szCs w:val="24"/>
              </w:rPr>
              <w:t>〕</w:t>
            </w:r>
            <w:r>
              <w:rPr>
                <w:rFonts w:hint="eastAsia" w:ascii="仿宋_GB2312" w:hAnsi="Times New Roman" w:eastAsia="仿宋_GB2312" w:cs="Times New Roman"/>
                <w:sz w:val="24"/>
                <w:szCs w:val="24"/>
              </w:rPr>
              <w:t>8</w:t>
            </w:r>
            <w:r>
              <w:rPr>
                <w:rFonts w:hint="eastAsia" w:ascii="仿宋_GB2312" w:eastAsia="仿宋_GB2312" w:cs="Times New Roman"/>
                <w:sz w:val="24"/>
                <w:szCs w:val="24"/>
              </w:rPr>
              <w:t>号）</w:t>
            </w:r>
            <w:r>
              <w:rPr>
                <w:rFonts w:hint="eastAsia" w:ascii="仿宋_GB2312" w:hAnsi="Times New Roman" w:eastAsia="仿宋_GB2312" w:cs="Times New Roman"/>
                <w:sz w:val="24"/>
                <w:szCs w:val="24"/>
              </w:rPr>
              <w:t>“</w:t>
            </w:r>
            <w:r>
              <w:rPr>
                <w:rFonts w:hint="eastAsia" w:ascii="仿宋_GB2312" w:eastAsia="仿宋_GB2312" w:cs="Times New Roman"/>
                <w:sz w:val="24"/>
                <w:szCs w:val="24"/>
              </w:rPr>
              <w:t>三、提高政策公开质量，（二）开展行政规范性文件集中公开。</w:t>
            </w:r>
            <w:bookmarkStart w:id="0" w:name="_GoBack"/>
            <w:bookmarkEnd w:id="0"/>
            <w:r>
              <w:rPr>
                <w:rFonts w:hint="eastAsia" w:ascii="仿宋_GB2312" w:eastAsia="仿宋_GB2312" w:cs="Times New Roman"/>
                <w:sz w:val="24"/>
                <w:szCs w:val="24"/>
                <w:lang w:eastAsia="zh-CN"/>
              </w:rPr>
              <w:t>”</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机构概况</w:t>
            </w:r>
          </w:p>
        </w:tc>
        <w:tc>
          <w:tcPr>
            <w:tcW w:w="2317" w:type="dxa"/>
            <w:vAlign w:val="center"/>
          </w:tcPr>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1.领导</w:t>
            </w:r>
          </w:p>
          <w:p>
            <w:pPr>
              <w:spacing w:line="370" w:lineRule="exact"/>
              <w:ind w:right="-57"/>
              <w:rPr>
                <w:rFonts w:ascii="仿宋_GB2312" w:eastAsia="仿宋_GB2312" w:cs="Times New Roman"/>
                <w:sz w:val="24"/>
                <w:szCs w:val="24"/>
              </w:rPr>
            </w:pPr>
            <w:r>
              <w:rPr>
                <w:rFonts w:hint="eastAsia" w:ascii="仿宋_GB2312" w:eastAsia="仿宋_GB2312" w:cs="Times New Roman"/>
                <w:sz w:val="24"/>
                <w:szCs w:val="24"/>
              </w:rPr>
              <w:t>2.部门</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3.机构职能</w:t>
            </w:r>
          </w:p>
          <w:p>
            <w:pPr>
              <w:spacing w:line="370" w:lineRule="exact"/>
              <w:ind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4</w:t>
            </w:r>
            <w:r>
              <w:rPr>
                <w:rFonts w:hint="eastAsia" w:ascii="仿宋_GB2312" w:hAnsi="Times New Roman" w:eastAsia="仿宋_GB2312" w:cs="Times New Roman"/>
                <w:sz w:val="24"/>
                <w:szCs w:val="24"/>
              </w:rPr>
              <w:t>.人事任免</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《中华人民共和国政府信息公开条例》第二十条。</w:t>
            </w:r>
          </w:p>
        </w:tc>
        <w:tc>
          <w:tcPr>
            <w:tcW w:w="1818" w:type="dxa"/>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Merge w:val="restart"/>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权责清单</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经相关部门核定的权力和责任清单。</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政府网站——江苏</w:t>
            </w:r>
            <w:r>
              <w:rPr>
                <w:rFonts w:hint="eastAsia" w:ascii="仿宋_GB2312" w:eastAsia="仿宋_GB2312" w:cs="Times New Roman"/>
                <w:spacing w:val="-18"/>
                <w:sz w:val="24"/>
                <w:szCs w:val="24"/>
              </w:rPr>
              <w:t>政务服务网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规划信息</w:t>
            </w:r>
          </w:p>
        </w:tc>
        <w:tc>
          <w:tcPr>
            <w:tcW w:w="2317" w:type="dxa"/>
            <w:vAlign w:val="center"/>
          </w:tcPr>
          <w:p>
            <w:pPr>
              <w:spacing w:line="40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本级政府通过政府门户网站及时、规范、集中公开本地区</w:t>
            </w:r>
            <w:r>
              <w:rPr>
                <w:rFonts w:hint="eastAsia" w:ascii="仿宋_GB2312" w:hAnsi="Times New Roman" w:eastAsia="仿宋_GB2312" w:cs="Times New Roman"/>
                <w:sz w:val="24"/>
                <w:szCs w:val="24"/>
                <w:lang w:eastAsia="zh-CN"/>
              </w:rPr>
              <w:t>主要经济社会发展规划</w:t>
            </w:r>
            <w:r>
              <w:rPr>
                <w:rFonts w:hint="eastAsia" w:ascii="仿宋_GB2312" w:hAnsi="Times New Roman" w:eastAsia="仿宋_GB2312" w:cs="Times New Roman"/>
                <w:sz w:val="24"/>
                <w:szCs w:val="24"/>
              </w:rPr>
              <w:t>、国土空间规划、专项规划和区域规划的情况。</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《国务院办公厅关于印发2021年政务公开工作要点的通知》（国办发〔2021〕12号）“一、紧扣‘十四五’开好局起好步深化政务公开，（一）做好各类规划主动公开。”</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0" w:hRule="atLeast"/>
          <w:jc w:val="center"/>
        </w:trPr>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400" w:lineRule="exact"/>
              <w:ind w:left="-57" w:right="-57"/>
              <w:jc w:val="center"/>
              <w:rPr>
                <w:rFonts w:ascii="仿宋_GB2312" w:hAnsi="Times New Roman" w:eastAsia="仿宋_GB2312" w:cs="Times New Roman"/>
                <w:sz w:val="24"/>
                <w:szCs w:val="24"/>
              </w:rPr>
            </w:pP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财政信息</w:t>
            </w:r>
          </w:p>
        </w:tc>
        <w:tc>
          <w:tcPr>
            <w:tcW w:w="2317" w:type="dxa"/>
            <w:vAlign w:val="center"/>
          </w:tcPr>
          <w:p>
            <w:pPr>
              <w:spacing w:line="400" w:lineRule="exact"/>
              <w:rPr>
                <w:rFonts w:ascii="仿宋_GB2312" w:eastAsia="仿宋_GB2312"/>
                <w:sz w:val="24"/>
                <w:szCs w:val="24"/>
              </w:rPr>
            </w:pPr>
            <w:r>
              <w:rPr>
                <w:rFonts w:hint="eastAsia" w:ascii="仿宋_GB2312" w:eastAsia="仿宋_GB2312"/>
                <w:sz w:val="24"/>
                <w:szCs w:val="24"/>
              </w:rPr>
              <w:t>财政预决算</w:t>
            </w:r>
          </w:p>
        </w:tc>
        <w:tc>
          <w:tcPr>
            <w:tcW w:w="5655" w:type="dxa"/>
            <w:vAlign w:val="center"/>
          </w:tcPr>
          <w:p>
            <w:pPr>
              <w:spacing w:line="400" w:lineRule="exact"/>
              <w:ind w:left="-57" w:right="-57"/>
              <w:rPr>
                <w:rFonts w:ascii="仿宋_GB2312" w:eastAsia="仿宋_GB2312" w:cs="Times New Roman"/>
                <w:sz w:val="24"/>
                <w:szCs w:val="24"/>
              </w:rPr>
            </w:pPr>
            <w:r>
              <w:rPr>
                <w:rFonts w:hint="eastAsia" w:ascii="仿宋_GB2312" w:hAnsi="Times New Roman" w:eastAsia="仿宋_GB2312" w:cs="Times New Roman"/>
                <w:sz w:val="24"/>
                <w:szCs w:val="24"/>
              </w:rPr>
              <w:t>《中华人民共和国预算法》《中华人民共和国政府信息公开条例》等。</w:t>
            </w:r>
          </w:p>
        </w:tc>
        <w:tc>
          <w:tcPr>
            <w:tcW w:w="1818" w:type="dxa"/>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4" w:hRule="atLeast"/>
          <w:jc w:val="center"/>
        </w:trPr>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tc>
        <w:tc>
          <w:tcPr>
            <w:tcW w:w="1182" w:type="dxa"/>
            <w:vAlign w:val="center"/>
          </w:tcPr>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基础信息</w:t>
            </w:r>
          </w:p>
          <w:p>
            <w:pPr>
              <w:spacing w:line="40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重大决策</w:t>
            </w:r>
          </w:p>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预公开</w:t>
            </w:r>
          </w:p>
        </w:tc>
        <w:tc>
          <w:tcPr>
            <w:tcW w:w="2317" w:type="dxa"/>
            <w:vAlign w:val="center"/>
          </w:tcPr>
          <w:p>
            <w:pPr>
              <w:spacing w:line="340" w:lineRule="exact"/>
              <w:ind w:right="-57"/>
              <w:rPr>
                <w:rFonts w:ascii="仿宋_GB2312" w:eastAsia="仿宋_GB2312" w:cs="Times New Roman"/>
                <w:sz w:val="24"/>
                <w:szCs w:val="24"/>
              </w:rPr>
            </w:pPr>
            <w:r>
              <w:rPr>
                <w:rFonts w:hint="eastAsia" w:ascii="仿宋_GB2312" w:hAnsi="Times New Roman" w:eastAsia="仿宋_GB2312" w:cs="Times New Roman"/>
                <w:sz w:val="24"/>
                <w:szCs w:val="24"/>
              </w:rPr>
              <w:t>本级政府通过政府门户网站开展政策意见征集的情况，包括及时、规范、集中公开文件征求意见稿、对征求意见稿的解读，以及意见征集结果的情况。</w:t>
            </w:r>
          </w:p>
        </w:tc>
        <w:tc>
          <w:tcPr>
            <w:tcW w:w="5655" w:type="dxa"/>
            <w:vAlign w:val="center"/>
          </w:tcPr>
          <w:p>
            <w:pPr>
              <w:spacing w:line="40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《中华人民共和国政府信息公开条例》《中共中央办公厅</w:t>
            </w:r>
            <w:r>
              <w:rPr>
                <w:rFonts w:hint="eastAsia" w:ascii="仿宋_GB2312" w:hAnsi="Times New Roman" w:eastAsia="仿宋_GB2312" w:cs="Times New Roman"/>
                <w:spacing w:val="-6"/>
                <w:sz w:val="24"/>
                <w:szCs w:val="24"/>
              </w:rPr>
              <w:t>国务院办公厅关于全面推进政务公开工作的意见》等</w:t>
            </w:r>
            <w:r>
              <w:rPr>
                <w:rFonts w:hint="eastAsia" w:ascii="仿宋_GB2312" w:hAnsi="Times New Roman" w:eastAsia="仿宋_GB2312" w:cs="Times New Roman"/>
                <w:sz w:val="24"/>
                <w:szCs w:val="24"/>
              </w:rPr>
              <w:t>。</w:t>
            </w:r>
          </w:p>
        </w:tc>
        <w:tc>
          <w:tcPr>
            <w:tcW w:w="1818" w:type="dxa"/>
            <w:vAlign w:val="center"/>
          </w:tcPr>
          <w:p>
            <w:pPr>
              <w:spacing w:line="40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400" w:lineRule="exact"/>
              <w:ind w:left="-57" w:right="-57"/>
              <w:jc w:val="center"/>
              <w:rPr>
                <w:rFonts w:ascii="仿宋_GB2312" w:eastAsia="仿宋_GB2312" w:cs="Times New Roman"/>
                <w:sz w:val="24"/>
                <w:szCs w:val="24"/>
              </w:rPr>
            </w:pPr>
            <w:r>
              <w:rPr>
                <w:rFonts w:hint="eastAsia" w:ascii="仿宋_GB2312"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10"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养老服务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本级政府通过政府门户网站及时、规范、集中公开养老服务信息的情况，如养老服务基层政务公开标准、扶持政策措施、行业管理等信息。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38"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义务教育</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本级政府在保护个人信息权益的前提下通过政府门户网站及时、规范、集中公开义务教育信息的情况。</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2.《教育部办公厅关于印发〈义务教育领域基层政务公开标准指引〉的通知》（教办厅函〔2019〕39号）。</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8" w:hRule="atLeast"/>
          <w:jc w:val="center"/>
        </w:trPr>
        <w:tc>
          <w:tcPr>
            <w:tcW w:w="1182" w:type="dxa"/>
            <w:vMerge w:val="restart"/>
            <w:vAlign w:val="center"/>
          </w:tcPr>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主动公开</w:t>
            </w: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right="-57"/>
              <w:rPr>
                <w:rFonts w:hint="eastAsia" w:ascii="仿宋_GB2312" w:hAnsi="Times New Roman" w:eastAsia="仿宋_GB2312" w:cs="Times New Roman"/>
                <w:sz w:val="24"/>
                <w:szCs w:val="24"/>
              </w:rPr>
            </w:pPr>
          </w:p>
          <w:p>
            <w:pPr>
              <w:spacing w:line="370" w:lineRule="exact"/>
              <w:ind w:left="-57" w:right="-57"/>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主动公开</w:t>
            </w: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rFonts w:hint="eastAsia" w:ascii="仿宋_GB2312" w:hAnsi="Times New Roman" w:eastAsia="仿宋_GB2312" w:cs="Times New Roman"/>
                <w:sz w:val="24"/>
                <w:szCs w:val="24"/>
                <w:lang w:eastAsia="zh-CN"/>
              </w:rPr>
            </w:pPr>
          </w:p>
          <w:p>
            <w:pPr>
              <w:spacing w:line="370" w:lineRule="exact"/>
              <w:ind w:right="-57"/>
              <w:rPr>
                <w:lang w:val="en-US" w:eastAsia="zh-CN"/>
              </w:rPr>
            </w:pPr>
            <w:r>
              <w:rPr>
                <w:rFonts w:hint="eastAsia" w:ascii="仿宋_GB2312" w:hAnsi="Times New Roman" w:eastAsia="仿宋_GB2312" w:cs="Times New Roman"/>
                <w:sz w:val="24"/>
                <w:szCs w:val="24"/>
                <w:lang w:eastAsia="zh-CN"/>
              </w:rPr>
              <w:t>主动公开</w:t>
            </w:r>
          </w:p>
        </w:tc>
        <w:tc>
          <w:tcPr>
            <w:tcW w:w="1182" w:type="dxa"/>
            <w:vMerge w:val="restart"/>
            <w:vAlign w:val="center"/>
          </w:tcPr>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right="-57"/>
              <w:jc w:val="both"/>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50" w:lineRule="exact"/>
              <w:ind w:left="-57" w:right="-57"/>
              <w:jc w:val="center"/>
              <w:textAlignment w:val="auto"/>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left="-57" w:right="-57"/>
              <w:jc w:val="center"/>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right="-57"/>
              <w:jc w:val="both"/>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right="-57"/>
              <w:jc w:val="both"/>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right="-57"/>
              <w:jc w:val="both"/>
              <w:textAlignment w:val="auto"/>
              <w:rPr>
                <w:rFonts w:hint="eastAsia" w:ascii="仿宋_GB2312"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390" w:lineRule="exact"/>
              <w:ind w:right="-57"/>
              <w:jc w:val="both"/>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重点领域</w:t>
            </w:r>
          </w:p>
          <w:p>
            <w:pPr>
              <w:keepNext w:val="0"/>
              <w:keepLines w:val="0"/>
              <w:pageBreakBefore w:val="0"/>
              <w:widowControl w:val="0"/>
              <w:kinsoku/>
              <w:wordWrap/>
              <w:overflowPunct/>
              <w:topLinePunct w:val="0"/>
              <w:autoSpaceDE/>
              <w:autoSpaceDN/>
              <w:bidi w:val="0"/>
              <w:adjustRightInd/>
              <w:snapToGrid/>
              <w:spacing w:line="390" w:lineRule="exact"/>
              <w:ind w:left="-57" w:right="-57"/>
              <w:jc w:val="center"/>
              <w:textAlignment w:val="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公开</w:t>
            </w:r>
          </w:p>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稳岗就业</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本级政府通过政府门户网站及时、规范、集中公开稳岗就业信息的情况，如就业基层政务公开标准、就业政策、职业指导、就业服务等信息。</w:t>
            </w:r>
          </w:p>
        </w:tc>
        <w:tc>
          <w:tcPr>
            <w:tcW w:w="5655" w:type="dxa"/>
            <w:vAlign w:val="center"/>
          </w:tcPr>
          <w:p>
            <w:pPr>
              <w:spacing w:line="340" w:lineRule="exact"/>
              <w:ind w:left="-57" w:right="-57"/>
              <w:rPr>
                <w:rFonts w:ascii="仿宋_GB2312" w:hAnsi="Times New Roman" w:eastAsia="仿宋_GB2312" w:cs="Times New Roman"/>
                <w:w w:val="95"/>
                <w:sz w:val="24"/>
                <w:szCs w:val="24"/>
              </w:rPr>
            </w:pPr>
            <w:r>
              <w:rPr>
                <w:rFonts w:hint="eastAsia" w:ascii="仿宋_GB2312" w:hAnsi="Times New Roman" w:eastAsia="仿宋_GB2312" w:cs="Times New Roman"/>
                <w:w w:val="95"/>
                <w:sz w:val="24"/>
                <w:szCs w:val="24"/>
              </w:rPr>
              <w:t>1.《人力资源社会保障部办公厅关于印发就业和社会保险领域基层政务公开标准指引的通知》（人社厅函〔2019〕113号）。</w:t>
            </w:r>
          </w:p>
          <w:p>
            <w:pPr>
              <w:spacing w:line="340" w:lineRule="exact"/>
              <w:ind w:left="-57" w:right="-57"/>
              <w:rPr>
                <w:rFonts w:ascii="仿宋_GB2312" w:hAnsi="Times New Roman" w:eastAsia="仿宋_GB2312" w:cs="Times New Roman"/>
                <w:w w:val="95"/>
                <w:sz w:val="24"/>
                <w:szCs w:val="24"/>
              </w:rPr>
            </w:pPr>
            <w:r>
              <w:rPr>
                <w:rFonts w:hint="eastAsia" w:ascii="仿宋_GB2312" w:hAnsi="Times New Roman" w:eastAsia="仿宋_GB2312" w:cs="Times New Roman"/>
                <w:w w:val="95"/>
                <w:sz w:val="24"/>
                <w:szCs w:val="24"/>
              </w:rPr>
              <w:t>2.《人力资源社会保障部国家发展改革委教育部财政部中央军委国防动员部关于延续实施部分减负稳岗扩就业政策措施的通知》（人社部发〔2021〕29号）。</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w w:val="95"/>
                <w:sz w:val="24"/>
                <w:szCs w:val="24"/>
              </w:rPr>
              <w:t>3.《国务院办公厅关于印发2022年政务公开工作要点的通知》（国办发〔2022〕8号）“二、以公开助力保持社会和谐稳定，（五）强化稳就业保就业信息公开。”</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2"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食品药品</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监管</w:t>
            </w:r>
          </w:p>
        </w:tc>
        <w:tc>
          <w:tcPr>
            <w:tcW w:w="2317" w:type="dxa"/>
            <w:vAlign w:val="center"/>
          </w:tcPr>
          <w:p>
            <w:pPr>
              <w:spacing w:line="320" w:lineRule="exact"/>
              <w:ind w:left="-57" w:right="-57"/>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本级政府通过政府门户网站及时、规范、集中公开食品药品监管信息的情况，如食品药品监管基层政务公开标准、食品生产监督检查、食品安全抽检、药品零售经营监督检查等信息。</w:t>
            </w:r>
          </w:p>
        </w:tc>
        <w:tc>
          <w:tcPr>
            <w:tcW w:w="5655"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1.《中华人民共和国政府信息公开条例》第二十条。</w:t>
            </w:r>
          </w:p>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2.《市场监管总局办公厅关于印发〈食品药品监管领域基层政务公开标准指引〉的通知》（市监办函〔2019〕1111号）。</w:t>
            </w:r>
          </w:p>
        </w:tc>
        <w:tc>
          <w:tcPr>
            <w:tcW w:w="1818" w:type="dxa"/>
            <w:vAlign w:val="center"/>
          </w:tcPr>
          <w:p>
            <w:pPr>
              <w:spacing w:line="34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hint="eastAsia" w:ascii="仿宋_GB2312" w:hAnsi="Times New Roman" w:eastAsia="仿宋_GB2312" w:cs="Times New Roman"/>
                <w:sz w:val="24"/>
                <w:szCs w:val="24"/>
                <w:lang w:eastAsia="zh-CN"/>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助企纾困</w:t>
            </w:r>
          </w:p>
        </w:tc>
        <w:tc>
          <w:tcPr>
            <w:tcW w:w="2317" w:type="dxa"/>
            <w:vAlign w:val="center"/>
          </w:tcPr>
          <w:p>
            <w:pPr>
              <w:spacing w:line="340" w:lineRule="exact"/>
              <w:ind w:left="-57" w:right="-57"/>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本级政府通过政府门户网站及时、规范、集中公开优化营商环境、纾困帮扶企业有关信息的情况。</w:t>
            </w:r>
          </w:p>
          <w:p>
            <w:pPr>
              <w:spacing w:line="340" w:lineRule="exact"/>
              <w:ind w:right="-57"/>
              <w:rPr>
                <w:rFonts w:hint="eastAsia" w:ascii="仿宋_GB2312" w:hAnsi="Times New Roman" w:eastAsia="仿宋_GB2312" w:cs="Times New Roman"/>
                <w:sz w:val="24"/>
                <w:szCs w:val="24"/>
              </w:rPr>
            </w:pP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公共文化</w:t>
            </w:r>
          </w:p>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服务</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w w:val="95"/>
                <w:sz w:val="24"/>
                <w:szCs w:val="24"/>
              </w:rPr>
              <w:t>本级政府通过政府门户网站及时、规范、集中公开公共文化服务信息的情况，如公共文化服务基层政务公开标准、公共文化机构免费开放、群众文化活动、展览讲座等信息。</w:t>
            </w:r>
          </w:p>
        </w:tc>
        <w:tc>
          <w:tcPr>
            <w:tcW w:w="5655" w:type="dxa"/>
            <w:vAlign w:val="center"/>
          </w:tcPr>
          <w:p>
            <w:pPr>
              <w:spacing w:line="370" w:lineRule="exact"/>
              <w:ind w:left="-57" w:right="-57"/>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《文化和旅游部办公厅国家文物局办公室关于印发公共文化服务领域基层政务公开标准指引的通知》（办办发〔2019〕139号）。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涉农补贴</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w w:val="95"/>
                <w:sz w:val="24"/>
                <w:szCs w:val="24"/>
              </w:rPr>
              <w:t>本级政府在保护个人信息权益的前提下通过政府门户网站及时、规范、集中公开涉农补贴信息的情况，如涉农补贴基层政务公开标准、补贴申报等信息。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1.《农业农村部办公厅关于印发涉农补贴领域基层政务公开标准指引的通知》（农办计财〔2019〕41号）。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2.《国务院办公厅关于印发2022年政务公开工作要点的通知》（国办发〔2022〕8号）“四、夯实公开工作基础，（十四）扎实推进基层政务公开。”</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社会救助</w:t>
            </w:r>
          </w:p>
        </w:tc>
        <w:tc>
          <w:tcPr>
            <w:tcW w:w="2317" w:type="dxa"/>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本级政府在保护个人信息权益的前提下通过政府门户网站及时、规范、集中公开社会救助信息的情况，如社会救助基层政务公开标准、救助政策、办事指南、监督检查等信息。</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《民政部办公厅关于印发社会救助和养老服务领域基层政务公开标准指引的通知》（民办函〔2019〕52号）。</w:t>
            </w:r>
          </w:p>
        </w:tc>
        <w:tc>
          <w:tcPr>
            <w:tcW w:w="1818"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0"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spacing w:line="370" w:lineRule="exact"/>
              <w:ind w:right="-57"/>
              <w:jc w:val="both"/>
              <w:rPr>
                <w:rFonts w:ascii="仿宋_GB2312" w:hAnsi="Times New Roman" w:eastAsia="仿宋_GB2312" w:cs="Times New Roman"/>
                <w:sz w:val="24"/>
                <w:szCs w:val="24"/>
              </w:rPr>
            </w:pPr>
            <w:r>
              <w:rPr>
                <w:rFonts w:hint="eastAsia" w:ascii="仿宋_GB2312" w:hAnsi="Times New Roman" w:eastAsia="仿宋_GB2312" w:cs="Times New Roman"/>
                <w:sz w:val="24"/>
                <w:szCs w:val="24"/>
              </w:rPr>
              <w:t>其他需要</w:t>
            </w:r>
            <w:r>
              <w:rPr>
                <w:rFonts w:hint="eastAsia" w:ascii="仿宋_GB2312" w:hAnsi="Times New Roman" w:eastAsia="仿宋_GB2312" w:cs="Times New Roman"/>
                <w:spacing w:val="-14"/>
                <w:sz w:val="24"/>
                <w:szCs w:val="24"/>
              </w:rPr>
              <w:t>公开的事项</w:t>
            </w:r>
          </w:p>
        </w:tc>
        <w:tc>
          <w:tcPr>
            <w:tcW w:w="1329"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建议提案</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w:t>
            </w:r>
            <w:r>
              <w:rPr>
                <w:rFonts w:hint="eastAsia" w:ascii="仿宋_GB2312" w:hAnsi="Times New Roman" w:eastAsia="仿宋_GB2312" w:cs="Times New Roman"/>
                <w:spacing w:val="-6"/>
                <w:sz w:val="24"/>
                <w:szCs w:val="24"/>
              </w:rPr>
              <w:t>议提案的答复情况</w:t>
            </w:r>
            <w:r>
              <w:rPr>
                <w:rFonts w:hint="eastAsia" w:ascii="仿宋_GB2312" w:hAnsi="Times New Roman" w:eastAsia="仿宋_GB2312" w:cs="Times New Roman"/>
                <w:sz w:val="24"/>
                <w:szCs w:val="24"/>
              </w:rPr>
              <w:t>。</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《国务院办公厅关于做好全国人大代表建议和全国政协委员提案办理结果公开工作的通知》</w:t>
            </w:r>
          </w:p>
        </w:tc>
        <w:tc>
          <w:tcPr>
            <w:tcW w:w="1818" w:type="dxa"/>
            <w:vAlign w:val="center"/>
          </w:tcPr>
          <w:p>
            <w:pPr>
              <w:spacing w:line="370" w:lineRule="exact"/>
              <w:ind w:left="-57" w:right="-57"/>
              <w:rPr>
                <w:rFonts w:ascii="仿宋_GB2312"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56" w:hRule="atLeast"/>
          <w:jc w:val="center"/>
        </w:trPr>
        <w:tc>
          <w:tcPr>
            <w:tcW w:w="1182" w:type="dxa"/>
            <w:vMerge w:val="restart"/>
            <w:vAlign w:val="center"/>
          </w:tcPr>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p>
          <w:p>
            <w:pPr>
              <w:spacing w:line="370" w:lineRule="exact"/>
              <w:ind w:left="-57" w:right="-57"/>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解读回应</w:t>
            </w:r>
          </w:p>
          <w:p>
            <w:pPr>
              <w:spacing w:line="370" w:lineRule="exact"/>
              <w:ind w:left="-57" w:right="-57"/>
              <w:jc w:val="center"/>
              <w:rPr>
                <w:rFonts w:ascii="仿宋_GB2312" w:hAnsi="Times New Roman" w:eastAsia="仿宋_GB2312" w:cs="Times New Roman"/>
                <w:sz w:val="24"/>
                <w:szCs w:val="24"/>
              </w:rPr>
            </w:pPr>
          </w:p>
        </w:tc>
        <w:tc>
          <w:tcPr>
            <w:tcW w:w="1182" w:type="dxa"/>
            <w:vMerge w:val="restart"/>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政策解读</w:t>
            </w: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解读内容</w:t>
            </w:r>
          </w:p>
        </w:tc>
        <w:tc>
          <w:tcPr>
            <w:tcW w:w="2317" w:type="dxa"/>
            <w:tcBorders>
              <w:bottom w:val="single" w:color="000000" w:themeColor="text1" w:sz="4" w:space="0"/>
            </w:tcBorders>
            <w:vAlign w:val="center"/>
          </w:tcPr>
          <w:p>
            <w:pPr>
              <w:spacing w:line="34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本级政府通过政府门户网站、政务新媒体对本地区出台疫情防控、稳就业保就业等方面政策进行解读的情况。</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16"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Merge w:val="continue"/>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p>
        </w:tc>
        <w:tc>
          <w:tcPr>
            <w:tcW w:w="1329"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解读质量</w:t>
            </w:r>
          </w:p>
        </w:tc>
        <w:tc>
          <w:tcPr>
            <w:tcW w:w="2317"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本级政府通过政府门户网站、政务新媒体开展政策解读质量情况，如是否围绕政策要点和公众关注热点提供实质性解读，内容是否准确透彻，方便公众理解。</w:t>
            </w:r>
          </w:p>
        </w:tc>
        <w:tc>
          <w:tcPr>
            <w:tcW w:w="5655"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国务院办公厅关于印发2022年政务公开工作要点的通知》（国办发〔2022〕8号）“一、以公开助力经济平稳健康发展，（一）加强涉及市场主体的信息公开”，“二、以公开助力保持社会和谐稳定，（四）持续做好疫情防控信息公开，（五）强化稳就业保就业信息公开”，“五、强化工作指导监督，（十五）严格落实主体责任。”</w:t>
            </w:r>
          </w:p>
        </w:tc>
        <w:tc>
          <w:tcPr>
            <w:tcW w:w="1818" w:type="dxa"/>
            <w:tcBorders>
              <w:bottom w:val="single" w:color="000000" w:themeColor="text1" w:sz="4" w:space="0"/>
            </w:tcBorders>
            <w:vAlign w:val="center"/>
          </w:tcPr>
          <w:p>
            <w:pPr>
              <w:spacing w:line="370" w:lineRule="exact"/>
              <w:ind w:left="-57" w:right="-57"/>
              <w:rPr>
                <w:rFonts w:ascii="仿宋_GB2312" w:hAnsi="Times New Roman" w:eastAsia="仿宋_GB2312" w:cs="Times New Roman"/>
                <w:sz w:val="24"/>
                <w:szCs w:val="24"/>
              </w:rPr>
            </w:pPr>
            <w:r>
              <w:rPr>
                <w:rFonts w:hint="eastAsia" w:ascii="仿宋_GB2312" w:eastAsia="仿宋_GB2312" w:cs="Times New Roman"/>
                <w:sz w:val="24"/>
                <w:szCs w:val="24"/>
              </w:rPr>
              <w:t>信息产生或变更之日起20个工作日内公开，保持长期公开（相关</w:t>
            </w:r>
            <w:r>
              <w:rPr>
                <w:rFonts w:hint="eastAsia" w:ascii="仿宋_GB2312" w:eastAsia="仿宋_GB2312" w:cs="Times New Roman"/>
                <w:spacing w:val="-18"/>
                <w:sz w:val="24"/>
                <w:szCs w:val="24"/>
              </w:rPr>
              <w:t>法律法规另有规定的，从其规定）</w:t>
            </w:r>
            <w:r>
              <w:rPr>
                <w:rFonts w:hint="eastAsia" w:ascii="仿宋_GB2312" w:eastAsia="仿宋_GB2312" w:cs="Times New Roman"/>
                <w:sz w:val="24"/>
                <w:szCs w:val="24"/>
              </w:rPr>
              <w:t>。</w:t>
            </w:r>
          </w:p>
        </w:tc>
        <w:tc>
          <w:tcPr>
            <w:tcW w:w="1176" w:type="dxa"/>
            <w:tcBorders>
              <w:bottom w:val="single" w:color="000000" w:themeColor="text1" w:sz="4" w:space="0"/>
            </w:tcBorders>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4" w:hRule="atLeast"/>
          <w:jc w:val="center"/>
        </w:trPr>
        <w:tc>
          <w:tcPr>
            <w:tcW w:w="1182" w:type="dxa"/>
            <w:vMerge w:val="continue"/>
            <w:vAlign w:val="center"/>
          </w:tcPr>
          <w:p>
            <w:pPr>
              <w:spacing w:line="370" w:lineRule="exact"/>
              <w:ind w:left="-57" w:right="-57"/>
              <w:jc w:val="center"/>
              <w:rPr>
                <w:rFonts w:ascii="仿宋_GB2312" w:hAnsi="Times New Roman" w:eastAsia="仿宋_GB2312" w:cs="Times New Roman"/>
                <w:sz w:val="24"/>
                <w:szCs w:val="24"/>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410" w:lineRule="exact"/>
              <w:ind w:left="-57" w:right="-57"/>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政务舆情</w:t>
            </w:r>
          </w:p>
          <w:p>
            <w:pPr>
              <w:keepNext w:val="0"/>
              <w:keepLines w:val="0"/>
              <w:pageBreakBefore w:val="0"/>
              <w:widowControl w:val="0"/>
              <w:kinsoku/>
              <w:wordWrap/>
              <w:overflowPunct/>
              <w:topLinePunct w:val="0"/>
              <w:autoSpaceDE/>
              <w:autoSpaceDN/>
              <w:bidi w:val="0"/>
              <w:adjustRightInd/>
              <w:snapToGrid/>
              <w:spacing w:line="410" w:lineRule="exact"/>
              <w:ind w:left="-57" w:right="-57"/>
              <w:jc w:val="center"/>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50" w:lineRule="exact"/>
              <w:ind w:right="-57"/>
              <w:jc w:val="both"/>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回应时限</w:t>
            </w:r>
          </w:p>
        </w:tc>
        <w:tc>
          <w:tcPr>
            <w:tcW w:w="2317"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本级地方政府及部门回应政务舆情的及时性，如对于涉及特别重大、重大突发事件的政务舆情，是否在5小时内发布权威信息，在24小时内举行新闻发布会；其他舆情是否在48小时内予以回应。</w:t>
            </w:r>
          </w:p>
        </w:tc>
        <w:tc>
          <w:tcPr>
            <w:tcW w:w="5655" w:type="dxa"/>
            <w:vAlign w:val="center"/>
          </w:tcPr>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1.《中共中央办公厅国务院办公厅印发〈关于全面推进政务公开工作的意见〉的通知》“十三，回应社会关切。”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2.《国务院办公厅关于在政务公开工作中进一步做好政务舆情回应的通知》（国办发〔2016〕61号）。</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3.《国务院办公厅关于印发〈关于全面推进政务公开工作的意见〉实施细则的通知》（国办发〔2016〕80号）“三、积极回应关切。”</w:t>
            </w:r>
          </w:p>
          <w:p>
            <w:pPr>
              <w:spacing w:line="370" w:lineRule="exact"/>
              <w:ind w:left="-57" w:right="-57"/>
              <w:rPr>
                <w:rFonts w:ascii="仿宋_GB2312" w:hAnsi="Times New Roman" w:eastAsia="仿宋_GB2312" w:cs="Times New Roman"/>
                <w:sz w:val="24"/>
                <w:szCs w:val="24"/>
              </w:rPr>
            </w:pPr>
            <w:r>
              <w:rPr>
                <w:rFonts w:hint="eastAsia" w:ascii="仿宋_GB2312" w:hAnsi="Times New Roman" w:eastAsia="仿宋_GB2312" w:cs="Times New Roman"/>
                <w:sz w:val="24"/>
                <w:szCs w:val="24"/>
              </w:rPr>
              <w:t>4.《国务院办公厅关于印发2022年政务公开工作要点的通知》（国办发〔2022〕8号）“五、强化工作指导监督，（十五）严格落实主体责任。”</w:t>
            </w:r>
          </w:p>
        </w:tc>
        <w:tc>
          <w:tcPr>
            <w:tcW w:w="1818"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及时公开</w:t>
            </w:r>
          </w:p>
        </w:tc>
        <w:tc>
          <w:tcPr>
            <w:tcW w:w="1176" w:type="dxa"/>
            <w:vAlign w:val="center"/>
          </w:tcPr>
          <w:p>
            <w:pPr>
              <w:spacing w:line="370" w:lineRule="exact"/>
              <w:ind w:left="-57" w:right="-57"/>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政府网站</w:t>
            </w:r>
          </w:p>
        </w:tc>
      </w:tr>
    </w:tbl>
    <w:p>
      <w:pPr>
        <w:widowControl/>
        <w:rPr>
          <w:rFonts w:ascii="Times New Roman" w:hAnsi="Times New Roman" w:eastAsia="楷体_GB2312" w:cs="Times New Roman"/>
          <w:b/>
        </w:rPr>
      </w:pPr>
    </w:p>
    <w:sectPr>
      <w:footerReference r:id="rId5" w:type="default"/>
      <w:pgSz w:w="16838" w:h="11906" w:orient="landscape"/>
      <w:pgMar w:top="1418" w:right="1418" w:bottom="1418" w:left="1418" w:header="851" w:footer="1134"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64571"/>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YzA1YTRmMGFlMTZlNTcwZDM5NGE4ODAyNmRkYTYifQ=="/>
  </w:docVars>
  <w:rsids>
    <w:rsidRoot w:val="00894097"/>
    <w:rsid w:val="0002571A"/>
    <w:rsid w:val="00036407"/>
    <w:rsid w:val="000613B8"/>
    <w:rsid w:val="00066D2D"/>
    <w:rsid w:val="000745DA"/>
    <w:rsid w:val="00074DC4"/>
    <w:rsid w:val="00080015"/>
    <w:rsid w:val="000839F6"/>
    <w:rsid w:val="000A005F"/>
    <w:rsid w:val="000A39B8"/>
    <w:rsid w:val="000A432E"/>
    <w:rsid w:val="000C2A00"/>
    <w:rsid w:val="000C2FFD"/>
    <w:rsid w:val="000D7ABC"/>
    <w:rsid w:val="000E0449"/>
    <w:rsid w:val="000E23DF"/>
    <w:rsid w:val="00101967"/>
    <w:rsid w:val="00106602"/>
    <w:rsid w:val="00121A11"/>
    <w:rsid w:val="0012521B"/>
    <w:rsid w:val="00131344"/>
    <w:rsid w:val="00183832"/>
    <w:rsid w:val="00192ACD"/>
    <w:rsid w:val="001A1242"/>
    <w:rsid w:val="001A1742"/>
    <w:rsid w:val="001B32C5"/>
    <w:rsid w:val="001B4096"/>
    <w:rsid w:val="001C1356"/>
    <w:rsid w:val="001C7855"/>
    <w:rsid w:val="001D26F0"/>
    <w:rsid w:val="001F424D"/>
    <w:rsid w:val="00207E48"/>
    <w:rsid w:val="00231D3A"/>
    <w:rsid w:val="00254DC9"/>
    <w:rsid w:val="0028287B"/>
    <w:rsid w:val="00285D47"/>
    <w:rsid w:val="002B0562"/>
    <w:rsid w:val="002B58DA"/>
    <w:rsid w:val="002B6E69"/>
    <w:rsid w:val="002D63FB"/>
    <w:rsid w:val="002E6ACF"/>
    <w:rsid w:val="002F2246"/>
    <w:rsid w:val="002F720F"/>
    <w:rsid w:val="00305A59"/>
    <w:rsid w:val="0031352A"/>
    <w:rsid w:val="00315F41"/>
    <w:rsid w:val="003270E5"/>
    <w:rsid w:val="0034264C"/>
    <w:rsid w:val="003467B1"/>
    <w:rsid w:val="0035158D"/>
    <w:rsid w:val="00370971"/>
    <w:rsid w:val="003714DD"/>
    <w:rsid w:val="00393943"/>
    <w:rsid w:val="003B1456"/>
    <w:rsid w:val="003E3C90"/>
    <w:rsid w:val="003F21D0"/>
    <w:rsid w:val="0042045A"/>
    <w:rsid w:val="00447F90"/>
    <w:rsid w:val="00461AB2"/>
    <w:rsid w:val="00462DD2"/>
    <w:rsid w:val="00464115"/>
    <w:rsid w:val="0047505E"/>
    <w:rsid w:val="004A7397"/>
    <w:rsid w:val="004B19ED"/>
    <w:rsid w:val="004C7845"/>
    <w:rsid w:val="004D1CD4"/>
    <w:rsid w:val="004E6D19"/>
    <w:rsid w:val="0051414C"/>
    <w:rsid w:val="00545E26"/>
    <w:rsid w:val="005475B8"/>
    <w:rsid w:val="0059595B"/>
    <w:rsid w:val="00597430"/>
    <w:rsid w:val="00597D9B"/>
    <w:rsid w:val="005B5373"/>
    <w:rsid w:val="005D2FF9"/>
    <w:rsid w:val="005F5B8D"/>
    <w:rsid w:val="006140E7"/>
    <w:rsid w:val="00641EA2"/>
    <w:rsid w:val="00655F6D"/>
    <w:rsid w:val="00657FB9"/>
    <w:rsid w:val="00660644"/>
    <w:rsid w:val="00673D1F"/>
    <w:rsid w:val="00680B7E"/>
    <w:rsid w:val="00684E4E"/>
    <w:rsid w:val="006B7A74"/>
    <w:rsid w:val="006D7D60"/>
    <w:rsid w:val="007173A2"/>
    <w:rsid w:val="0072223B"/>
    <w:rsid w:val="00742D3E"/>
    <w:rsid w:val="00742F79"/>
    <w:rsid w:val="00744440"/>
    <w:rsid w:val="00754749"/>
    <w:rsid w:val="00763FC1"/>
    <w:rsid w:val="00772620"/>
    <w:rsid w:val="007850E0"/>
    <w:rsid w:val="0079101B"/>
    <w:rsid w:val="00794B11"/>
    <w:rsid w:val="007B74AD"/>
    <w:rsid w:val="007D48F0"/>
    <w:rsid w:val="007E3187"/>
    <w:rsid w:val="007E6B92"/>
    <w:rsid w:val="007F4358"/>
    <w:rsid w:val="007F469C"/>
    <w:rsid w:val="0080177A"/>
    <w:rsid w:val="00803F11"/>
    <w:rsid w:val="00806A14"/>
    <w:rsid w:val="00814AA2"/>
    <w:rsid w:val="008267FC"/>
    <w:rsid w:val="008577D3"/>
    <w:rsid w:val="00864F09"/>
    <w:rsid w:val="00891EA4"/>
    <w:rsid w:val="00894097"/>
    <w:rsid w:val="008A4DD5"/>
    <w:rsid w:val="008B0E4E"/>
    <w:rsid w:val="008B12FD"/>
    <w:rsid w:val="008C02F0"/>
    <w:rsid w:val="008C0A42"/>
    <w:rsid w:val="008C4A2C"/>
    <w:rsid w:val="008D617F"/>
    <w:rsid w:val="008F08C1"/>
    <w:rsid w:val="00910CAB"/>
    <w:rsid w:val="0092407A"/>
    <w:rsid w:val="00957073"/>
    <w:rsid w:val="00981B19"/>
    <w:rsid w:val="00993047"/>
    <w:rsid w:val="009B70CA"/>
    <w:rsid w:val="009E5E66"/>
    <w:rsid w:val="009F40E6"/>
    <w:rsid w:val="00A03AF3"/>
    <w:rsid w:val="00A05A04"/>
    <w:rsid w:val="00A23ADE"/>
    <w:rsid w:val="00A263AD"/>
    <w:rsid w:val="00A320A6"/>
    <w:rsid w:val="00A55923"/>
    <w:rsid w:val="00A5616B"/>
    <w:rsid w:val="00A939F4"/>
    <w:rsid w:val="00A95F23"/>
    <w:rsid w:val="00AD7103"/>
    <w:rsid w:val="00AF0B01"/>
    <w:rsid w:val="00AF22C8"/>
    <w:rsid w:val="00B040A3"/>
    <w:rsid w:val="00B17FFE"/>
    <w:rsid w:val="00B27D0E"/>
    <w:rsid w:val="00B30679"/>
    <w:rsid w:val="00B41572"/>
    <w:rsid w:val="00B733E7"/>
    <w:rsid w:val="00BA28FF"/>
    <w:rsid w:val="00BA34B8"/>
    <w:rsid w:val="00BD55F7"/>
    <w:rsid w:val="00C10768"/>
    <w:rsid w:val="00C21DB8"/>
    <w:rsid w:val="00C44590"/>
    <w:rsid w:val="00C46694"/>
    <w:rsid w:val="00C74C26"/>
    <w:rsid w:val="00CA199F"/>
    <w:rsid w:val="00CB0CDF"/>
    <w:rsid w:val="00CC737A"/>
    <w:rsid w:val="00CE16B1"/>
    <w:rsid w:val="00CE5D14"/>
    <w:rsid w:val="00D01B20"/>
    <w:rsid w:val="00D01BAF"/>
    <w:rsid w:val="00D12740"/>
    <w:rsid w:val="00D43B47"/>
    <w:rsid w:val="00D449E9"/>
    <w:rsid w:val="00D7132C"/>
    <w:rsid w:val="00D73780"/>
    <w:rsid w:val="00D811A5"/>
    <w:rsid w:val="00D921BA"/>
    <w:rsid w:val="00DA7283"/>
    <w:rsid w:val="00DC110D"/>
    <w:rsid w:val="00DC7C2F"/>
    <w:rsid w:val="00DD33FF"/>
    <w:rsid w:val="00DF49A5"/>
    <w:rsid w:val="00DF6F6E"/>
    <w:rsid w:val="00E01146"/>
    <w:rsid w:val="00E41EE1"/>
    <w:rsid w:val="00E60B11"/>
    <w:rsid w:val="00E67A79"/>
    <w:rsid w:val="00E8702A"/>
    <w:rsid w:val="00E9039A"/>
    <w:rsid w:val="00E91AA9"/>
    <w:rsid w:val="00EA5FC0"/>
    <w:rsid w:val="00EA73BD"/>
    <w:rsid w:val="00F14E5B"/>
    <w:rsid w:val="00F3755A"/>
    <w:rsid w:val="00F4545E"/>
    <w:rsid w:val="00F70E58"/>
    <w:rsid w:val="00F71735"/>
    <w:rsid w:val="00F73F9E"/>
    <w:rsid w:val="00F8017A"/>
    <w:rsid w:val="00F814C5"/>
    <w:rsid w:val="00F81C32"/>
    <w:rsid w:val="00FA06A8"/>
    <w:rsid w:val="00FB676E"/>
    <w:rsid w:val="00FE29ED"/>
    <w:rsid w:val="00FF51A3"/>
    <w:rsid w:val="02BB1841"/>
    <w:rsid w:val="0AB319EF"/>
    <w:rsid w:val="0DD57ECE"/>
    <w:rsid w:val="0E6724DB"/>
    <w:rsid w:val="0E9733D5"/>
    <w:rsid w:val="133B6A25"/>
    <w:rsid w:val="148443FC"/>
    <w:rsid w:val="15881A98"/>
    <w:rsid w:val="17B12A65"/>
    <w:rsid w:val="18450A85"/>
    <w:rsid w:val="1C24274C"/>
    <w:rsid w:val="1D6D3C7F"/>
    <w:rsid w:val="1FCF0A88"/>
    <w:rsid w:val="216D3CB1"/>
    <w:rsid w:val="234B4A63"/>
    <w:rsid w:val="25EF3DCB"/>
    <w:rsid w:val="272B4F50"/>
    <w:rsid w:val="282D2989"/>
    <w:rsid w:val="2A4611F9"/>
    <w:rsid w:val="2A8B7E3A"/>
    <w:rsid w:val="2ABD09BA"/>
    <w:rsid w:val="2E440A2C"/>
    <w:rsid w:val="311566B0"/>
    <w:rsid w:val="3F8F3AD1"/>
    <w:rsid w:val="4C8F3363"/>
    <w:rsid w:val="4F5D14F6"/>
    <w:rsid w:val="50AA2519"/>
    <w:rsid w:val="5107796B"/>
    <w:rsid w:val="528B1ED6"/>
    <w:rsid w:val="52927709"/>
    <w:rsid w:val="52F1442F"/>
    <w:rsid w:val="53277E51"/>
    <w:rsid w:val="5A44753A"/>
    <w:rsid w:val="5AF30F60"/>
    <w:rsid w:val="5D6D6DA8"/>
    <w:rsid w:val="616476C4"/>
    <w:rsid w:val="62797F9D"/>
    <w:rsid w:val="63A6062F"/>
    <w:rsid w:val="6428796E"/>
    <w:rsid w:val="65ED4F2A"/>
    <w:rsid w:val="699A7177"/>
    <w:rsid w:val="69B060D5"/>
    <w:rsid w:val="6CC664D5"/>
    <w:rsid w:val="7379604F"/>
    <w:rsid w:val="7AB91427"/>
    <w:rsid w:val="7C321491"/>
    <w:rsid w:val="7DE93DD1"/>
    <w:rsid w:val="7EAB552B"/>
    <w:rsid w:val="7EAF44AD"/>
    <w:rsid w:val="7FCC7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pPr>
      <w:spacing w:line="240" w:lineRule="auto"/>
    </w:pPr>
    <w:rPr>
      <w:sz w:val="18"/>
      <w:szCs w:val="18"/>
    </w:rPr>
  </w:style>
  <w:style w:type="paragraph" w:styleId="3">
    <w:name w:val="footer"/>
    <w:basedOn w:val="1"/>
    <w:link w:val="10"/>
    <w:autoRedefine/>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autoRedefine/>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autoRedefine/>
    <w:qFormat/>
    <w:uiPriority w:val="34"/>
    <w:pPr>
      <w:ind w:firstLine="420"/>
    </w:p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639</Words>
  <Characters>3645</Characters>
  <Lines>30</Lines>
  <Paragraphs>8</Paragraphs>
  <TotalTime>39</TotalTime>
  <ScaleCrop>false</ScaleCrop>
  <LinksUpToDate>false</LinksUpToDate>
  <CharactersWithSpaces>4276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2023-01-13T02:35:00Z</dcterms:created>
  <dc:creator>userlei</dc:creator>
  <cp:lastModifiedBy>【希希】哈哈</cp:lastModifiedBy>
  <cp:lastPrinted>2024-03-19T03:13:00Z</cp:lastPrinted>
  <dcterms:modified xsi:type="dcterms:W3CDTF">2024-04-07T00:42:44Z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C96AC6FD9EC645A69CC925A0193AC5F6_13</vt:lpwstr>
  </property>
</Properties>
</file>