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cs="宋体"/>
          <w:b/>
          <w:bCs/>
          <w:sz w:val="32"/>
          <w:szCs w:val="32"/>
          <w:lang w:val="en-US" w:eastAsia="zh-CN"/>
        </w:rPr>
        <w:t>清单及控制价编制说明</w:t>
      </w:r>
    </w:p>
    <w:p>
      <w:pPr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工程名称：井冈山大沟（北段）整治工程</w:t>
      </w:r>
      <w:r>
        <w:rPr>
          <w:rFonts w:hint="eastAsia" w:ascii="宋体" w:hAnsi="宋体" w:cs="楷体_GB2312"/>
          <w:sz w:val="24"/>
          <w:szCs w:val="24"/>
          <w:lang w:val="en-US" w:eastAsia="zh-CN"/>
        </w:rPr>
        <w:t xml:space="preserve"> </w:t>
      </w:r>
    </w:p>
    <w:tbl>
      <w:tblPr>
        <w:tblStyle w:val="4"/>
        <w:tblW w:w="93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2" w:hRule="atLeast"/>
          <w:jc w:val="center"/>
        </w:trPr>
        <w:tc>
          <w:tcPr>
            <w:tcW w:w="9353" w:type="dxa"/>
            <w:noWrap w:val="0"/>
            <w:vAlign w:val="top"/>
          </w:tcPr>
          <w:p>
            <w:pPr>
              <w:pStyle w:val="2"/>
              <w:numPr>
                <w:ilvl w:val="0"/>
                <w:numId w:val="1"/>
              </w:numPr>
              <w:spacing w:line="440" w:lineRule="exact"/>
              <w:outlineLvl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工程概况：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>本工程为井冈山大沟（北段）整治工程</w:t>
            </w:r>
            <w:bookmarkStart w:id="0" w:name="_GoBack"/>
            <w:bookmarkEnd w:id="0"/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 xml:space="preserve">，井冈山河全长 1988m，本次整治长度为 </w:t>
            </w:r>
            <w:r>
              <w:rPr>
                <w:rFonts w:hint="default" w:ascii="宋体" w:hAnsi="宋体" w:cs="楷体_GB2312"/>
                <w:sz w:val="24"/>
                <w:szCs w:val="24"/>
                <w:lang w:val="en-US" w:eastAsia="zh-CN"/>
              </w:rPr>
              <w:t>420m</w:t>
            </w: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>，起点为井冈山北闸站，一路向南至井冈山路。工程主要建设内容：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 xml:space="preserve">河道岸坡整治：对河道两侧全线河坡清杂整坡，新建组合桩护岸 </w:t>
            </w:r>
            <w:r>
              <w:rPr>
                <w:rFonts w:hint="default" w:ascii="宋体" w:hAnsi="宋体" w:cs="楷体_GB2312"/>
                <w:sz w:val="24"/>
                <w:szCs w:val="24"/>
                <w:lang w:val="en-US" w:eastAsia="zh-CN"/>
              </w:rPr>
              <w:t>825m</w:t>
            </w: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 xml:space="preserve">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 xml:space="preserve">河道疏浚：采用干式挖机拓浚，土方开挖 </w:t>
            </w:r>
            <w:r>
              <w:rPr>
                <w:rFonts w:hint="default" w:ascii="宋体" w:hAnsi="宋体" w:cs="楷体_GB2312"/>
                <w:sz w:val="24"/>
                <w:szCs w:val="24"/>
                <w:lang w:val="en-US" w:eastAsia="zh-CN"/>
              </w:rPr>
              <w:t>2184.9m3</w:t>
            </w: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 xml:space="preserve">，清淤土方 </w:t>
            </w:r>
            <w:r>
              <w:rPr>
                <w:rFonts w:hint="default" w:ascii="宋体" w:hAnsi="宋体" w:cs="楷体_GB2312"/>
                <w:sz w:val="24"/>
                <w:szCs w:val="24"/>
                <w:lang w:val="en-US" w:eastAsia="zh-CN"/>
              </w:rPr>
              <w:t>300.8m3</w:t>
            </w: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default" w:ascii="宋体" w:hAnsi="宋体" w:cs="楷体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 xml:space="preserve">）绿化工程设计：河道两岸种植绿化，提升河道环境，以两岸斜坡种植草皮护坡 </w:t>
            </w:r>
            <w:r>
              <w:rPr>
                <w:rFonts w:hint="default" w:ascii="宋体" w:hAnsi="宋体" w:cs="楷体_GB2312"/>
                <w:sz w:val="24"/>
                <w:szCs w:val="24"/>
                <w:lang w:val="en-US" w:eastAsia="zh-CN"/>
              </w:rPr>
              <w:t>3280m2</w:t>
            </w: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>具体内容详见清单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textAlignment w:val="auto"/>
              <w:outlineLvl w:val="0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二、编制依据：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1、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采用的工程量清单计价规范及预算定额：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textAlignment w:val="auto"/>
              <w:rPr>
                <w:rFonts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《水利工程工程量清单计价规范》（</w:t>
            </w:r>
            <w:r>
              <w:rPr>
                <w:rFonts w:ascii="宋体" w:hAnsi="宋体" w:cs="楷体_GB2312"/>
                <w:sz w:val="24"/>
                <w:szCs w:val="24"/>
              </w:rPr>
              <w:t>GB50501-2007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textAlignment w:val="auto"/>
              <w:rPr>
                <w:rFonts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《江苏水利工程招标投标文件工程量清单格式》（苏水基（</w:t>
            </w:r>
            <w:r>
              <w:rPr>
                <w:rFonts w:ascii="宋体" w:hAnsi="宋体" w:cs="楷体_GB2312"/>
                <w:sz w:val="24"/>
                <w:szCs w:val="24"/>
              </w:rPr>
              <w:t>2011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）</w:t>
            </w:r>
            <w:r>
              <w:rPr>
                <w:rFonts w:ascii="宋体" w:hAnsi="宋体" w:cs="楷体_GB2312"/>
                <w:sz w:val="24"/>
                <w:szCs w:val="24"/>
              </w:rPr>
              <w:t>21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号）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textAlignment w:val="auto"/>
              <w:rPr>
                <w:rFonts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《江苏省水利工程设计概（估）算编制规定（</w:t>
            </w:r>
            <w:r>
              <w:rPr>
                <w:rFonts w:ascii="宋体" w:hAnsi="宋体" w:cs="楷体_GB2312"/>
                <w:sz w:val="24"/>
                <w:szCs w:val="24"/>
              </w:rPr>
              <w:t>2017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年版）》（苏水基（</w:t>
            </w:r>
            <w:r>
              <w:rPr>
                <w:rFonts w:ascii="宋体" w:hAnsi="宋体" w:cs="楷体_GB2312"/>
                <w:sz w:val="24"/>
                <w:szCs w:val="24"/>
              </w:rPr>
              <w:t>2016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）</w:t>
            </w:r>
            <w:r>
              <w:rPr>
                <w:rFonts w:ascii="宋体" w:hAnsi="宋体" w:cs="楷体_GB2312"/>
                <w:sz w:val="24"/>
                <w:szCs w:val="24"/>
              </w:rPr>
              <w:t>26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号）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textAlignment w:val="auto"/>
              <w:rPr>
                <w:rFonts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《江苏省水利工程预算定额（</w:t>
            </w:r>
            <w:r>
              <w:rPr>
                <w:rFonts w:ascii="宋体" w:hAnsi="宋体" w:cs="楷体_GB2312"/>
                <w:sz w:val="24"/>
                <w:szCs w:val="24"/>
              </w:rPr>
              <w:t>2010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年版）》（苏水基〔</w:t>
            </w:r>
            <w:r>
              <w:rPr>
                <w:rFonts w:ascii="宋体" w:hAnsi="宋体" w:cs="楷体_GB2312"/>
                <w:sz w:val="24"/>
                <w:szCs w:val="24"/>
              </w:rPr>
              <w:t>2010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〕</w:t>
            </w:r>
            <w:r>
              <w:rPr>
                <w:rFonts w:ascii="宋体" w:hAnsi="宋体" w:cs="楷体_GB2312"/>
                <w:sz w:val="24"/>
                <w:szCs w:val="24"/>
              </w:rPr>
              <w:t>61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号）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textAlignment w:val="auto"/>
              <w:rPr>
                <w:rFonts w:hint="eastAsia"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《江苏省水利工程预算定额动态基价表》</w:t>
            </w:r>
            <w:r>
              <w:rPr>
                <w:rFonts w:ascii="宋体" w:hAnsi="宋体" w:cs="楷体_GB2312"/>
                <w:sz w:val="24"/>
                <w:szCs w:val="24"/>
              </w:rPr>
              <w:t>(2017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年版</w:t>
            </w:r>
            <w:r>
              <w:rPr>
                <w:rFonts w:ascii="宋体" w:hAnsi="宋体" w:cs="楷体_GB2312"/>
                <w:sz w:val="24"/>
                <w:szCs w:val="24"/>
              </w:rPr>
              <w:t>)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（苏水基〔</w:t>
            </w:r>
            <w:r>
              <w:rPr>
                <w:rFonts w:ascii="宋体" w:hAnsi="宋体" w:cs="楷体_GB2312"/>
                <w:sz w:val="24"/>
                <w:szCs w:val="24"/>
              </w:rPr>
              <w:t>2016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〕</w:t>
            </w:r>
            <w:r>
              <w:rPr>
                <w:rFonts w:ascii="宋体" w:hAnsi="宋体" w:cs="楷体_GB2312"/>
                <w:sz w:val="24"/>
                <w:szCs w:val="24"/>
              </w:rPr>
              <w:t>27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号）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textAlignment w:val="auto"/>
              <w:rPr>
                <w:rFonts w:hint="eastAsia"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《江苏省市政工程计价定额》（2014年版）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textAlignment w:val="auto"/>
              <w:rPr>
                <w:rFonts w:hint="eastAsia"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《江苏省</w:t>
            </w:r>
            <w:r>
              <w:rPr>
                <w:rFonts w:hint="eastAsia" w:ascii="宋体" w:hAnsi="宋体" w:eastAsia="宋体" w:cs="楷体_GB2312"/>
                <w:sz w:val="24"/>
                <w:szCs w:val="24"/>
                <w:lang w:val="en-US" w:eastAsia="zh-CN"/>
              </w:rPr>
              <w:t>园林绿化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工程计价定额》（2</w:t>
            </w:r>
            <w:r>
              <w:rPr>
                <w:rFonts w:hint="eastAsia" w:ascii="宋体" w:hAnsi="宋体" w:eastAsia="宋体" w:cs="楷体_GB2312"/>
                <w:sz w:val="24"/>
                <w:szCs w:val="24"/>
                <w:lang w:val="en-US" w:eastAsia="zh-CN"/>
              </w:rPr>
              <w:t>007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年版）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2、根据图纸、设计说明及</w:t>
            </w:r>
            <w:r>
              <w:rPr>
                <w:rFonts w:hint="eastAsia" w:ascii="宋体" w:hAnsi="宋体" w:cs="楷体_GB2312"/>
                <w:sz w:val="24"/>
                <w:szCs w:val="24"/>
                <w:lang w:eastAsia="zh-CN"/>
              </w:rPr>
              <w:t>建设方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提供的相关资料等；凡本清单内容中明确的，按清单的要求编制投标报价；本清单未作说明的，按上述规范、文件和要求编制投标报价。缺项部分参照江苏省相关定额，结合市场价调查；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3、安全文明措施费按照《省水利厅关于建设工程安全文明措施费使用管理办法》（苏水规【2017】2号）文件执行</w:t>
            </w:r>
            <w:r>
              <w:rPr>
                <w:rFonts w:hint="eastAsia" w:ascii="宋体" w:hAnsi="宋体" w:cs="楷体_GB2312"/>
                <w:sz w:val="24"/>
                <w:szCs w:val="24"/>
                <w:lang w:eastAsia="zh-CN"/>
              </w:rPr>
              <w:t>，需满足苏水规[2020]6号文及常州市人民政府令第14号文件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4、本工程采用增值税一般计税办法，税金按9%计取。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textAlignment w:val="auto"/>
              <w:rPr>
                <w:rFonts w:hint="eastAsia"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三、编制说明：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jc w:val="left"/>
              <w:textAlignment w:val="auto"/>
              <w:rPr>
                <w:rFonts w:hint="eastAsia" w:ascii="宋体" w:hAnsi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</w:rPr>
              <w:t>1、 本清单所列工程数量是根据招标图纸暂定的，仅作为投标的共同基础，不能作为最终结算与支付的依据；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jc w:val="left"/>
              <w:textAlignment w:val="auto"/>
              <w:rPr>
                <w:rFonts w:hint="default" w:ascii="宋体" w:hAnsi="宋体" w:eastAsia="宋体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</w:rPr>
              <w:t>2、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分类分项工程量清单计价表中未列出明细的临时设施，均在措施项目“临时工程”中考虑；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3、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清单中以“项”为单位的分部分项工程除注明“明标”外均按总价承包，结算时不调整，未实施不计；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本工程中所用模板、脚手架不单独列项，费用包含在相关项目单价中；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ind w:firstLine="480" w:firstLineChars="200"/>
              <w:jc w:val="left"/>
              <w:textAlignment w:val="auto"/>
              <w:rPr>
                <w:rFonts w:hint="eastAsia"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、本工程所有砼采用商品砼，混凝土浇筑输送方式由投标人自行考虑，相关费用均含在清单相关子目中。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ind w:firstLine="480" w:firstLineChars="200"/>
              <w:jc w:val="left"/>
              <w:textAlignment w:val="auto"/>
              <w:rPr>
                <w:rFonts w:hint="eastAsia"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Arial" w:cs="宋体"/>
                <w:kern w:val="0"/>
                <w:sz w:val="24"/>
                <w:szCs w:val="24"/>
              </w:rPr>
              <w:t>本工程</w:t>
            </w:r>
            <w:r>
              <w:rPr>
                <w:rFonts w:hint="eastAsia" w:ascii="宋体" w:hAnsi="Arial" w:cs="宋体"/>
                <w:kern w:val="0"/>
                <w:sz w:val="24"/>
                <w:szCs w:val="24"/>
                <w:lang w:val="en-US" w:eastAsia="zh-CN"/>
              </w:rPr>
              <w:t>余土需考虑外运，回填土由投标单位自行考虑场内堆放，</w:t>
            </w:r>
            <w:r>
              <w:rPr>
                <w:rFonts w:hint="eastAsia" w:ascii="宋体" w:hAnsi="Arial" w:cs="宋体"/>
                <w:kern w:val="0"/>
                <w:sz w:val="24"/>
                <w:szCs w:val="24"/>
              </w:rPr>
              <w:t>投标单位必须充分考虑挖土、填土、缺方内运（含场外自行取土）、余土或废料场外运输的单价及风险。本工程土方或拆除物的运输均已包括在各分部分项单价中</w:t>
            </w:r>
            <w:r>
              <w:rPr>
                <w:rFonts w:hint="eastAsia" w:ascii="宋体" w:hAnsi="Arial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废料弃运按环保要求实施。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ind w:firstLine="480" w:firstLineChars="200"/>
              <w:jc w:val="left"/>
              <w:textAlignment w:val="auto"/>
              <w:rPr>
                <w:rFonts w:hint="default" w:ascii="宋体" w:hAnsi="宋体" w:eastAsia="宋体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  <w:lang w:val="en-US" w:eastAsia="zh-CN"/>
              </w:rPr>
              <w:t>7、本工程淤泥外运处置、检测需提供方案，经设计、监理、建设方认可后实施，所有费用在报价中综合考虑，结算不再调整。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snapToGrid w:val="0"/>
                <w:sz w:val="24"/>
                <w:szCs w:val="24"/>
              </w:rPr>
              <w:t>、苗木分部分项综合单价包括苗木采购、运输、挖坑、苗木种植、反季节种植、种植土加基肥、渗水试验、机械上力、管理费、利润、土壤有机肥、草炭土、泥炭土、绿化用地的精平、场内运输、管养期内养护（修剪、治虫、浇灌、施肥、补栽、更换、水电等），结算时综合单价不调整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napToGrid w:val="0"/>
                <w:sz w:val="24"/>
                <w:szCs w:val="24"/>
              </w:rPr>
              <w:t>、投标人须自行考虑整个施工范围内，各种建筑施工材料的运输条件、运输距离、各种可能存在的干扰因素，合理安排各种材料设备的运输方法、运输设备，并在投标报价中充分考虑相应场内、场外运输费用，材料的场内、场外运输费用，结算时均不另行计算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snapToGrid w:val="0"/>
                <w:sz w:val="24"/>
                <w:szCs w:val="24"/>
              </w:rPr>
              <w:t>本工程单价已经考虑了停电、停水、二次搬运、施工场地不足、发包人现场约束、中间验收、成品保护、按发包人要求配合场内其他单位、接受其他单位配合服务等所需措施和维护产生的一切费用, 并已考虑了相关机械正常供电不足施工单位采用必要的发电设备、箱变等电费的补贴费用，相关电费的补贴费用、各种可能影响施工的因素及其所增加的费用，施工单位在投标报价中予以充分考虑，不再另外计取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11、本工程单价中已考虑相关专家论证、泥浆池制作及拆除等费用，不再另列清单。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12、施工期间需做好排水方案，并在投标报价中综合考虑。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13、保险费（含建筑工程一切险、安装工程一切险、人员工伤事故险、人身意外伤害险、第三者责任险）;费率暂计0.46%，拿票据按实结算，费率不可竞争。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14、安全文明措施费（按实结算,结算价不得超过投标价；费率按2.5%计取，费率不可竞争，具体详见清单；按照省水利厅关于安全文明措施费使用管理办法》（苏水规[2017]2号）文件结算，为不可竞争费，结算价不得超投标价）需满足苏水规[2020]6号文及常州市人民政府令第14号文件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default" w:ascii="宋体" w:hAnsi="宋体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15、环境保护措施费中需考虑扬尘管控费用，结算不再调整。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snapToGrid w:val="0"/>
                <w:sz w:val="24"/>
                <w:szCs w:val="24"/>
              </w:rPr>
              <w:t>、其他项目预留金按</w:t>
            </w: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(工程量清单计价+措施项目计价)*5%，费率为不可竞争费</w:t>
            </w:r>
            <w:r>
              <w:rPr>
                <w:rFonts w:hint="eastAsia" w:ascii="宋体" w:hAnsi="宋体"/>
                <w:snapToGrid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20" w:lineRule="exact"/>
              <w:ind w:firstLine="480" w:firstLineChars="200"/>
              <w:jc w:val="left"/>
              <w:textAlignment w:val="auto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17、控制价材料价格按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《常州工程造价信息》发布的常州市</w:t>
            </w:r>
            <w:r>
              <w:rPr>
                <w:rFonts w:ascii="宋体" w:hAnsi="宋体"/>
                <w:bCs/>
                <w:sz w:val="24"/>
                <w:szCs w:val="24"/>
              </w:rPr>
              <w:t>202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bCs/>
                <w:color w:val="FF000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/>
                <w:bCs/>
                <w:color w:val="FF0000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份建筑工程材料除税指导价编制，</w:t>
            </w:r>
            <w:r>
              <w:rPr>
                <w:rFonts w:hint="eastAsia" w:ascii="宋体" w:hAnsi="宋体"/>
                <w:bCs/>
                <w:color w:val="FF000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月份没有的价格，依次向前推。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20" w:lineRule="exact"/>
              <w:ind w:firstLine="480" w:firstLineChars="200"/>
              <w:jc w:val="right"/>
              <w:textAlignment w:val="auto"/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20" w:lineRule="exact"/>
              <w:ind w:firstLine="480" w:firstLineChars="200"/>
              <w:jc w:val="center"/>
              <w:textAlignment w:val="auto"/>
              <w:rPr>
                <w:rFonts w:hint="default" w:ascii="宋体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 xml:space="preserve">                                   2023年11月25日</w:t>
            </w:r>
          </w:p>
          <w:p>
            <w:pPr>
              <w:bidi w:val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</w:tbl>
    <w:p/>
    <w:sectPr>
      <w:pgSz w:w="11906" w:h="16838"/>
      <w:pgMar w:top="1108" w:right="1066" w:bottom="1038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2262F5"/>
    <w:multiLevelType w:val="multilevel"/>
    <w:tmpl w:val="492262F5"/>
    <w:lvl w:ilvl="0" w:tentative="0">
      <w:start w:val="1"/>
      <w:numFmt w:val="japaneseCounting"/>
      <w:lvlText w:val="%1、"/>
      <w:lvlJc w:val="left"/>
      <w:pPr>
        <w:tabs>
          <w:tab w:val="left" w:pos="450"/>
        </w:tabs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771A90A7"/>
    <w:multiLevelType w:val="singleLevel"/>
    <w:tmpl w:val="771A90A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xNGVlOTdmOGFiYWEyODhjYTJhZGZiZWQzZmY2MzMifQ=="/>
  </w:docVars>
  <w:rsids>
    <w:rsidRoot w:val="3E997EE2"/>
    <w:rsid w:val="02FE1DBD"/>
    <w:rsid w:val="0401556B"/>
    <w:rsid w:val="07362D97"/>
    <w:rsid w:val="08641650"/>
    <w:rsid w:val="0A3E4304"/>
    <w:rsid w:val="10ED60CF"/>
    <w:rsid w:val="13EB044B"/>
    <w:rsid w:val="1676496E"/>
    <w:rsid w:val="17B514F8"/>
    <w:rsid w:val="182702A6"/>
    <w:rsid w:val="18E3544F"/>
    <w:rsid w:val="19D104BE"/>
    <w:rsid w:val="2318009E"/>
    <w:rsid w:val="2A8A2314"/>
    <w:rsid w:val="2BB3163E"/>
    <w:rsid w:val="315E6C79"/>
    <w:rsid w:val="34A73B34"/>
    <w:rsid w:val="34E64C13"/>
    <w:rsid w:val="35E601F8"/>
    <w:rsid w:val="369576EC"/>
    <w:rsid w:val="3E997EE2"/>
    <w:rsid w:val="406B5161"/>
    <w:rsid w:val="41C72874"/>
    <w:rsid w:val="46641A0B"/>
    <w:rsid w:val="526F2229"/>
    <w:rsid w:val="52A41FEC"/>
    <w:rsid w:val="58297840"/>
    <w:rsid w:val="5858051A"/>
    <w:rsid w:val="5A4E3F60"/>
    <w:rsid w:val="5B16605C"/>
    <w:rsid w:val="5DE61F4B"/>
    <w:rsid w:val="65880429"/>
    <w:rsid w:val="65C90FD1"/>
    <w:rsid w:val="66025A02"/>
    <w:rsid w:val="6FDF7BEB"/>
    <w:rsid w:val="71433214"/>
    <w:rsid w:val="723320B1"/>
    <w:rsid w:val="73022DCF"/>
    <w:rsid w:val="745F79D2"/>
    <w:rsid w:val="7516192A"/>
    <w:rsid w:val="752863EC"/>
    <w:rsid w:val="76F74ECE"/>
    <w:rsid w:val="7B2A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napToGrid w:val="0"/>
      <w:spacing w:line="360" w:lineRule="auto"/>
    </w:pPr>
    <w:rPr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2141</Words>
  <Characters>2249</Characters>
  <Lines>0</Lines>
  <Paragraphs>0</Paragraphs>
  <TotalTime>85</TotalTime>
  <ScaleCrop>false</ScaleCrop>
  <LinksUpToDate>false</LinksUpToDate>
  <CharactersWithSpaces>2316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2021-08-27T02:29:00Z</dcterms:created>
  <dc:creator>朱璟忠</dc:creator>
  <cp:lastModifiedBy>水木年华</cp:lastModifiedBy>
  <dcterms:modified xsi:type="dcterms:W3CDTF">2023-12-04T07:05:50Z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7C62327436874E49A6D4C8F87000FF67</vt:lpwstr>
  </property>
</Properties>
</file>