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32"/>
          <w:szCs w:val="32"/>
          <w:highlight w:val="none"/>
          <w:lang w:eastAsia="zh-CN"/>
        </w:rPr>
      </w:pPr>
      <w:r>
        <w:rPr>
          <w:rFonts w:hint="eastAsia" w:ascii="方正小标宋简体" w:hAnsi="仿宋_GB2312" w:eastAsia="方正小标宋简体" w:cs="方正小标宋简体"/>
          <w:sz w:val="44"/>
          <w:szCs w:val="44"/>
          <w:highlight w:val="none"/>
        </w:rPr>
        <w:t>政 府 工 作 报 告</w:t>
      </w:r>
    </w:p>
    <w:p>
      <w:pPr>
        <w:keepNext w:val="0"/>
        <w:keepLines w:val="0"/>
        <w:pageBreakBefore w:val="0"/>
        <w:widowControl/>
        <w:tabs>
          <w:tab w:val="left" w:pos="1470"/>
        </w:tabs>
        <w:kinsoku/>
        <w:wordWrap/>
        <w:overflowPunct/>
        <w:topLinePunct w:val="0"/>
        <w:autoSpaceDE/>
        <w:autoSpaceDN/>
        <w:bidi w:val="0"/>
        <w:adjustRightInd/>
        <w:snapToGrid/>
        <w:spacing w:line="560" w:lineRule="exact"/>
        <w:jc w:val="center"/>
        <w:textAlignment w:val="auto"/>
        <w:rPr>
          <w:rFonts w:ascii="楷体_GB2312" w:hAnsi="楷体" w:eastAsia="楷体_GB2312"/>
          <w:bCs/>
          <w:color w:val="000000"/>
          <w:sz w:val="32"/>
          <w:szCs w:val="32"/>
          <w:highlight w:val="none"/>
        </w:rPr>
      </w:pPr>
      <w:r>
        <w:rPr>
          <w:rFonts w:hint="eastAsia" w:ascii="黑体" w:hAnsi="黑体" w:eastAsia="黑体" w:cs="黑体"/>
          <w:sz w:val="32"/>
          <w:szCs w:val="32"/>
          <w:highlight w:val="none"/>
        </w:rPr>
        <w:t>——</w:t>
      </w:r>
      <w:r>
        <w:rPr>
          <w:rFonts w:hint="eastAsia" w:ascii="楷体_GB2312" w:hAnsi="楷体" w:eastAsia="楷体_GB2312"/>
          <w:bCs/>
          <w:color w:val="000000"/>
          <w:sz w:val="32"/>
          <w:szCs w:val="32"/>
          <w:highlight w:val="none"/>
        </w:rPr>
        <w:t>20</w:t>
      </w:r>
      <w:r>
        <w:rPr>
          <w:rFonts w:hint="eastAsia" w:ascii="楷体_GB2312" w:hAnsi="楷体" w:eastAsia="楷体_GB2312"/>
          <w:bCs/>
          <w:color w:val="000000"/>
          <w:sz w:val="32"/>
          <w:szCs w:val="32"/>
          <w:highlight w:val="none"/>
          <w:lang w:val="en-US" w:eastAsia="zh-CN"/>
        </w:rPr>
        <w:t>23</w:t>
      </w:r>
      <w:r>
        <w:rPr>
          <w:rFonts w:hint="eastAsia" w:ascii="楷体_GB2312" w:hAnsi="楷体" w:eastAsia="楷体_GB2312"/>
          <w:bCs/>
          <w:color w:val="000000"/>
          <w:sz w:val="32"/>
          <w:szCs w:val="32"/>
          <w:highlight w:val="none"/>
        </w:rPr>
        <w:t>年</w:t>
      </w:r>
      <w:r>
        <w:rPr>
          <w:rFonts w:hint="eastAsia" w:ascii="楷体_GB2312" w:hAnsi="楷体" w:eastAsia="楷体_GB2312"/>
          <w:bCs/>
          <w:color w:val="000000"/>
          <w:sz w:val="32"/>
          <w:szCs w:val="32"/>
          <w:highlight w:val="none"/>
          <w:lang w:val="en-US" w:eastAsia="zh-CN"/>
        </w:rPr>
        <w:t>1</w:t>
      </w:r>
      <w:r>
        <w:rPr>
          <w:rFonts w:hint="eastAsia" w:ascii="楷体_GB2312" w:hAnsi="楷体" w:eastAsia="楷体_GB2312"/>
          <w:bCs/>
          <w:color w:val="000000"/>
          <w:sz w:val="32"/>
          <w:szCs w:val="32"/>
          <w:highlight w:val="none"/>
        </w:rPr>
        <w:t>月</w:t>
      </w:r>
      <w:r>
        <w:rPr>
          <w:rFonts w:hint="eastAsia" w:ascii="楷体_GB2312" w:hAnsi="楷体" w:eastAsia="楷体_GB2312"/>
          <w:bCs/>
          <w:color w:val="000000"/>
          <w:sz w:val="32"/>
          <w:szCs w:val="32"/>
          <w:highlight w:val="none"/>
          <w:lang w:val="en-US" w:eastAsia="zh-CN"/>
        </w:rPr>
        <w:t>6</w:t>
      </w:r>
      <w:r>
        <w:rPr>
          <w:rFonts w:hint="eastAsia" w:ascii="楷体_GB2312" w:hAnsi="楷体" w:eastAsia="楷体_GB2312"/>
          <w:bCs/>
          <w:color w:val="000000"/>
          <w:sz w:val="32"/>
          <w:szCs w:val="32"/>
          <w:highlight w:val="none"/>
        </w:rPr>
        <w:t>日在常州市新北区西夏墅镇第</w:t>
      </w:r>
      <w:r>
        <w:rPr>
          <w:rFonts w:hint="eastAsia" w:ascii="楷体_GB2312" w:hAnsi="楷体" w:eastAsia="楷体_GB2312"/>
          <w:bCs/>
          <w:color w:val="000000"/>
          <w:sz w:val="32"/>
          <w:szCs w:val="32"/>
          <w:highlight w:val="none"/>
          <w:lang w:eastAsia="zh-CN"/>
        </w:rPr>
        <w:t>五</w:t>
      </w:r>
      <w:r>
        <w:rPr>
          <w:rFonts w:hint="eastAsia" w:ascii="楷体_GB2312" w:hAnsi="楷体" w:eastAsia="楷体_GB2312"/>
          <w:bCs/>
          <w:color w:val="000000"/>
          <w:sz w:val="32"/>
          <w:szCs w:val="32"/>
          <w:highlight w:val="none"/>
        </w:rPr>
        <w:t>届</w:t>
      </w:r>
    </w:p>
    <w:p>
      <w:pPr>
        <w:keepNext w:val="0"/>
        <w:keepLines w:val="0"/>
        <w:pageBreakBefore w:val="0"/>
        <w:widowControl/>
        <w:tabs>
          <w:tab w:val="left" w:pos="1470"/>
        </w:tabs>
        <w:kinsoku/>
        <w:wordWrap/>
        <w:overflowPunct/>
        <w:topLinePunct w:val="0"/>
        <w:autoSpaceDE/>
        <w:autoSpaceDN/>
        <w:bidi w:val="0"/>
        <w:adjustRightInd/>
        <w:snapToGrid/>
        <w:spacing w:line="560" w:lineRule="exact"/>
        <w:jc w:val="center"/>
        <w:textAlignment w:val="auto"/>
        <w:rPr>
          <w:rFonts w:ascii="楷体_GB2312" w:hAnsi="楷体" w:eastAsia="楷体_GB2312"/>
          <w:bCs/>
          <w:color w:val="000000"/>
          <w:sz w:val="32"/>
          <w:szCs w:val="32"/>
          <w:highlight w:val="none"/>
        </w:rPr>
      </w:pPr>
      <w:r>
        <w:rPr>
          <w:rFonts w:hint="eastAsia" w:ascii="楷体_GB2312" w:hAnsi="楷体" w:eastAsia="楷体_GB2312"/>
          <w:bCs/>
          <w:color w:val="000000"/>
          <w:sz w:val="32"/>
          <w:szCs w:val="32"/>
          <w:highlight w:val="none"/>
        </w:rPr>
        <w:t>人民代表大会第</w:t>
      </w:r>
      <w:r>
        <w:rPr>
          <w:rFonts w:hint="eastAsia" w:ascii="楷体_GB2312" w:hAnsi="楷体" w:eastAsia="楷体_GB2312"/>
          <w:bCs/>
          <w:color w:val="000000"/>
          <w:sz w:val="32"/>
          <w:szCs w:val="32"/>
          <w:highlight w:val="none"/>
          <w:lang w:val="en-US" w:eastAsia="zh-CN"/>
        </w:rPr>
        <w:t>三</w:t>
      </w:r>
      <w:r>
        <w:rPr>
          <w:rFonts w:hint="eastAsia" w:ascii="楷体_GB2312" w:hAnsi="楷体" w:eastAsia="楷体_GB2312"/>
          <w:bCs/>
          <w:color w:val="000000"/>
          <w:sz w:val="32"/>
          <w:szCs w:val="32"/>
          <w:highlight w:val="none"/>
        </w:rPr>
        <w:t>次会议上</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楷体_GB2312" w:hAnsi="楷体" w:eastAsia="楷体_GB2312" w:cs="楷体_GB2312"/>
          <w:sz w:val="32"/>
          <w:szCs w:val="32"/>
          <w:highlight w:val="none"/>
          <w:lang w:val="en-US" w:eastAsia="zh-CN"/>
        </w:rPr>
      </w:pPr>
      <w:r>
        <w:rPr>
          <w:rFonts w:hint="eastAsia" w:ascii="楷体_GB2312" w:hAnsi="楷体" w:eastAsia="楷体_GB2312" w:cs="楷体_GB2312"/>
          <w:sz w:val="32"/>
          <w:szCs w:val="32"/>
          <w:highlight w:val="none"/>
          <w:lang w:val="en-US" w:eastAsia="zh-CN"/>
        </w:rPr>
        <w:t>蔡  刚</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楷体_GB2312" w:hAnsi="楷体_GB2312" w:eastAsia="楷体_GB2312"/>
          <w:kern w:val="2"/>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eastAsia="仿宋_GB2312"/>
          <w:color w:val="000000"/>
          <w:kern w:val="2"/>
          <w:sz w:val="32"/>
          <w:szCs w:val="32"/>
          <w:highlight w:val="none"/>
        </w:rPr>
      </w:pPr>
      <w:r>
        <w:rPr>
          <w:rFonts w:hint="eastAsia" w:hAnsi="仿宋_GB2312" w:eastAsia="仿宋_GB2312" w:cs="仿宋_GB2312"/>
          <w:color w:val="000000"/>
          <w:kern w:val="2"/>
          <w:sz w:val="32"/>
          <w:szCs w:val="32"/>
          <w:highlight w:val="none"/>
        </w:rPr>
        <w:t>各位代表：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kern w:val="2"/>
          <w:sz w:val="32"/>
          <w:szCs w:val="32"/>
          <w:highlight w:val="none"/>
        </w:rPr>
      </w:pPr>
      <w:r>
        <w:rPr>
          <w:rFonts w:hint="eastAsia" w:ascii="仿宋_GB2312" w:hAnsi="仿宋_GB2312" w:eastAsia="仿宋_GB2312"/>
          <w:color w:val="000000"/>
          <w:kern w:val="2"/>
          <w:sz w:val="32"/>
          <w:szCs w:val="32"/>
          <w:highlight w:val="none"/>
          <w:lang w:eastAsia="zh-CN"/>
        </w:rPr>
        <w:t>现在，</w:t>
      </w:r>
      <w:r>
        <w:rPr>
          <w:rFonts w:hint="eastAsia" w:ascii="仿宋_GB2312" w:hAnsi="仿宋_GB2312" w:eastAsia="仿宋_GB2312"/>
          <w:color w:val="000000"/>
          <w:kern w:val="2"/>
          <w:sz w:val="32"/>
          <w:szCs w:val="32"/>
          <w:highlight w:val="none"/>
        </w:rPr>
        <w:t>我代表西夏墅镇人民政府向大会报告</w:t>
      </w:r>
      <w:r>
        <w:rPr>
          <w:rFonts w:hint="eastAsia" w:ascii="仿宋_GB2312" w:hAnsi="仿宋_GB2312" w:eastAsia="仿宋_GB2312"/>
          <w:color w:val="000000"/>
          <w:kern w:val="2"/>
          <w:sz w:val="32"/>
          <w:szCs w:val="32"/>
          <w:highlight w:val="none"/>
          <w:lang w:val="en-US" w:eastAsia="zh-CN"/>
        </w:rPr>
        <w:t>2022</w:t>
      </w:r>
      <w:r>
        <w:rPr>
          <w:rFonts w:hint="eastAsia" w:ascii="仿宋_GB2312" w:hAnsi="仿宋_GB2312" w:eastAsia="仿宋_GB2312"/>
          <w:color w:val="000000"/>
          <w:kern w:val="2"/>
          <w:sz w:val="32"/>
          <w:szCs w:val="32"/>
          <w:highlight w:val="none"/>
        </w:rPr>
        <w:t>年经济社会发展情况及20</w:t>
      </w:r>
      <w:r>
        <w:rPr>
          <w:rFonts w:hint="eastAsia" w:ascii="仿宋_GB2312" w:hAnsi="仿宋_GB2312" w:eastAsia="仿宋_GB2312"/>
          <w:color w:val="000000"/>
          <w:kern w:val="2"/>
          <w:sz w:val="32"/>
          <w:szCs w:val="32"/>
          <w:highlight w:val="none"/>
          <w:lang w:val="en-US" w:eastAsia="zh-CN"/>
        </w:rPr>
        <w:t>23</w:t>
      </w:r>
      <w:r>
        <w:rPr>
          <w:rFonts w:hint="eastAsia" w:ascii="仿宋_GB2312" w:hAnsi="仿宋_GB2312" w:eastAsia="仿宋_GB2312"/>
          <w:color w:val="000000"/>
          <w:kern w:val="2"/>
          <w:sz w:val="32"/>
          <w:szCs w:val="32"/>
          <w:highlight w:val="none"/>
        </w:rPr>
        <w:t>年重点工作安排</w:t>
      </w:r>
      <w:r>
        <w:rPr>
          <w:rFonts w:hint="eastAsia" w:ascii="仿宋_GB2312" w:hAnsi="仿宋_GB2312" w:eastAsia="仿宋_GB2312"/>
          <w:color w:val="000000"/>
          <w:kern w:val="2"/>
          <w:sz w:val="32"/>
          <w:szCs w:val="32"/>
          <w:highlight w:val="none"/>
          <w:lang w:eastAsia="zh-CN"/>
        </w:rPr>
        <w:t>，</w:t>
      </w:r>
      <w:r>
        <w:rPr>
          <w:rFonts w:hint="eastAsia" w:ascii="仿宋_GB2312" w:hAnsi="仿宋_GB2312" w:eastAsia="仿宋_GB2312"/>
          <w:color w:val="000000"/>
          <w:kern w:val="2"/>
          <w:sz w:val="32"/>
          <w:szCs w:val="32"/>
          <w:highlight w:val="none"/>
        </w:rPr>
        <w:t>请予审议。</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仿宋_GB2312"/>
          <w:color w:val="000000"/>
          <w:kern w:val="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olor w:val="000000"/>
          <w:kern w:val="2"/>
          <w:sz w:val="32"/>
          <w:szCs w:val="32"/>
          <w:highlight w:val="none"/>
        </w:rPr>
      </w:pPr>
      <w:r>
        <w:rPr>
          <w:rFonts w:hint="eastAsia" w:ascii="黑体" w:hAnsi="黑体" w:eastAsia="黑体" w:cs="仿宋_GB2312"/>
          <w:color w:val="000000"/>
          <w:kern w:val="2"/>
          <w:sz w:val="32"/>
          <w:szCs w:val="32"/>
          <w:highlight w:val="none"/>
        </w:rPr>
        <w:t>20</w:t>
      </w:r>
      <w:r>
        <w:rPr>
          <w:rFonts w:hint="eastAsia" w:ascii="黑体" w:hAnsi="黑体" w:eastAsia="黑体" w:cs="仿宋_GB2312"/>
          <w:color w:val="000000"/>
          <w:kern w:val="2"/>
          <w:sz w:val="32"/>
          <w:szCs w:val="32"/>
          <w:highlight w:val="none"/>
          <w:lang w:val="en-US" w:eastAsia="zh-CN"/>
        </w:rPr>
        <w:t>22</w:t>
      </w:r>
      <w:r>
        <w:rPr>
          <w:rFonts w:hint="eastAsia" w:ascii="黑体" w:hAnsi="黑体" w:eastAsia="黑体" w:cs="仿宋_GB2312"/>
          <w:color w:val="000000"/>
          <w:kern w:val="2"/>
          <w:sz w:val="32"/>
          <w:szCs w:val="32"/>
          <w:highlight w:val="none"/>
        </w:rPr>
        <w:t>年工作回顾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2022年以来，面对新冠病毒感染的巨大挑战和改革发展稳定的繁重任务，西夏墅镇</w:t>
      </w:r>
      <w:r>
        <w:rPr>
          <w:rFonts w:hint="eastAsia" w:ascii="仿宋_GB2312" w:hAnsi="仿宋_GB2312" w:eastAsia="仿宋_GB2312" w:cs="仿宋_GB2312"/>
          <w:color w:val="000000"/>
          <w:kern w:val="2"/>
          <w:sz w:val="32"/>
          <w:szCs w:val="32"/>
          <w:highlight w:val="none"/>
        </w:rPr>
        <w:t>在区委、区政府和镇党委的正确领导下，在镇人大和各位代表的监督支持下，</w:t>
      </w:r>
      <w:r>
        <w:rPr>
          <w:rStyle w:val="10"/>
          <w:rFonts w:hint="eastAsia" w:ascii="仿宋_GB2312" w:hAnsi="仿宋_GB2312" w:eastAsia="仿宋_GB2312" w:cs="仿宋_GB2312"/>
          <w:b w:val="0"/>
          <w:bCs w:val="0"/>
          <w:kern w:val="2"/>
          <w:sz w:val="32"/>
          <w:szCs w:val="32"/>
          <w:lang w:val="en-US" w:eastAsia="zh-CN"/>
        </w:rPr>
        <w:t>紧紧围绕“疫情要防住、经济要稳住、发展要安全”的重大要求</w:t>
      </w:r>
      <w:r>
        <w:rPr>
          <w:rFonts w:hint="eastAsia" w:ascii="仿宋_GB2312" w:hAnsi="仿宋_GB2312" w:eastAsia="仿宋_GB2312" w:cs="仿宋_GB2312"/>
          <w:color w:val="000000"/>
          <w:kern w:val="2"/>
          <w:sz w:val="32"/>
          <w:szCs w:val="32"/>
          <w:highlight w:val="none"/>
          <w:lang w:val="en-US" w:eastAsia="zh-CN"/>
        </w:rPr>
        <w:t>，</w:t>
      </w:r>
      <w:r>
        <w:rPr>
          <w:rFonts w:hint="eastAsia" w:ascii="仿宋_GB2312" w:hAnsi="仿宋_GB2312" w:eastAsia="仿宋_GB2312" w:cs="仿宋_GB2312"/>
          <w:kern w:val="2"/>
          <w:sz w:val="32"/>
          <w:szCs w:val="32"/>
        </w:rPr>
        <w:t>聚焦全市“532”发展战略、全区“三大工程”，</w:t>
      </w:r>
      <w:r>
        <w:rPr>
          <w:rStyle w:val="10"/>
          <w:rFonts w:hint="eastAsia" w:ascii="仿宋_GB2312" w:hAnsi="仿宋_GB2312" w:eastAsia="仿宋_GB2312" w:cs="仿宋_GB2312"/>
          <w:b w:val="0"/>
          <w:bCs w:val="0"/>
          <w:kern w:val="2"/>
          <w:sz w:val="32"/>
          <w:szCs w:val="32"/>
          <w:lang w:val="en-US" w:eastAsia="zh-CN"/>
        </w:rPr>
        <w:t>以16个专班推进机制为抓手</w:t>
      </w:r>
      <w:r>
        <w:rPr>
          <w:rFonts w:hint="eastAsia" w:ascii="仿宋_GB2312" w:hAnsi="仿宋_GB2312" w:eastAsia="仿宋_GB2312" w:cs="仿宋_GB2312"/>
          <w:kern w:val="2"/>
          <w:sz w:val="32"/>
          <w:szCs w:val="32"/>
          <w:highlight w:val="none"/>
          <w:lang w:val="en-US" w:eastAsia="zh-CN"/>
        </w:rPr>
        <w:t>，经济社会各项事业全面发展，</w:t>
      </w:r>
      <w:r>
        <w:rPr>
          <w:rFonts w:hint="eastAsia" w:ascii="仿宋_GB2312" w:hAnsi="仿宋_GB2312" w:eastAsia="仿宋_GB2312" w:cs="仿宋_GB2312"/>
          <w:color w:val="000000"/>
          <w:kern w:val="2"/>
          <w:sz w:val="32"/>
          <w:szCs w:val="32"/>
          <w:highlight w:val="none"/>
        </w:rPr>
        <w:t>较好地完成了各项目标任务</w:t>
      </w:r>
      <w:r>
        <w:rPr>
          <w:rFonts w:hint="eastAsia" w:ascii="仿宋_GB2312" w:hAnsi="仿宋_GB2312" w:eastAsia="仿宋_GB2312" w:cs="仿宋_GB2312"/>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highlight w:val="none"/>
          <w:lang w:val="en-US" w:eastAsia="zh-CN"/>
        </w:rPr>
      </w:pPr>
      <w:r>
        <w:rPr>
          <w:rFonts w:hint="eastAsia" w:ascii="黑体" w:hAnsi="黑体" w:eastAsia="黑体" w:cs="黑体"/>
          <w:kern w:val="2"/>
          <w:sz w:val="32"/>
          <w:szCs w:val="32"/>
          <w:highlight w:val="none"/>
          <w:lang w:val="en-US" w:eastAsia="zh-CN"/>
        </w:rPr>
        <w:t>一、聚焦调结构、促转型，经济发展后劲不断增强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olor w:val="auto"/>
          <w:kern w:val="2"/>
          <w:sz w:val="32"/>
          <w:szCs w:val="32"/>
          <w:highlight w:val="none"/>
          <w:lang w:val="en-US" w:eastAsia="zh-CN"/>
        </w:rPr>
      </w:pPr>
      <w:r>
        <w:rPr>
          <w:rFonts w:hint="eastAsia" w:ascii="仿宋_GB2312" w:hAnsi="仿宋_GB2312" w:eastAsia="仿宋_GB2312"/>
          <w:color w:val="auto"/>
          <w:kern w:val="2"/>
          <w:sz w:val="32"/>
          <w:szCs w:val="32"/>
          <w:highlight w:val="none"/>
          <w:lang w:val="en-US" w:eastAsia="zh-CN"/>
        </w:rPr>
        <w:t>坚持创新引领，</w:t>
      </w:r>
      <w:r>
        <w:rPr>
          <w:rFonts w:hint="default" w:ascii="仿宋_GB2312" w:hAnsi="仿宋_GB2312" w:eastAsia="仿宋_GB2312"/>
          <w:color w:val="auto"/>
          <w:kern w:val="2"/>
          <w:sz w:val="32"/>
          <w:szCs w:val="32"/>
          <w:highlight w:val="none"/>
          <w:lang w:val="en-US" w:eastAsia="zh-CN"/>
        </w:rPr>
        <w:t>加速产业链</w:t>
      </w:r>
      <w:r>
        <w:rPr>
          <w:rFonts w:hint="eastAsia" w:ascii="仿宋_GB2312" w:hAnsi="仿宋_GB2312" w:eastAsia="仿宋_GB2312"/>
          <w:color w:val="auto"/>
          <w:kern w:val="2"/>
          <w:sz w:val="32"/>
          <w:szCs w:val="32"/>
          <w:highlight w:val="none"/>
          <w:lang w:val="en-US" w:eastAsia="zh-CN"/>
        </w:rPr>
        <w:t>、</w:t>
      </w:r>
      <w:r>
        <w:rPr>
          <w:rFonts w:hint="default" w:ascii="仿宋_GB2312" w:hAnsi="仿宋_GB2312" w:eastAsia="仿宋_GB2312"/>
          <w:color w:val="auto"/>
          <w:kern w:val="2"/>
          <w:sz w:val="32"/>
          <w:szCs w:val="32"/>
          <w:highlight w:val="none"/>
          <w:lang w:val="en-US" w:eastAsia="zh-CN"/>
        </w:rPr>
        <w:t>创新链</w:t>
      </w:r>
      <w:r>
        <w:rPr>
          <w:rFonts w:hint="eastAsia" w:ascii="仿宋_GB2312" w:hAnsi="仿宋_GB2312" w:eastAsia="仿宋_GB2312"/>
          <w:color w:val="auto"/>
          <w:kern w:val="2"/>
          <w:sz w:val="32"/>
          <w:szCs w:val="32"/>
          <w:highlight w:val="none"/>
          <w:lang w:val="en-US" w:eastAsia="zh-CN"/>
        </w:rPr>
        <w:t>深度</w:t>
      </w:r>
      <w:r>
        <w:rPr>
          <w:rFonts w:hint="default" w:ascii="仿宋_GB2312" w:hAnsi="仿宋_GB2312" w:eastAsia="仿宋_GB2312"/>
          <w:color w:val="auto"/>
          <w:kern w:val="2"/>
          <w:sz w:val="32"/>
          <w:szCs w:val="32"/>
          <w:highlight w:val="none"/>
          <w:lang w:val="en-US" w:eastAsia="zh-CN"/>
        </w:rPr>
        <w:t>融合，</w:t>
      </w:r>
      <w:r>
        <w:rPr>
          <w:rFonts w:hint="eastAsia" w:ascii="仿宋_GB2312" w:hAnsi="仿宋_GB2312" w:eastAsia="仿宋_GB2312"/>
          <w:color w:val="auto"/>
          <w:kern w:val="2"/>
          <w:sz w:val="32"/>
          <w:szCs w:val="32"/>
          <w:highlight w:val="none"/>
          <w:lang w:val="en-US" w:eastAsia="zh-CN"/>
        </w:rPr>
        <w:t>为高质量发展赋能增效。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rPr>
        <w:t>一是</w:t>
      </w:r>
      <w:r>
        <w:rPr>
          <w:rFonts w:hint="eastAsia" w:ascii="楷体_GB2312" w:hAnsi="楷体_GB2312" w:eastAsia="楷体_GB2312" w:cs="楷体_GB2312"/>
          <w:kern w:val="2"/>
          <w:sz w:val="32"/>
          <w:szCs w:val="32"/>
          <w:highlight w:val="none"/>
        </w:rPr>
        <w:t>经济运行</w:t>
      </w:r>
      <w:r>
        <w:rPr>
          <w:rFonts w:hint="eastAsia" w:ascii="楷体_GB2312" w:hAnsi="楷体_GB2312" w:eastAsia="楷体_GB2312" w:cs="楷体_GB2312"/>
          <w:kern w:val="2"/>
          <w:sz w:val="32"/>
          <w:szCs w:val="32"/>
          <w:highlight w:val="none"/>
          <w:lang w:eastAsia="zh-CN"/>
        </w:rPr>
        <w:t>平稳</w:t>
      </w:r>
      <w:r>
        <w:rPr>
          <w:rFonts w:hint="eastAsia" w:ascii="楷体_GB2312" w:hAnsi="楷体_GB2312" w:eastAsia="楷体_GB2312" w:cs="楷体_GB2312"/>
          <w:kern w:val="2"/>
          <w:sz w:val="32"/>
          <w:szCs w:val="32"/>
          <w:highlight w:val="none"/>
        </w:rPr>
        <w:t>向好。</w:t>
      </w:r>
      <w:r>
        <w:rPr>
          <w:rFonts w:hint="eastAsia" w:ascii="仿宋_GB2312" w:hAnsi="仿宋_GB2312" w:eastAsia="仿宋_GB2312"/>
          <w:color w:val="000000"/>
          <w:kern w:val="2"/>
          <w:sz w:val="32"/>
          <w:szCs w:val="32"/>
          <w:highlight w:val="none"/>
          <w:lang w:val="en-US" w:eastAsia="zh-CN"/>
        </w:rPr>
        <w:t>过去一年，全镇上下团结一心，</w:t>
      </w:r>
      <w:r>
        <w:rPr>
          <w:rStyle w:val="10"/>
          <w:rFonts w:hint="eastAsia" w:ascii="仿宋_GB2312" w:hAnsi="仿宋_GB2312" w:eastAsia="仿宋_GB2312" w:cs="仿宋_GB2312"/>
          <w:b w:val="0"/>
          <w:bCs w:val="0"/>
          <w:kern w:val="2"/>
          <w:sz w:val="32"/>
          <w:szCs w:val="32"/>
          <w:lang w:val="en-US" w:eastAsia="zh-CN"/>
        </w:rPr>
        <w:t>高效统筹</w:t>
      </w:r>
      <w:r>
        <w:rPr>
          <w:rStyle w:val="10"/>
          <w:rFonts w:hint="eastAsia" w:ascii="仿宋_GB2312" w:hAnsi="仿宋_GB2312" w:eastAsia="仿宋_GB2312" w:cs="仿宋_GB2312"/>
          <w:b w:val="0"/>
          <w:bCs w:val="0"/>
          <w:kern w:val="2"/>
          <w:sz w:val="32"/>
          <w:szCs w:val="32"/>
          <w:highlight w:val="none"/>
          <w:lang w:val="en-US" w:eastAsia="zh-CN"/>
        </w:rPr>
        <w:t>疫情防控</w:t>
      </w:r>
      <w:r>
        <w:rPr>
          <w:rStyle w:val="10"/>
          <w:rFonts w:hint="eastAsia" w:ascii="仿宋_GB2312" w:hAnsi="仿宋_GB2312" w:eastAsia="仿宋_GB2312" w:cs="仿宋_GB2312"/>
          <w:b w:val="0"/>
          <w:bCs w:val="0"/>
          <w:kern w:val="2"/>
          <w:sz w:val="32"/>
          <w:szCs w:val="32"/>
          <w:lang w:val="en-US" w:eastAsia="zh-CN"/>
        </w:rPr>
        <w:t>和经济社会发展，</w:t>
      </w:r>
      <w:r>
        <w:rPr>
          <w:rFonts w:hint="eastAsia" w:ascii="仿宋_GB2312" w:hAnsi="仿宋_GB2312" w:eastAsia="仿宋_GB2312"/>
          <w:color w:val="000000"/>
          <w:kern w:val="2"/>
          <w:sz w:val="32"/>
          <w:szCs w:val="32"/>
          <w:highlight w:val="none"/>
          <w:lang w:val="en-US" w:eastAsia="zh-CN"/>
        </w:rPr>
        <w:t>主要经济指标保持平稳增长。全年</w:t>
      </w:r>
      <w:r>
        <w:rPr>
          <w:rFonts w:hint="eastAsia" w:ascii="仿宋_GB2312" w:hAnsi="仿宋_GB2312" w:eastAsia="仿宋_GB2312" w:cs="仿宋_GB2312"/>
          <w:b w:val="0"/>
          <w:bCs w:val="0"/>
          <w:kern w:val="2"/>
          <w:sz w:val="32"/>
          <w:szCs w:val="32"/>
          <w:highlight w:val="none"/>
        </w:rPr>
        <w:t>预计实现地区生产总值</w:t>
      </w:r>
      <w:r>
        <w:rPr>
          <w:rFonts w:hint="eastAsia" w:ascii="仿宋_GB2312" w:hAnsi="仿宋_GB2312" w:eastAsia="仿宋_GB2312" w:cs="仿宋_GB2312"/>
          <w:b w:val="0"/>
          <w:bCs w:val="0"/>
          <w:kern w:val="2"/>
          <w:sz w:val="32"/>
          <w:szCs w:val="32"/>
          <w:highlight w:val="none"/>
          <w:lang w:val="en-US" w:eastAsia="zh-CN"/>
        </w:rPr>
        <w:t>80.57</w:t>
      </w:r>
      <w:r>
        <w:rPr>
          <w:rFonts w:hint="eastAsia" w:ascii="仿宋_GB2312" w:hAnsi="仿宋_GB2312" w:eastAsia="仿宋_GB2312" w:cs="仿宋_GB2312"/>
          <w:b w:val="0"/>
          <w:bCs w:val="0"/>
          <w:kern w:val="2"/>
          <w:sz w:val="32"/>
          <w:szCs w:val="32"/>
          <w:highlight w:val="none"/>
        </w:rPr>
        <w:t>亿元，同比增长</w:t>
      </w:r>
      <w:r>
        <w:rPr>
          <w:rFonts w:hint="eastAsia" w:ascii="仿宋_GB2312" w:hAnsi="仿宋_GB2312" w:eastAsia="仿宋_GB2312" w:cs="仿宋_GB2312"/>
          <w:b w:val="0"/>
          <w:bCs w:val="0"/>
          <w:kern w:val="2"/>
          <w:sz w:val="32"/>
          <w:szCs w:val="32"/>
          <w:highlight w:val="none"/>
          <w:lang w:val="en-US" w:eastAsia="zh-CN"/>
        </w:rPr>
        <w:t>6.5</w:t>
      </w:r>
      <w:r>
        <w:rPr>
          <w:rFonts w:hint="eastAsia" w:ascii="仿宋_GB2312" w:hAnsi="仿宋_GB2312" w:eastAsia="仿宋_GB2312" w:cs="仿宋_GB2312"/>
          <w:b w:val="0"/>
          <w:bCs w:val="0"/>
          <w:kern w:val="2"/>
          <w:sz w:val="32"/>
          <w:szCs w:val="32"/>
          <w:highlight w:val="none"/>
        </w:rPr>
        <w:t>%；</w:t>
      </w:r>
      <w:r>
        <w:rPr>
          <w:rFonts w:hint="eastAsia" w:ascii="仿宋_GB2312" w:hAnsi="仿宋_GB2312" w:eastAsia="仿宋_GB2312" w:cs="仿宋_GB2312"/>
          <w:b w:val="0"/>
          <w:bCs w:val="0"/>
          <w:kern w:val="2"/>
          <w:sz w:val="32"/>
          <w:szCs w:val="32"/>
          <w:highlight w:val="none"/>
          <w:lang w:eastAsia="zh-CN"/>
        </w:rPr>
        <w:t>规上</w:t>
      </w:r>
      <w:r>
        <w:rPr>
          <w:rFonts w:hint="eastAsia" w:ascii="仿宋_GB2312" w:hAnsi="仿宋_GB2312" w:eastAsia="仿宋_GB2312" w:cs="仿宋_GB2312"/>
          <w:b w:val="0"/>
          <w:bCs w:val="0"/>
          <w:kern w:val="2"/>
          <w:sz w:val="32"/>
          <w:szCs w:val="32"/>
        </w:rPr>
        <w:t>工业总产值</w:t>
      </w:r>
      <w:r>
        <w:rPr>
          <w:rFonts w:hint="eastAsia" w:ascii="仿宋_GB2312" w:hAnsi="仿宋_GB2312" w:eastAsia="仿宋_GB2312" w:cs="仿宋_GB2312"/>
          <w:b w:val="0"/>
          <w:bCs w:val="0"/>
          <w:kern w:val="2"/>
          <w:sz w:val="32"/>
          <w:szCs w:val="32"/>
          <w:lang w:val="en-US" w:eastAsia="zh-CN"/>
        </w:rPr>
        <w:t>138</w:t>
      </w:r>
      <w:r>
        <w:rPr>
          <w:rFonts w:hint="eastAsia" w:ascii="仿宋_GB2312" w:hAnsi="仿宋_GB2312" w:eastAsia="仿宋_GB2312" w:cs="仿宋_GB2312"/>
          <w:b w:val="0"/>
          <w:bCs w:val="0"/>
          <w:kern w:val="2"/>
          <w:sz w:val="32"/>
          <w:szCs w:val="32"/>
        </w:rPr>
        <w:t>亿</w:t>
      </w:r>
      <w:r>
        <w:rPr>
          <w:rFonts w:hint="eastAsia" w:ascii="仿宋_GB2312" w:hAnsi="仿宋_GB2312" w:eastAsia="仿宋_GB2312"/>
          <w:color w:val="000000"/>
          <w:kern w:val="2"/>
          <w:sz w:val="32"/>
          <w:szCs w:val="32"/>
          <w:highlight w:val="none"/>
          <w:lang w:val="en-US" w:eastAsia="zh-CN"/>
        </w:rPr>
        <w:t>元，同比增长8.6%；全社会固定资产投资18.08亿元，其中工业投资12亿元，服务业投资5.3亿元；同口径一般公共预算收入完成4.35亿元</w:t>
      </w:r>
      <w:r>
        <w:rPr>
          <w:rFonts w:hint="eastAsia" w:ascii="仿宋_GB2312" w:hAnsi="仿宋_GB2312" w:eastAsia="仿宋_GB2312" w:cs="仿宋_GB2312"/>
          <w:b w:val="0"/>
          <w:bCs w:val="0"/>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highlight w:val="none"/>
          <w:lang w:val="en-US" w:eastAsia="zh-CN"/>
        </w:rPr>
        <w:t>二是</w:t>
      </w:r>
      <w:r>
        <w:rPr>
          <w:rFonts w:hint="eastAsia" w:ascii="楷体_GB2312" w:hAnsi="楷体_GB2312" w:eastAsia="楷体_GB2312" w:cs="楷体_GB2312"/>
          <w:kern w:val="2"/>
          <w:sz w:val="32"/>
          <w:szCs w:val="32"/>
          <w:highlight w:val="none"/>
        </w:rPr>
        <w:t>产业支撑</w:t>
      </w:r>
      <w:r>
        <w:rPr>
          <w:rFonts w:hint="eastAsia" w:ascii="楷体_GB2312" w:hAnsi="楷体_GB2312" w:eastAsia="楷体_GB2312" w:cs="楷体_GB2312"/>
          <w:kern w:val="2"/>
          <w:sz w:val="32"/>
          <w:szCs w:val="32"/>
          <w:highlight w:val="none"/>
          <w:lang w:eastAsia="zh-CN"/>
        </w:rPr>
        <w:t>坚实</w:t>
      </w:r>
      <w:r>
        <w:rPr>
          <w:rFonts w:hint="eastAsia" w:ascii="楷体_GB2312" w:hAnsi="楷体_GB2312" w:eastAsia="楷体_GB2312" w:cs="楷体_GB2312"/>
          <w:kern w:val="2"/>
          <w:sz w:val="32"/>
          <w:szCs w:val="32"/>
          <w:highlight w:val="none"/>
        </w:rPr>
        <w:t>有力。</w:t>
      </w:r>
      <w:r>
        <w:rPr>
          <w:rFonts w:hint="eastAsia" w:ascii="仿宋_GB2312" w:hAnsi="仿宋_GB2312" w:eastAsia="仿宋_GB2312" w:cs="仿宋_GB2312"/>
          <w:b w:val="0"/>
          <w:bCs w:val="0"/>
          <w:kern w:val="2"/>
          <w:sz w:val="32"/>
          <w:szCs w:val="32"/>
          <w:highlight w:val="none"/>
          <w:lang w:val="en-US" w:eastAsia="zh-CN"/>
        </w:rPr>
        <w:t>聚焦优质企业培育，全年认定</w:t>
      </w:r>
      <w:r>
        <w:rPr>
          <w:rFonts w:hint="eastAsia" w:ascii="仿宋_GB2312" w:hAnsi="仿宋_GB2312" w:eastAsia="仿宋_GB2312" w:cs="仿宋_GB2312"/>
          <w:b w:val="0"/>
          <w:bCs w:val="0"/>
          <w:color w:val="auto"/>
          <w:kern w:val="2"/>
          <w:sz w:val="32"/>
          <w:szCs w:val="32"/>
          <w:highlight w:val="none"/>
          <w:lang w:val="en-US" w:eastAsia="zh-CN"/>
        </w:rPr>
        <w:t>省级</w:t>
      </w:r>
      <w:r>
        <w:rPr>
          <w:rFonts w:hint="eastAsia" w:ascii="仿宋_GB2312" w:hAnsi="仿宋_GB2312" w:eastAsia="仿宋_GB2312" w:cs="仿宋_GB2312"/>
          <w:b w:val="0"/>
          <w:bCs w:val="0"/>
          <w:kern w:val="2"/>
          <w:sz w:val="32"/>
          <w:szCs w:val="32"/>
          <w:highlight w:val="none"/>
        </w:rPr>
        <w:t>“专精特新”企</w:t>
      </w:r>
      <w:r>
        <w:rPr>
          <w:rFonts w:hint="eastAsia" w:ascii="仿宋_GB2312" w:hAnsi="仿宋_GB2312" w:eastAsia="仿宋_GB2312" w:cs="仿宋_GB2312"/>
          <w:b w:val="0"/>
          <w:bCs w:val="0"/>
          <w:kern w:val="2"/>
          <w:sz w:val="32"/>
          <w:szCs w:val="32"/>
          <w:highlight w:val="none"/>
          <w:lang w:val="en-US" w:eastAsia="zh-CN"/>
        </w:rPr>
        <w:t>业2家，四星级上云企业10家。</w:t>
      </w:r>
      <w:r>
        <w:rPr>
          <w:rFonts w:hint="eastAsia" w:ascii="仿宋_GB2312" w:hAnsi="仿宋_GB2312" w:eastAsia="仿宋_GB2312" w:cs="仿宋_GB2312"/>
          <w:kern w:val="2"/>
          <w:sz w:val="32"/>
          <w:szCs w:val="32"/>
          <w:highlight w:val="none"/>
          <w:lang w:val="en-US" w:eastAsia="zh-CN"/>
        </w:rPr>
        <w:t>重点行业发展势头良好，</w:t>
      </w:r>
      <w:r>
        <w:rPr>
          <w:rFonts w:hint="eastAsia" w:ascii="仿宋_GB2312" w:hAnsi="仿宋_GB2312" w:eastAsia="仿宋_GB2312" w:cs="仿宋_GB2312"/>
          <w:b w:val="0"/>
          <w:bCs w:val="0"/>
          <w:kern w:val="2"/>
          <w:sz w:val="32"/>
          <w:szCs w:val="32"/>
          <w:highlight w:val="none"/>
          <w:lang w:val="en-US" w:eastAsia="zh-CN"/>
        </w:rPr>
        <w:t>新材料行业、刀工具行业预计全年分别实现销售50.52亿元、53.12亿元，同比增长4.1%、5.2%。全年新增5家销售超亿元企业，规上工业企业净增9家，总数累计达113家，宏</w:t>
      </w:r>
      <w:r>
        <w:rPr>
          <w:rFonts w:hint="eastAsia" w:ascii="仿宋_GB2312" w:hAnsi="仿宋_GB2312" w:eastAsia="仿宋_GB2312" w:cs="仿宋_GB2312"/>
          <w:bCs/>
          <w:kern w:val="2"/>
          <w:sz w:val="32"/>
          <w:szCs w:val="32"/>
          <w:lang w:val="en-US" w:eastAsia="zh-CN"/>
        </w:rPr>
        <w:t>发纵横、</w:t>
      </w:r>
      <w:r>
        <w:rPr>
          <w:rFonts w:hint="eastAsia" w:ascii="仿宋_GB2312" w:hAnsi="仿宋_GB2312" w:eastAsia="仿宋_GB2312" w:cs="仿宋_GB2312"/>
          <w:b w:val="0"/>
          <w:bCs w:val="0"/>
          <w:kern w:val="2"/>
          <w:sz w:val="32"/>
          <w:szCs w:val="32"/>
          <w:highlight w:val="none"/>
          <w:lang w:val="en-US" w:eastAsia="zh-CN"/>
        </w:rPr>
        <w:t>金牛研磨</w:t>
      </w:r>
      <w:r>
        <w:rPr>
          <w:rFonts w:hint="eastAsia" w:ascii="仿宋_GB2312" w:hAnsi="仿宋_GB2312" w:eastAsia="仿宋_GB2312" w:cs="仿宋_GB2312"/>
          <w:bCs/>
          <w:kern w:val="2"/>
          <w:sz w:val="32"/>
          <w:szCs w:val="32"/>
          <w:lang w:val="en-US" w:eastAsia="zh-CN"/>
        </w:rPr>
        <w:t>等</w:t>
      </w:r>
      <w:r>
        <w:rPr>
          <w:rFonts w:hint="eastAsia" w:ascii="仿宋_GB2312" w:hAnsi="仿宋_GB2312" w:eastAsia="仿宋_GB2312" w:cs="仿宋_GB2312"/>
          <w:bCs/>
          <w:kern w:val="2"/>
          <w:sz w:val="32"/>
          <w:szCs w:val="32"/>
        </w:rPr>
        <w:t>龙头企业引领作用不断增强</w:t>
      </w:r>
      <w:r>
        <w:rPr>
          <w:rFonts w:hint="eastAsia" w:ascii="仿宋_GB2312" w:hAnsi="仿宋_GB2312" w:eastAsia="仿宋_GB2312" w:cs="仿宋_GB2312"/>
          <w:bCs/>
          <w:kern w:val="2"/>
          <w:sz w:val="32"/>
          <w:szCs w:val="32"/>
          <w:lang w:val="en-US" w:eastAsia="zh-CN"/>
        </w:rPr>
        <w:t>。西夏墅镇商会获评全国“四好”商会，西</w:t>
      </w:r>
      <w:r>
        <w:rPr>
          <w:rFonts w:hint="eastAsia" w:ascii="仿宋_GB2312" w:hAnsi="仿宋_GB2312" w:eastAsia="仿宋_GB2312" w:cs="仿宋_GB2312"/>
          <w:kern w:val="2"/>
          <w:sz w:val="32"/>
          <w:szCs w:val="32"/>
          <w:highlight w:val="none"/>
          <w:lang w:val="en-US" w:eastAsia="zh-CN" w:bidi="ar-SA"/>
        </w:rPr>
        <w:t>夏墅</w:t>
      </w:r>
      <w:r>
        <w:rPr>
          <w:rFonts w:hint="eastAsia" w:ascii="仿宋_GB2312" w:hAnsi="仿宋_GB2312" w:eastAsia="仿宋_GB2312" w:cs="仿宋_GB2312"/>
          <w:b w:val="0"/>
          <w:bCs/>
          <w:kern w:val="2"/>
          <w:sz w:val="32"/>
          <w:szCs w:val="32"/>
          <w:highlight w:val="none"/>
          <w:lang w:val="en-US" w:eastAsia="zh-CN"/>
        </w:rPr>
        <w:t>工具小镇智能智造服务集聚区获评市级现代服务业集聚发展示范区，</w:t>
      </w:r>
      <w:r>
        <w:rPr>
          <w:rFonts w:hint="eastAsia" w:ascii="仿宋_GB2312" w:hAnsi="仿宋_GB2312" w:eastAsia="仿宋_GB2312" w:cs="仿宋_GB2312"/>
          <w:kern w:val="2"/>
          <w:sz w:val="32"/>
          <w:szCs w:val="32"/>
          <w:lang w:val="en-US" w:eastAsia="zh-CN"/>
        </w:rPr>
        <w:t>实现</w:t>
      </w:r>
      <w:r>
        <w:rPr>
          <w:rFonts w:hint="eastAsia" w:ascii="仿宋_GB2312" w:hAnsi="仿宋_GB2312" w:eastAsia="仿宋_GB2312" w:cs="仿宋_GB2312"/>
          <w:color w:val="000000"/>
          <w:kern w:val="2"/>
          <w:sz w:val="32"/>
          <w:szCs w:val="32"/>
        </w:rPr>
        <w:t>服务业增加</w:t>
      </w:r>
      <w:r>
        <w:rPr>
          <w:rFonts w:hint="eastAsia" w:ascii="仿宋_GB2312" w:hAnsi="仿宋_GB2312" w:eastAsia="仿宋_GB2312" w:cs="仿宋_GB2312"/>
          <w:kern w:val="2"/>
          <w:sz w:val="32"/>
          <w:szCs w:val="32"/>
          <w:lang w:val="en-US" w:eastAsia="zh-CN"/>
        </w:rPr>
        <w:t>值30亿元。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color w:val="auto"/>
          <w:kern w:val="2"/>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rPr>
        <w:t>三是</w:t>
      </w:r>
      <w:r>
        <w:rPr>
          <w:rFonts w:hint="eastAsia" w:ascii="楷体_GB2312" w:hAnsi="楷体_GB2312" w:eastAsia="楷体_GB2312" w:cs="楷体_GB2312"/>
          <w:kern w:val="2"/>
          <w:sz w:val="32"/>
          <w:szCs w:val="32"/>
          <w:highlight w:val="none"/>
        </w:rPr>
        <w:t>项目</w:t>
      </w:r>
      <w:r>
        <w:rPr>
          <w:rFonts w:hint="eastAsia" w:ascii="楷体_GB2312" w:hAnsi="楷体_GB2312" w:eastAsia="楷体_GB2312" w:cs="楷体_GB2312"/>
          <w:kern w:val="2"/>
          <w:sz w:val="32"/>
          <w:szCs w:val="32"/>
          <w:highlight w:val="none"/>
          <w:lang w:eastAsia="zh-CN"/>
        </w:rPr>
        <w:t>建设量质并举</w:t>
      </w:r>
      <w:r>
        <w:rPr>
          <w:rFonts w:hint="eastAsia" w:ascii="楷体_GB2312" w:hAnsi="楷体_GB2312" w:eastAsia="楷体_GB2312" w:cs="楷体_GB2312"/>
          <w:kern w:val="2"/>
          <w:sz w:val="32"/>
          <w:szCs w:val="32"/>
          <w:highlight w:val="none"/>
        </w:rPr>
        <w:t>。</w:t>
      </w:r>
      <w:r>
        <w:rPr>
          <w:rFonts w:hint="eastAsia" w:ascii="仿宋_GB2312" w:hAnsi="仿宋_GB2312" w:eastAsia="仿宋_GB2312" w:cs="仿宋_GB2312"/>
          <w:b w:val="0"/>
          <w:bCs w:val="0"/>
          <w:kern w:val="2"/>
          <w:sz w:val="32"/>
          <w:szCs w:val="32"/>
          <w:highlight w:val="none"/>
          <w:lang w:val="en-US" w:eastAsia="zh-CN"/>
        </w:rPr>
        <w:t>引进新湖印染、沙特卡、东辰汽车等5个项目，9个市、区重点项目</w:t>
      </w:r>
      <w:r>
        <w:rPr>
          <w:rFonts w:hint="eastAsia" w:ascii="仿宋_GB2312" w:eastAsia="仿宋_GB2312"/>
          <w:kern w:val="2"/>
          <w:sz w:val="32"/>
          <w:szCs w:val="32"/>
        </w:rPr>
        <w:t>全部按时序进度推进</w:t>
      </w:r>
      <w:r>
        <w:rPr>
          <w:rFonts w:hint="eastAsia" w:ascii="仿宋_GB2312" w:hAnsi="仿宋_GB2312" w:eastAsia="仿宋_GB2312" w:cs="仿宋_GB2312"/>
          <w:b w:val="0"/>
          <w:bCs w:val="0"/>
          <w:kern w:val="2"/>
          <w:sz w:val="32"/>
          <w:szCs w:val="32"/>
          <w:highlight w:val="none"/>
          <w:lang w:val="en-US" w:eastAsia="zh-CN"/>
        </w:rPr>
        <w:t>，</w:t>
      </w:r>
      <w:r>
        <w:rPr>
          <w:rFonts w:hint="eastAsia" w:ascii="仿宋_GB2312" w:eastAsia="仿宋_GB2312"/>
          <w:kern w:val="2"/>
          <w:sz w:val="32"/>
          <w:szCs w:val="32"/>
        </w:rPr>
        <w:t>投资额达15.5亿元，其中当年投资8.7亿元。</w:t>
      </w:r>
      <w:r>
        <w:rPr>
          <w:rFonts w:hint="eastAsia" w:ascii="仿宋_GB2312" w:hAnsi="仿宋_GB2312" w:eastAsia="仿宋_GB2312" w:cs="仿宋_GB2312"/>
          <w:b w:val="0"/>
          <w:bCs w:val="0"/>
          <w:kern w:val="2"/>
          <w:sz w:val="32"/>
          <w:szCs w:val="32"/>
          <w:highlight w:val="none"/>
          <w:lang w:val="en-US" w:eastAsia="zh-CN"/>
        </w:rPr>
        <w:t>粤商工具、金牛研磨等4个项目已竣工验收，德利斯护理用品等5个新建项目稳步推进。加速纺织印染园区转型升级，</w:t>
      </w:r>
      <w:r>
        <w:rPr>
          <w:rFonts w:hint="eastAsia" w:ascii="仿宋_GB2312" w:hAnsi="仿宋_GB2312" w:eastAsia="仿宋_GB2312" w:cs="仿宋_GB2312"/>
          <w:bCs/>
          <w:color w:val="auto"/>
          <w:kern w:val="2"/>
          <w:sz w:val="32"/>
          <w:szCs w:val="32"/>
          <w:highlight w:val="none"/>
          <w:lang w:val="en-US" w:eastAsia="zh-CN"/>
        </w:rPr>
        <w:t>“一企一策”制定整改方案，推动行业整治提升，促进可持续发展。</w:t>
      </w:r>
      <w:r>
        <w:rPr>
          <w:rFonts w:hint="eastAsia" w:ascii="仿宋_GB2312" w:hAnsi="仿宋_GB2312" w:eastAsia="仿宋_GB2312" w:cs="仿宋_GB2312"/>
          <w:b w:val="0"/>
          <w:bCs w:val="0"/>
          <w:kern w:val="2"/>
          <w:sz w:val="32"/>
          <w:szCs w:val="32"/>
          <w:highlight w:val="none"/>
          <w:lang w:val="en-US" w:eastAsia="zh-CN"/>
        </w:rPr>
        <w:t>专班推进320亩工业用地提质增效，连片盘活君斯特、美格地块，亩均效益进一步提高。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楷体_GB2312" w:hAnsi="楷体_GB2312" w:eastAsia="楷体_GB2312" w:cs="楷体_GB2312"/>
          <w:kern w:val="2"/>
          <w:sz w:val="32"/>
          <w:szCs w:val="32"/>
          <w:highlight w:val="none"/>
          <w:lang w:val="en-US" w:eastAsia="zh-CN"/>
        </w:rPr>
        <w:t>四是</w:t>
      </w:r>
      <w:r>
        <w:rPr>
          <w:rFonts w:hint="eastAsia" w:ascii="楷体_GB2312" w:hAnsi="楷体_GB2312" w:eastAsia="楷体_GB2312" w:cs="楷体_GB2312"/>
          <w:kern w:val="2"/>
          <w:sz w:val="32"/>
          <w:szCs w:val="32"/>
          <w:highlight w:val="none"/>
          <w:lang w:eastAsia="zh-CN"/>
        </w:rPr>
        <w:t>创新动能持续释放</w:t>
      </w:r>
      <w:r>
        <w:rPr>
          <w:rFonts w:hint="eastAsia" w:ascii="楷体_GB2312" w:hAnsi="楷体_GB2312" w:eastAsia="楷体_GB2312" w:cs="楷体_GB2312"/>
          <w:kern w:val="2"/>
          <w:sz w:val="32"/>
          <w:szCs w:val="32"/>
          <w:highlight w:val="none"/>
        </w:rPr>
        <w:t>。</w:t>
      </w:r>
      <w:r>
        <w:rPr>
          <w:rFonts w:hint="eastAsia" w:ascii="仿宋_GB2312" w:hAnsi="仿宋_GB2312" w:eastAsia="仿宋_GB2312" w:cs="仿宋_GB2312"/>
          <w:b w:val="0"/>
          <w:bCs w:val="0"/>
          <w:color w:val="auto"/>
          <w:kern w:val="2"/>
          <w:sz w:val="32"/>
          <w:szCs w:val="32"/>
          <w:highlight w:val="none"/>
          <w:lang w:val="en-US" w:eastAsia="zh-CN"/>
        </w:rPr>
        <w:t>加快推进创新要素集聚，强化科技人才招引力度，创新质效显著增强，科技工作考核全区第一。国家级科技企业孵化器西夏墅工具产业创业服务中心被科技部火炬中心评定为优秀，西夏墅工具研</w:t>
      </w:r>
      <w:r>
        <w:rPr>
          <w:rFonts w:hint="eastAsia" w:ascii="仿宋_GB2312" w:hAnsi="仿宋_GB2312" w:eastAsia="仿宋_GB2312" w:cs="仿宋_GB2312"/>
          <w:b w:val="0"/>
          <w:bCs w:val="0"/>
          <w:kern w:val="2"/>
          <w:sz w:val="32"/>
          <w:szCs w:val="32"/>
          <w:highlight w:val="none"/>
          <w:lang w:val="en-US" w:eastAsia="zh-CN"/>
        </w:rPr>
        <w:t>究院孵化器成功认定为省级科技企业孵化器，新增</w:t>
      </w:r>
      <w:r>
        <w:rPr>
          <w:rFonts w:hint="eastAsia" w:ascii="仿宋_GB2312" w:hAnsi="仿宋_GB2312" w:eastAsia="仿宋_GB2312" w:cs="仿宋_GB2312"/>
          <w:b w:val="0"/>
          <w:bCs w:val="0"/>
          <w:color w:val="auto"/>
          <w:kern w:val="2"/>
          <w:sz w:val="32"/>
          <w:szCs w:val="32"/>
          <w:highlight w:val="none"/>
          <w:lang w:val="en-US" w:eastAsia="zh-CN"/>
        </w:rPr>
        <w:t>省级工程技术研究中心2家，净增高新技术企业25家。认定高新技术产品35只，促进产学研合作成果转化12项。</w:t>
      </w:r>
      <w:r>
        <w:rPr>
          <w:rFonts w:hint="eastAsia" w:ascii="仿宋_GB2312" w:hAnsi="仿宋_GB2312" w:eastAsia="仿宋_GB2312" w:cs="仿宋_GB2312"/>
          <w:b w:val="0"/>
          <w:bCs w:val="0"/>
          <w:color w:val="auto"/>
          <w:kern w:val="2"/>
          <w:sz w:val="32"/>
          <w:szCs w:val="32"/>
          <w:highlight w:val="none"/>
          <w:lang w:eastAsia="zh-CN"/>
        </w:rPr>
        <w:t>加强招才引智工作，</w:t>
      </w:r>
      <w:r>
        <w:rPr>
          <w:rFonts w:hint="eastAsia" w:ascii="仿宋_GB2312" w:hAnsi="仿宋_GB2312" w:eastAsia="仿宋_GB2312" w:cs="仿宋_GB2312"/>
          <w:b w:val="0"/>
          <w:bCs w:val="0"/>
          <w:color w:val="auto"/>
          <w:kern w:val="2"/>
          <w:sz w:val="32"/>
          <w:szCs w:val="32"/>
          <w:highlight w:val="none"/>
        </w:rPr>
        <w:t>引进HW人才12人，龙城英才计划认定</w:t>
      </w:r>
      <w:r>
        <w:rPr>
          <w:rFonts w:hint="eastAsia" w:ascii="仿宋_GB2312" w:hAnsi="仿宋_GB2312" w:eastAsia="仿宋_GB2312" w:cs="仿宋_GB2312"/>
          <w:b w:val="0"/>
          <w:bCs w:val="0"/>
          <w:color w:val="auto"/>
          <w:kern w:val="2"/>
          <w:sz w:val="32"/>
          <w:szCs w:val="32"/>
          <w:highlight w:val="none"/>
          <w:lang w:val="en-US" w:eastAsia="zh-CN"/>
        </w:rPr>
        <w:t>7</w:t>
      </w:r>
      <w:r>
        <w:rPr>
          <w:rFonts w:hint="eastAsia" w:ascii="仿宋_GB2312" w:hAnsi="仿宋_GB2312" w:eastAsia="仿宋_GB2312" w:cs="仿宋_GB2312"/>
          <w:b w:val="0"/>
          <w:bCs w:val="0"/>
          <w:color w:val="auto"/>
          <w:kern w:val="2"/>
          <w:sz w:val="32"/>
          <w:szCs w:val="32"/>
          <w:highlight w:val="none"/>
        </w:rPr>
        <w:t>人</w:t>
      </w:r>
      <w:r>
        <w:rPr>
          <w:rFonts w:hint="eastAsia" w:ascii="仿宋_GB2312" w:hAnsi="仿宋_GB2312" w:eastAsia="仿宋_GB2312" w:cs="仿宋_GB2312"/>
          <w:b w:val="0"/>
          <w:bCs w:val="0"/>
          <w:color w:val="auto"/>
          <w:kern w:val="2"/>
          <w:sz w:val="32"/>
          <w:szCs w:val="32"/>
          <w:highlight w:val="none"/>
          <w:lang w:eastAsia="zh-CN"/>
        </w:rPr>
        <w:t>。积极</w:t>
      </w:r>
      <w:r>
        <w:rPr>
          <w:rFonts w:hint="eastAsia" w:ascii="仿宋_GB2312" w:hAnsi="仿宋_GB2312" w:eastAsia="仿宋_GB2312" w:cs="仿宋_GB2312"/>
          <w:b w:val="0"/>
          <w:bCs w:val="0"/>
          <w:kern w:val="2"/>
          <w:sz w:val="32"/>
          <w:szCs w:val="32"/>
          <w:lang w:eastAsia="zh-CN"/>
        </w:rPr>
        <w:t>推进</w:t>
      </w:r>
      <w:r>
        <w:rPr>
          <w:rFonts w:hint="eastAsia" w:ascii="仿宋_GB2312" w:hAnsi="仿宋_GB2312" w:eastAsia="仿宋_GB2312" w:cs="仿宋_GB2312"/>
          <w:b w:val="0"/>
          <w:bCs w:val="0"/>
          <w:kern w:val="2"/>
          <w:sz w:val="32"/>
          <w:szCs w:val="32"/>
          <w:lang w:val="en-US" w:eastAsia="zh-CN"/>
        </w:rPr>
        <w:t>志伟、美墅</w:t>
      </w:r>
      <w:r>
        <w:rPr>
          <w:rFonts w:hint="eastAsia" w:ascii="仿宋_GB2312" w:hAnsi="仿宋_GB2312" w:eastAsia="仿宋_GB2312" w:cs="仿宋_GB2312"/>
          <w:b w:val="0"/>
          <w:bCs w:val="0"/>
          <w:kern w:val="2"/>
          <w:sz w:val="32"/>
          <w:szCs w:val="32"/>
          <w:lang w:eastAsia="zh-CN"/>
        </w:rPr>
        <w:t>人才公寓建设，新增人才公寓</w:t>
      </w:r>
      <w:r>
        <w:rPr>
          <w:rFonts w:hint="eastAsia" w:ascii="仿宋_GB2312" w:hAnsi="仿宋_GB2312" w:eastAsia="仿宋_GB2312" w:cs="仿宋_GB2312"/>
          <w:b w:val="0"/>
          <w:bCs w:val="0"/>
          <w:kern w:val="2"/>
          <w:sz w:val="32"/>
          <w:szCs w:val="32"/>
          <w:lang w:val="en-US" w:eastAsia="zh-CN"/>
        </w:rPr>
        <w:t>700余套。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黑体" w:cs="仿宋_GB2312"/>
          <w:kern w:val="2"/>
          <w:sz w:val="32"/>
          <w:szCs w:val="32"/>
          <w:highlight w:val="none"/>
          <w:lang w:eastAsia="zh-CN"/>
        </w:rPr>
      </w:pPr>
      <w:r>
        <w:rPr>
          <w:rFonts w:hint="eastAsia" w:ascii="黑体" w:hAnsi="黑体" w:eastAsia="黑体" w:cs="黑体"/>
          <w:kern w:val="2"/>
          <w:sz w:val="32"/>
          <w:szCs w:val="32"/>
          <w:highlight w:val="none"/>
          <w:lang w:val="en-US" w:eastAsia="zh-CN"/>
        </w:rPr>
        <w:t>二、</w:t>
      </w:r>
      <w:r>
        <w:rPr>
          <w:rFonts w:hint="eastAsia" w:ascii="黑体" w:hAnsi="黑体" w:eastAsia="黑体" w:cs="黑体"/>
          <w:kern w:val="2"/>
          <w:sz w:val="32"/>
          <w:szCs w:val="32"/>
          <w:highlight w:val="none"/>
          <w:lang w:eastAsia="zh-CN"/>
        </w:rPr>
        <w:t>聚焦强基础、优环境</w:t>
      </w:r>
      <w:r>
        <w:rPr>
          <w:rFonts w:hint="eastAsia" w:ascii="黑体" w:hAnsi="黑体" w:eastAsia="黑体" w:cs="黑体"/>
          <w:kern w:val="2"/>
          <w:sz w:val="32"/>
          <w:szCs w:val="32"/>
          <w:highlight w:val="none"/>
        </w:rPr>
        <w:t>，城乡融合</w:t>
      </w:r>
      <w:r>
        <w:rPr>
          <w:rFonts w:hint="eastAsia" w:ascii="黑体" w:hAnsi="黑体" w:eastAsia="黑体" w:cs="黑体"/>
          <w:kern w:val="2"/>
          <w:sz w:val="32"/>
          <w:szCs w:val="32"/>
          <w:highlight w:val="none"/>
          <w:lang w:eastAsia="zh-CN"/>
        </w:rPr>
        <w:t>步伐不断加快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坚持农业农村优先发展，提升城镇内涵品质，建设宜居宜业和美小镇。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pPr>
      <w:r>
        <w:rPr>
          <w:rFonts w:hint="eastAsia" w:ascii="楷体_GB2312" w:hAnsi="楷体_GB2312" w:eastAsia="楷体_GB2312" w:cs="楷体_GB2312"/>
          <w:kern w:val="2"/>
          <w:sz w:val="32"/>
          <w:szCs w:val="32"/>
          <w:highlight w:val="none"/>
          <w:lang w:val="en-US" w:eastAsia="zh-CN"/>
        </w:rPr>
        <w:t>一是</w:t>
      </w:r>
      <w:r>
        <w:rPr>
          <w:rFonts w:hint="eastAsia" w:ascii="楷体_GB2312" w:hAnsi="楷体_GB2312" w:eastAsia="楷体_GB2312" w:cs="楷体_GB2312"/>
          <w:kern w:val="2"/>
          <w:sz w:val="32"/>
          <w:szCs w:val="32"/>
          <w:highlight w:val="none"/>
        </w:rPr>
        <w:t>现代农业发展</w:t>
      </w:r>
      <w:r>
        <w:rPr>
          <w:rFonts w:hint="eastAsia" w:ascii="楷体_GB2312" w:hAnsi="楷体_GB2312" w:eastAsia="楷体_GB2312" w:cs="楷体_GB2312"/>
          <w:kern w:val="2"/>
          <w:sz w:val="32"/>
          <w:szCs w:val="32"/>
          <w:highlight w:val="none"/>
          <w:lang w:val="en-US" w:eastAsia="zh-CN"/>
        </w:rPr>
        <w:t>蹄疾步稳</w:t>
      </w:r>
      <w:r>
        <w:rPr>
          <w:rFonts w:hint="eastAsia" w:ascii="楷体_GB2312" w:hAnsi="楷体_GB2312" w:eastAsia="楷体_GB2312" w:cs="楷体_GB2312"/>
          <w:kern w:val="2"/>
          <w:sz w:val="32"/>
          <w:szCs w:val="32"/>
          <w:highlight w:val="none"/>
        </w:rPr>
        <w:t>。</w:t>
      </w:r>
      <w:r>
        <w:rPr>
          <w:rFonts w:hint="eastAsia" w:ascii="仿宋_GB2312" w:hAnsi="仿宋_GB2312" w:eastAsia="仿宋_GB2312" w:cs="仿宋_GB2312"/>
          <w:b w:val="0"/>
          <w:bCs w:val="0"/>
          <w:color w:val="auto"/>
          <w:kern w:val="2"/>
          <w:sz w:val="32"/>
          <w:szCs w:val="32"/>
          <w:lang w:val="en-US" w:eastAsia="zh-CN"/>
        </w:rPr>
        <w:t>有序推进省级农业产业示范园创建工作，完成</w:t>
      </w:r>
      <w:r>
        <w:rPr>
          <w:rFonts w:hint="eastAsia" w:ascii="仿宋_GB2312" w:hAnsi="仿宋_GB2312" w:eastAsia="仿宋_GB2312" w:cs="仿宋_GB2312"/>
          <w:b w:val="0"/>
          <w:bCs w:val="0"/>
          <w:kern w:val="2"/>
          <w:sz w:val="32"/>
          <w:szCs w:val="32"/>
          <w:highlight w:val="none"/>
          <w:lang w:val="en-US" w:eastAsia="zh-CN"/>
        </w:rPr>
        <w:t>育秧中心、稻米烘干中心</w:t>
      </w:r>
      <w:r>
        <w:rPr>
          <w:rFonts w:hint="eastAsia" w:ascii="仿宋_GB2312" w:hAnsi="仿宋_GB2312" w:eastAsia="仿宋_GB2312" w:cs="仿宋_GB2312"/>
          <w:b w:val="0"/>
          <w:bCs w:val="0"/>
          <w:color w:val="auto"/>
          <w:kern w:val="2"/>
          <w:sz w:val="32"/>
          <w:szCs w:val="32"/>
          <w:lang w:val="en-US" w:eastAsia="zh-CN"/>
        </w:rPr>
        <w:t>等8个二期项目验收审计，新建</w:t>
      </w:r>
      <w:r>
        <w:rPr>
          <w:rFonts w:hint="eastAsia" w:ascii="仿宋_GB2312" w:hAnsi="仿宋_GB2312" w:eastAsia="仿宋_GB2312" w:cs="仿宋_GB2312"/>
          <w:b w:val="0"/>
          <w:bCs w:val="0"/>
          <w:kern w:val="2"/>
          <w:sz w:val="32"/>
          <w:szCs w:val="32"/>
          <w:highlight w:val="none"/>
          <w:lang w:val="en-US" w:eastAsia="zh-CN"/>
        </w:rPr>
        <w:t>保鲜存储、废弃物综合再利用</w:t>
      </w:r>
      <w:r>
        <w:rPr>
          <w:rFonts w:hint="eastAsia" w:ascii="仿宋_GB2312" w:hAnsi="仿宋_GB2312" w:eastAsia="仿宋_GB2312" w:cs="仿宋_GB2312"/>
          <w:b w:val="0"/>
          <w:bCs w:val="0"/>
          <w:color w:val="auto"/>
          <w:kern w:val="2"/>
          <w:sz w:val="32"/>
          <w:szCs w:val="32"/>
          <w:lang w:eastAsia="zh-CN"/>
        </w:rPr>
        <w:t>等</w:t>
      </w:r>
      <w:r>
        <w:rPr>
          <w:rFonts w:hint="eastAsia" w:ascii="仿宋_GB2312" w:hAnsi="仿宋_GB2312" w:eastAsia="仿宋_GB2312" w:cs="仿宋_GB2312"/>
          <w:b w:val="0"/>
          <w:bCs w:val="0"/>
          <w:color w:val="auto"/>
          <w:kern w:val="2"/>
          <w:sz w:val="32"/>
          <w:szCs w:val="32"/>
          <w:lang w:val="en-US" w:eastAsia="zh-CN"/>
        </w:rPr>
        <w:t>8</w:t>
      </w:r>
      <w:r>
        <w:rPr>
          <w:rFonts w:hint="eastAsia" w:ascii="仿宋_GB2312" w:hAnsi="仿宋_GB2312" w:eastAsia="仿宋_GB2312" w:cs="仿宋_GB2312"/>
          <w:b w:val="0"/>
          <w:bCs w:val="0"/>
          <w:color w:val="auto"/>
          <w:kern w:val="2"/>
          <w:sz w:val="32"/>
          <w:szCs w:val="32"/>
          <w:highlight w:val="none"/>
          <w:lang w:val="en-US" w:eastAsia="zh-CN"/>
        </w:rPr>
        <w:t>个</w:t>
      </w:r>
      <w:r>
        <w:rPr>
          <w:rFonts w:hint="eastAsia" w:ascii="仿宋_GB2312" w:hAnsi="仿宋_GB2312" w:eastAsia="仿宋_GB2312" w:cs="仿宋_GB2312"/>
          <w:b w:val="0"/>
          <w:bCs w:val="0"/>
          <w:color w:val="auto"/>
          <w:kern w:val="2"/>
          <w:sz w:val="32"/>
          <w:szCs w:val="32"/>
          <w:lang w:val="en-US" w:eastAsia="zh-CN"/>
        </w:rPr>
        <w:t>三期</w:t>
      </w:r>
      <w:r>
        <w:rPr>
          <w:rFonts w:hint="eastAsia" w:ascii="仿宋_GB2312" w:hAnsi="仿宋_GB2312" w:eastAsia="仿宋_GB2312" w:cs="仿宋_GB2312"/>
          <w:b w:val="0"/>
          <w:bCs w:val="0"/>
          <w:color w:val="auto"/>
          <w:kern w:val="2"/>
          <w:sz w:val="32"/>
          <w:szCs w:val="32"/>
          <w:highlight w:val="none"/>
          <w:lang w:val="en-US" w:eastAsia="zh-CN"/>
        </w:rPr>
        <w:t>项目，</w:t>
      </w:r>
      <w:r>
        <w:rPr>
          <w:rFonts w:hint="eastAsia" w:ascii="仿宋_GB2312" w:hAnsi="仿宋_GB2312" w:eastAsia="仿宋_GB2312" w:cs="仿宋_GB2312"/>
          <w:b w:val="0"/>
          <w:bCs w:val="0"/>
          <w:kern w:val="2"/>
          <w:sz w:val="32"/>
          <w:szCs w:val="32"/>
          <w:highlight w:val="none"/>
          <w:lang w:val="en-US" w:eastAsia="zh-CN"/>
        </w:rPr>
        <w:t>现代智慧水稻园和智慧农业示范园基本建成。</w:t>
      </w:r>
      <w:r>
        <w:rPr>
          <w:rFonts w:hint="eastAsia" w:ascii="仿宋_GB2312" w:hAnsi="仿宋_GB2312" w:eastAsia="仿宋_GB2312" w:cs="仿宋_GB2312"/>
          <w:color w:val="auto"/>
          <w:kern w:val="2"/>
          <w:sz w:val="32"/>
          <w:szCs w:val="32"/>
          <w:highlight w:val="none"/>
          <w:shd w:val="clear" w:color="auto" w:fill="FFFFFF"/>
        </w:rPr>
        <w:t>协</w:t>
      </w:r>
      <w:r>
        <w:rPr>
          <w:rFonts w:hint="eastAsia" w:ascii="仿宋_GB2312" w:hAnsi="仿宋_GB2312" w:eastAsia="仿宋_GB2312" w:cs="仿宋_GB2312"/>
          <w:color w:val="000000" w:themeColor="text1"/>
          <w:kern w:val="2"/>
          <w:sz w:val="32"/>
          <w:szCs w:val="32"/>
          <w:highlight w:val="none"/>
          <w:shd w:val="clear" w:color="auto" w:fill="FFFFFF"/>
          <w14:textFill>
            <w14:solidFill>
              <w14:schemeClr w14:val="tx1"/>
            </w14:solidFill>
          </w14:textFill>
        </w:rPr>
        <w:t>同省农科院</w:t>
      </w:r>
      <w:r>
        <w:rPr>
          <w:rFonts w:hint="eastAsia" w:ascii="仿宋_GB2312" w:hAnsi="仿宋_GB2312" w:eastAsia="仿宋_GB2312" w:cs="仿宋_GB2312"/>
          <w:b w:val="0"/>
          <w:bCs w:val="0"/>
          <w:kern w:val="2"/>
          <w:sz w:val="32"/>
          <w:szCs w:val="32"/>
          <w:highlight w:val="none"/>
          <w:lang w:val="en-US" w:eastAsia="zh-CN"/>
        </w:rPr>
        <w:t>推广绿色生态种植、良种繁育等技术128项，运用“高标准农田+科技推广”的运作模式，农业科技含量进一步提升。润土农业、常工院入驻园区进行新品种种植与试验，农业品牌竞争力不断增强。总投资近1.3亿元的园区水利疏浚工程基本完工，园区环境显著改善。牢</w:t>
      </w:r>
      <w:r>
        <w:rPr>
          <w:rFonts w:hint="eastAsia" w:ascii="仿宋_GB2312" w:hAnsi="仿宋_GB2312" w:eastAsia="仿宋_GB2312" w:cs="仿宋_GB2312"/>
          <w:color w:val="auto"/>
          <w:kern w:val="2"/>
          <w:sz w:val="32"/>
          <w:szCs w:val="32"/>
          <w:highlight w:val="none"/>
          <w:lang w:eastAsia="zh-CN"/>
        </w:rPr>
        <w:t>牢守住耕地保护红线，</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2022年水稻种植面积达8000亩</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rPr>
        <w:t>二是</w:t>
      </w:r>
      <w:r>
        <w:rPr>
          <w:rFonts w:hint="eastAsia" w:ascii="楷体_GB2312" w:hAnsi="楷体_GB2312" w:eastAsia="楷体_GB2312" w:cs="楷体_GB2312"/>
          <w:kern w:val="2"/>
          <w:sz w:val="32"/>
          <w:szCs w:val="32"/>
          <w:highlight w:val="none"/>
        </w:rPr>
        <w:t>美丽乡村建设</w:t>
      </w:r>
      <w:r>
        <w:rPr>
          <w:rFonts w:hint="eastAsia" w:ascii="楷体_GB2312" w:hAnsi="楷体_GB2312" w:eastAsia="楷体_GB2312" w:cs="楷体_GB2312"/>
          <w:kern w:val="2"/>
          <w:sz w:val="32"/>
          <w:szCs w:val="32"/>
          <w:highlight w:val="none"/>
          <w:lang w:val="en-US" w:eastAsia="zh-CN"/>
        </w:rPr>
        <w:t>纵深推进</w:t>
      </w:r>
      <w:r>
        <w:rPr>
          <w:rFonts w:hint="eastAsia" w:ascii="楷体_GB2312" w:hAnsi="楷体_GB2312" w:eastAsia="楷体_GB2312" w:cs="楷体_GB2312"/>
          <w:kern w:val="2"/>
          <w:sz w:val="32"/>
          <w:szCs w:val="32"/>
          <w:highlight w:val="none"/>
        </w:rPr>
        <w:t>。</w:t>
      </w:r>
      <w:r>
        <w:rPr>
          <w:rFonts w:hint="eastAsia" w:ascii="仿宋_GB2312" w:hAnsi="仿宋_GB2312" w:eastAsia="仿宋_GB2312" w:cs="仿宋_GB2312"/>
          <w:kern w:val="2"/>
          <w:sz w:val="32"/>
          <w:szCs w:val="32"/>
          <w:lang w:val="en-US" w:eastAsia="zh-CN"/>
        </w:rPr>
        <w:t>成功创建常州市乡村振兴新时代鱼米之乡示范镇，</w:t>
      </w:r>
      <w:r>
        <w:rPr>
          <w:rFonts w:hint="eastAsia" w:ascii="仿宋_GB2312" w:hAnsi="仿宋_GB2312" w:eastAsia="仿宋_GB2312" w:cs="仿宋_GB2312"/>
          <w:b w:val="0"/>
          <w:bCs w:val="0"/>
          <w:kern w:val="2"/>
          <w:sz w:val="32"/>
          <w:szCs w:val="32"/>
          <w:highlight w:val="none"/>
          <w:lang w:val="en-US" w:eastAsia="zh-CN"/>
        </w:rPr>
        <w:t>深化东南李家村美丽乡村建设，与社会资本合作，打造稻田酒店、星光营地等新业态，不断提升美丽乡村知名度。稻米文化馆建成开放，以产业为核心促进文旅融合。高标准推进梅林村居民集聚点建设，打造现代化宜居农房96套。巩固“三资三化”专项提升行动成果，完成农村宅基地资格权认定，发挥农村产权流转交易市场作用，2022年完成产权交易128笔，交易总金额441万元。引导浦西村、浦河社区等村（社区）整合闲置资源，盘活低效用地，增强村集体经济造血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pacing w:val="0"/>
          <w:kern w:val="2"/>
          <w:sz w:val="32"/>
          <w:szCs w:val="32"/>
          <w:highlight w:val="none"/>
        </w:rPr>
      </w:pPr>
      <w:r>
        <w:rPr>
          <w:rFonts w:hint="eastAsia" w:ascii="楷体_GB2312" w:hAnsi="楷体_GB2312" w:eastAsia="楷体_GB2312" w:cs="楷体_GB2312"/>
          <w:kern w:val="2"/>
          <w:sz w:val="32"/>
          <w:szCs w:val="32"/>
          <w:highlight w:val="none"/>
          <w:lang w:val="en-US" w:eastAsia="zh-CN"/>
        </w:rPr>
        <w:t>三是生态</w:t>
      </w:r>
      <w:r>
        <w:rPr>
          <w:rFonts w:hint="eastAsia" w:ascii="楷体_GB2312" w:hAnsi="楷体_GB2312" w:eastAsia="楷体_GB2312" w:cs="楷体_GB2312"/>
          <w:kern w:val="2"/>
          <w:sz w:val="32"/>
          <w:szCs w:val="32"/>
          <w:highlight w:val="none"/>
        </w:rPr>
        <w:t>宜居</w:t>
      </w:r>
      <w:r>
        <w:rPr>
          <w:rFonts w:hint="eastAsia" w:ascii="楷体_GB2312" w:hAnsi="楷体_GB2312" w:eastAsia="楷体_GB2312" w:cs="楷体_GB2312"/>
          <w:kern w:val="2"/>
          <w:sz w:val="32"/>
          <w:szCs w:val="32"/>
          <w:highlight w:val="none"/>
          <w:lang w:val="en-US" w:eastAsia="zh-CN"/>
        </w:rPr>
        <w:t>环境</w:t>
      </w:r>
      <w:r>
        <w:rPr>
          <w:rFonts w:hint="eastAsia" w:ascii="楷体_GB2312" w:hAnsi="楷体_GB2312" w:eastAsia="楷体_GB2312" w:cs="楷体_GB2312"/>
          <w:kern w:val="2"/>
          <w:sz w:val="32"/>
          <w:szCs w:val="32"/>
          <w:highlight w:val="none"/>
        </w:rPr>
        <w:t>日益彰显。</w:t>
      </w:r>
      <w:r>
        <w:rPr>
          <w:rFonts w:hint="eastAsia" w:ascii="仿宋_GB2312" w:hAnsi="仿宋_GB2312" w:eastAsia="仿宋_GB2312" w:cs="仿宋_GB2312"/>
          <w:b w:val="0"/>
          <w:bCs w:val="0"/>
          <w:color w:val="auto"/>
          <w:kern w:val="2"/>
          <w:sz w:val="32"/>
          <w:szCs w:val="32"/>
          <w:highlight w:val="none"/>
          <w:lang w:val="en-US" w:eastAsia="zh-CN"/>
        </w:rPr>
        <w:t>深入打好污染防治攻坚战，</w:t>
      </w:r>
      <w:r>
        <w:rPr>
          <w:rFonts w:hint="eastAsia" w:ascii="仿宋_GB2312" w:hAnsi="仿宋_GB2312" w:eastAsia="仿宋_GB2312" w:cs="仿宋_GB2312"/>
          <w:b w:val="0"/>
          <w:bCs w:val="0"/>
          <w:color w:val="auto"/>
          <w:kern w:val="2"/>
          <w:sz w:val="32"/>
          <w:szCs w:val="32"/>
          <w:highlight w:val="none"/>
          <w:shd w:val="clear" w:color="auto" w:fill="auto"/>
          <w:lang w:val="en-US" w:eastAsia="zh-CN"/>
        </w:rPr>
        <w:t>高质量完成第二轮中央环保督察反馈问题整改，强化“双随</w:t>
      </w:r>
      <w:r>
        <w:rPr>
          <w:rFonts w:hint="eastAsia" w:ascii="仿宋_GB2312" w:hAnsi="仿宋_GB2312" w:eastAsia="仿宋_GB2312" w:cs="仿宋_GB2312"/>
          <w:b w:val="0"/>
          <w:bCs w:val="0"/>
          <w:color w:val="auto"/>
          <w:kern w:val="2"/>
          <w:sz w:val="32"/>
          <w:szCs w:val="32"/>
          <w:highlight w:val="none"/>
          <w:lang w:val="en-US" w:eastAsia="zh-CN"/>
        </w:rPr>
        <w:t>机”环境监管，累计出动4000余人次检查各类企业1200家次。妥善处置川野园林、龙城药物地块，有序推进54个自然村污水管网全覆盖，督促20家企业实现雨污分流。建设空气质量监测站，为改善全镇空</w:t>
      </w:r>
      <w:r>
        <w:rPr>
          <w:rFonts w:hint="eastAsia" w:ascii="仿宋_GB2312" w:eastAsia="仿宋_GB2312"/>
          <w:color w:val="auto"/>
          <w:spacing w:val="0"/>
          <w:kern w:val="2"/>
          <w:sz w:val="32"/>
          <w:szCs w:val="32"/>
          <w:highlight w:val="none"/>
          <w:lang w:val="en-US" w:eastAsia="zh-CN"/>
        </w:rPr>
        <w:t>气质量提供数据支撑。持续抓好农村长效管理，获评全市唯一农村生活垃圾分类省级优秀试点，村居环境有效改善。落实“河长制”工作要求，有序推进水环境整治，东风河创建省级生态河道，完成水塔口祠堂沟、梅林刘家沟等47条小微水体整治</w:t>
      </w:r>
      <w:r>
        <w:rPr>
          <w:rFonts w:hint="eastAsia" w:ascii="仿宋_GB2312" w:hAnsi="仿宋_GB2312" w:eastAsia="仿宋_GB2312" w:cs="仿宋_GB2312"/>
          <w:b w:val="0"/>
          <w:bCs w:val="0"/>
          <w:color w:val="auto"/>
          <w:kern w:val="2"/>
          <w:sz w:val="32"/>
          <w:szCs w:val="32"/>
          <w:highlight w:val="none"/>
          <w:lang w:val="en-US" w:eastAsia="zh-CN"/>
        </w:rPr>
        <w:t>和</w:t>
      </w:r>
      <w:r>
        <w:rPr>
          <w:rFonts w:hint="eastAsia" w:ascii="仿宋_GB2312" w:hAnsi="仿宋_GB2312" w:eastAsia="仿宋_GB2312" w:cs="仿宋_GB2312"/>
          <w:b w:val="0"/>
          <w:bCs w:val="0"/>
          <w:color w:val="auto"/>
          <w:kern w:val="2"/>
          <w:sz w:val="32"/>
          <w:szCs w:val="32"/>
          <w:highlight w:val="none"/>
          <w:shd w:val="clear" w:color="auto" w:fill="auto"/>
          <w:lang w:val="en-US" w:eastAsia="zh-CN"/>
        </w:rPr>
        <w:t>38座沟塘、3.8万方土方清淤工作。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rPr>
        <w:t>四是</w:t>
      </w:r>
      <w:r>
        <w:rPr>
          <w:rFonts w:hint="eastAsia" w:ascii="楷体_GB2312" w:hAnsi="楷体_GB2312" w:eastAsia="楷体_GB2312" w:cs="楷体_GB2312"/>
          <w:kern w:val="2"/>
          <w:sz w:val="32"/>
          <w:szCs w:val="32"/>
          <w:highlight w:val="none"/>
        </w:rPr>
        <w:t>城镇功能配套</w:t>
      </w:r>
      <w:r>
        <w:rPr>
          <w:rFonts w:hint="eastAsia" w:ascii="楷体_GB2312" w:hAnsi="楷体_GB2312" w:eastAsia="楷体_GB2312" w:cs="楷体_GB2312"/>
          <w:kern w:val="2"/>
          <w:sz w:val="32"/>
          <w:szCs w:val="32"/>
          <w:highlight w:val="none"/>
          <w:lang w:val="en-US" w:eastAsia="zh-CN"/>
        </w:rPr>
        <w:t>持续</w:t>
      </w:r>
      <w:r>
        <w:rPr>
          <w:rFonts w:hint="eastAsia" w:ascii="楷体_GB2312" w:hAnsi="楷体_GB2312" w:eastAsia="楷体_GB2312" w:cs="楷体_GB2312"/>
          <w:kern w:val="2"/>
          <w:sz w:val="32"/>
          <w:szCs w:val="32"/>
          <w:highlight w:val="none"/>
        </w:rPr>
        <w:t>完善。</w:t>
      </w:r>
      <w:r>
        <w:rPr>
          <w:rFonts w:hint="eastAsia" w:ascii="仿宋_GB2312" w:eastAsia="仿宋_GB2312"/>
          <w:color w:val="auto"/>
          <w:spacing w:val="0"/>
          <w:kern w:val="2"/>
          <w:sz w:val="32"/>
          <w:szCs w:val="32"/>
          <w:highlight w:val="none"/>
          <w:lang w:val="en-US" w:eastAsia="zh-CN"/>
        </w:rPr>
        <w:t>全力推进河东新镇区建设</w:t>
      </w:r>
      <w:r>
        <w:rPr>
          <w:rFonts w:hint="eastAsia" w:ascii="仿宋_GB2312" w:hAnsi="仿宋_GB2312" w:eastAsia="仿宋_GB2312" w:cs="仿宋_GB2312"/>
          <w:b w:val="0"/>
          <w:bCs w:val="0"/>
          <w:color w:val="auto"/>
          <w:kern w:val="2"/>
          <w:sz w:val="32"/>
          <w:szCs w:val="32"/>
          <w:highlight w:val="none"/>
          <w:lang w:val="en-US" w:eastAsia="zh-CN" w:bidi="ar-SA"/>
        </w:rPr>
        <w:t>，香山福园四期490套安置房已竣工交付，完成199户居民安置工作，全镇已拆迁项目在外过渡群众全部安置到位。西夏墅初级中学新建项目已完工，预计2月投入使用。北桥动迁签约</w:t>
      </w:r>
      <w:r>
        <w:rPr>
          <w:rFonts w:hint="eastAsia" w:ascii="仿宋_GB2312" w:hAnsi="仿宋_GB2312" w:eastAsia="仿宋_GB2312" w:cs="仿宋_GB2312"/>
          <w:b w:val="0"/>
          <w:bCs w:val="0"/>
          <w:color w:val="auto"/>
          <w:kern w:val="2"/>
          <w:sz w:val="32"/>
          <w:szCs w:val="32"/>
          <w:highlight w:val="none"/>
          <w:lang w:val="en-US" w:eastAsia="zh-CN"/>
        </w:rPr>
        <w:t>任务基本完成，南桥动迁工程正有序推进。圆满完成2022年村镇道路桥梁建设计划，12条农路、2座农桥已完成改扩建，丽江路、瑶山路、茅山路建设正稳步推进，日月山路、牛郎路等道路亮化工程基本完工，便捷的交通路网正在加快形成。全面完成自来水500管增压提升工程，彻底解决我镇自来水压力不足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val="en-US" w:eastAsia="zh-CN"/>
        </w:rPr>
        <w:t>三、</w:t>
      </w:r>
      <w:r>
        <w:rPr>
          <w:rFonts w:hint="eastAsia" w:ascii="黑体" w:hAnsi="黑体" w:eastAsia="黑体" w:cs="黑体"/>
          <w:kern w:val="2"/>
          <w:sz w:val="32"/>
          <w:szCs w:val="32"/>
          <w:highlight w:val="none"/>
          <w:lang w:eastAsia="zh-CN"/>
        </w:rPr>
        <w:t>聚焦增福祉、</w:t>
      </w:r>
      <w:r>
        <w:rPr>
          <w:rFonts w:hint="eastAsia" w:ascii="黑体" w:hAnsi="黑体" w:eastAsia="黑体" w:cs="黑体"/>
          <w:kern w:val="2"/>
          <w:sz w:val="32"/>
          <w:szCs w:val="32"/>
          <w:highlight w:val="none"/>
        </w:rPr>
        <w:t>惠民生，</w:t>
      </w:r>
      <w:r>
        <w:rPr>
          <w:rFonts w:hint="eastAsia" w:ascii="黑体" w:hAnsi="黑体" w:eastAsia="黑体" w:cs="黑体"/>
          <w:kern w:val="2"/>
          <w:sz w:val="32"/>
          <w:szCs w:val="32"/>
          <w:highlight w:val="none"/>
          <w:lang w:eastAsia="zh-CN"/>
        </w:rPr>
        <w:t>公共服务水平不断提升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坚持民生为本，持之以恒办好为民实事，让人民幸福生活成色更足。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rPr>
      </w:pPr>
      <w:r>
        <w:rPr>
          <w:rFonts w:hint="eastAsia" w:ascii="楷体_GB2312" w:hAnsi="楷体_GB2312" w:eastAsia="楷体_GB2312" w:cs="楷体_GB2312"/>
          <w:kern w:val="2"/>
          <w:sz w:val="32"/>
          <w:szCs w:val="32"/>
          <w:highlight w:val="none"/>
          <w:lang w:val="en-US" w:eastAsia="zh-CN"/>
        </w:rPr>
        <w:t>一是</w:t>
      </w:r>
      <w:r>
        <w:rPr>
          <w:rFonts w:hint="eastAsia" w:ascii="楷体_GB2312" w:hAnsi="楷体_GB2312" w:eastAsia="楷体_GB2312" w:cs="楷体_GB2312"/>
          <w:kern w:val="2"/>
          <w:sz w:val="32"/>
          <w:szCs w:val="32"/>
          <w:highlight w:val="none"/>
        </w:rPr>
        <w:t>民生保障</w:t>
      </w:r>
      <w:r>
        <w:rPr>
          <w:rFonts w:hint="eastAsia" w:ascii="楷体_GB2312" w:hAnsi="楷体_GB2312" w:eastAsia="楷体_GB2312" w:cs="楷体_GB2312"/>
          <w:kern w:val="2"/>
          <w:sz w:val="32"/>
          <w:szCs w:val="32"/>
          <w:highlight w:val="none"/>
          <w:lang w:eastAsia="zh-CN"/>
        </w:rPr>
        <w:t>落细落实</w:t>
      </w:r>
      <w:r>
        <w:rPr>
          <w:rFonts w:hint="eastAsia" w:ascii="楷体_GB2312" w:hAnsi="楷体_GB2312" w:eastAsia="楷体_GB2312" w:cs="楷体_GB2312"/>
          <w:b w:val="0"/>
          <w:bCs w:val="0"/>
          <w:kern w:val="2"/>
          <w:sz w:val="32"/>
          <w:szCs w:val="32"/>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试点乡村公益医疗互助，</w:t>
      </w:r>
      <w:r>
        <w:rPr>
          <w:rFonts w:hint="eastAsia" w:ascii="仿宋_GB2312" w:eastAsia="仿宋_GB2312"/>
          <w:b w:val="0"/>
          <w:bCs w:val="0"/>
          <w:color w:val="auto"/>
          <w:spacing w:val="0"/>
          <w:kern w:val="2"/>
          <w:sz w:val="32"/>
          <w:szCs w:val="32"/>
        </w:rPr>
        <w:t>认真</w:t>
      </w:r>
      <w:r>
        <w:rPr>
          <w:rFonts w:hint="eastAsia" w:ascii="仿宋_GB2312" w:eastAsia="仿宋_GB2312"/>
          <w:b w:val="0"/>
          <w:bCs w:val="0"/>
          <w:color w:val="auto"/>
          <w:spacing w:val="0"/>
          <w:kern w:val="2"/>
          <w:sz w:val="32"/>
          <w:szCs w:val="32"/>
          <w:lang w:eastAsia="zh-CN"/>
        </w:rPr>
        <w:t>做好</w:t>
      </w:r>
      <w:r>
        <w:rPr>
          <w:rFonts w:hint="eastAsia" w:ascii="仿宋_GB2312" w:eastAsia="仿宋_GB2312"/>
          <w:b w:val="0"/>
          <w:bCs w:val="0"/>
          <w:color w:val="auto"/>
          <w:spacing w:val="0"/>
          <w:kern w:val="2"/>
          <w:sz w:val="32"/>
          <w:szCs w:val="32"/>
        </w:rPr>
        <w:t>低保动态管理</w:t>
      </w:r>
      <w:r>
        <w:rPr>
          <w:rFonts w:hint="eastAsia" w:ascii="仿宋_GB2312" w:eastAsia="仿宋_GB2312"/>
          <w:b w:val="0"/>
          <w:bCs w:val="0"/>
          <w:color w:val="auto"/>
          <w:spacing w:val="0"/>
          <w:kern w:val="2"/>
          <w:sz w:val="32"/>
          <w:szCs w:val="32"/>
          <w:lang w:eastAsia="zh-CN"/>
        </w:rPr>
        <w:t>、社</w:t>
      </w:r>
      <w:r>
        <w:rPr>
          <w:rFonts w:hint="eastAsia" w:ascii="仿宋_GB2312" w:eastAsia="仿宋_GB2312"/>
          <w:b w:val="0"/>
          <w:bCs w:val="0"/>
          <w:color w:val="auto"/>
          <w:spacing w:val="0"/>
          <w:kern w:val="2"/>
          <w:sz w:val="32"/>
          <w:szCs w:val="32"/>
          <w:highlight w:val="none"/>
          <w:lang w:eastAsia="zh-CN"/>
        </w:rPr>
        <w:t>会救助工作</w:t>
      </w:r>
      <w:r>
        <w:rPr>
          <w:rFonts w:hint="eastAsia" w:ascii="仿宋_GB2312" w:eastAsia="仿宋_GB2312"/>
          <w:b w:val="0"/>
          <w:bCs w:val="0"/>
          <w:color w:val="auto"/>
          <w:spacing w:val="0"/>
          <w:kern w:val="2"/>
          <w:sz w:val="32"/>
          <w:szCs w:val="32"/>
          <w:highlight w:val="none"/>
        </w:rPr>
        <w:t>，</w:t>
      </w:r>
      <w:r>
        <w:rPr>
          <w:rFonts w:hint="eastAsia" w:ascii="仿宋_GB2312" w:eastAsia="仿宋_GB2312"/>
          <w:b w:val="0"/>
          <w:bCs w:val="0"/>
          <w:color w:val="auto"/>
          <w:spacing w:val="0"/>
          <w:kern w:val="2"/>
          <w:sz w:val="32"/>
          <w:szCs w:val="32"/>
          <w:highlight w:val="none"/>
          <w:lang w:eastAsia="zh-CN"/>
        </w:rPr>
        <w:t>累计发放各类保</w:t>
      </w:r>
      <w:r>
        <w:rPr>
          <w:rFonts w:hint="eastAsia" w:ascii="仿宋_GB2312" w:eastAsia="仿宋_GB2312" w:cs="Times New Roman"/>
          <w:b w:val="0"/>
          <w:bCs w:val="0"/>
          <w:color w:val="auto"/>
          <w:spacing w:val="0"/>
          <w:kern w:val="2"/>
          <w:sz w:val="32"/>
          <w:szCs w:val="32"/>
          <w:highlight w:val="none"/>
          <w:lang w:val="en-US" w:eastAsia="zh-CN"/>
        </w:rPr>
        <w:t>障金1000余万元</w:t>
      </w:r>
      <w:r>
        <w:rPr>
          <w:rFonts w:hint="eastAsia" w:ascii="仿宋_GB2312" w:eastAsia="仿宋_GB2312" w:cs="Times New Roman"/>
          <w:b w:val="0"/>
          <w:bCs w:val="0"/>
          <w:color w:val="auto"/>
          <w:spacing w:val="0"/>
          <w:kern w:val="2"/>
          <w:sz w:val="32"/>
          <w:szCs w:val="32"/>
          <w:highlight w:val="none"/>
          <w:lang w:eastAsia="zh-CN"/>
        </w:rPr>
        <w:t>。</w:t>
      </w:r>
      <w:r>
        <w:rPr>
          <w:rFonts w:hint="eastAsia" w:ascii="Times New Roman" w:hAnsi="Times New Roman" w:eastAsia="仿宋_GB2312" w:cs="仿宋_GB2312"/>
          <w:color w:val="auto"/>
          <w:kern w:val="2"/>
          <w:sz w:val="32"/>
          <w:szCs w:val="32"/>
        </w:rPr>
        <w:t>新增</w:t>
      </w:r>
      <w:r>
        <w:rPr>
          <w:rFonts w:hint="eastAsia" w:ascii="仿宋_GB2312" w:eastAsia="仿宋_GB2312" w:cs="Times New Roman"/>
          <w:b w:val="0"/>
          <w:bCs w:val="0"/>
          <w:color w:val="auto"/>
          <w:spacing w:val="0"/>
          <w:kern w:val="2"/>
          <w:sz w:val="32"/>
          <w:szCs w:val="32"/>
          <w:highlight w:val="none"/>
          <w:lang w:val="en-US" w:eastAsia="zh-CN"/>
        </w:rPr>
        <w:t>参保476人次，实现2.45万人纳入城乡居民医疗保险系统管理，成功入选常州市“15分钟医保服务圈”示范点建设。搭建日常招聘平台，线上线下开展招聘活动，300余名求职</w:t>
      </w:r>
      <w:r>
        <w:rPr>
          <w:rFonts w:hint="eastAsia" w:ascii="Times New Roman" w:hAnsi="Times New Roman" w:eastAsia="仿宋_GB2312" w:cs="仿宋_GB2312"/>
          <w:color w:val="auto"/>
          <w:kern w:val="2"/>
          <w:sz w:val="32"/>
          <w:szCs w:val="32"/>
          <w:lang w:val="en-US" w:eastAsia="zh-CN"/>
        </w:rPr>
        <w:t>者与企业达成意向。与</w:t>
      </w:r>
      <w:r>
        <w:rPr>
          <w:rFonts w:hint="eastAsia" w:ascii="Times New Roman" w:hAnsi="Times New Roman" w:eastAsia="仿宋_GB2312" w:cs="仿宋_GB2312"/>
          <w:color w:val="auto"/>
          <w:kern w:val="2"/>
          <w:sz w:val="32"/>
          <w:szCs w:val="32"/>
        </w:rPr>
        <w:t>江苏省常州技师学院、常</w:t>
      </w:r>
      <w:r>
        <w:rPr>
          <w:rFonts w:hint="eastAsia" w:ascii="仿宋_GB2312" w:eastAsia="仿宋_GB2312"/>
          <w:kern w:val="2"/>
          <w:sz w:val="32"/>
          <w:szCs w:val="32"/>
          <w:highlight w:val="none"/>
        </w:rPr>
        <w:t>州斯乃刻职业技能培训学校</w:t>
      </w:r>
      <w:r>
        <w:rPr>
          <w:rFonts w:hint="eastAsia" w:ascii="仿宋_GB2312" w:eastAsia="仿宋_GB2312"/>
          <w:kern w:val="2"/>
          <w:sz w:val="32"/>
          <w:szCs w:val="32"/>
          <w:highlight w:val="none"/>
          <w:lang w:eastAsia="zh-CN"/>
        </w:rPr>
        <w:t>合作办学，</w:t>
      </w:r>
      <w:r>
        <w:rPr>
          <w:rFonts w:hint="eastAsia" w:ascii="仿宋_GB2312" w:eastAsia="仿宋_GB2312"/>
          <w:kern w:val="2"/>
          <w:sz w:val="32"/>
          <w:szCs w:val="32"/>
          <w:highlight w:val="none"/>
        </w:rPr>
        <w:t>建立“产学研”战略合作关系，推进</w:t>
      </w:r>
      <w:r>
        <w:rPr>
          <w:rFonts w:hint="eastAsia" w:ascii="仿宋_GB2312" w:eastAsia="仿宋_GB2312"/>
          <w:kern w:val="2"/>
          <w:sz w:val="32"/>
          <w:szCs w:val="32"/>
          <w:highlight w:val="none"/>
          <w:lang w:eastAsia="zh-CN"/>
        </w:rPr>
        <w:t>专业</w:t>
      </w:r>
      <w:r>
        <w:rPr>
          <w:rFonts w:hint="eastAsia" w:ascii="仿宋_GB2312" w:eastAsia="仿宋_GB2312"/>
          <w:kern w:val="2"/>
          <w:sz w:val="32"/>
          <w:szCs w:val="32"/>
          <w:highlight w:val="none"/>
        </w:rPr>
        <w:t>人才培养</w:t>
      </w:r>
      <w:r>
        <w:rPr>
          <w:rFonts w:hint="eastAsia" w:ascii="仿宋_GB2312" w:eastAsia="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严格执行</w:t>
      </w:r>
      <w:r>
        <w:rPr>
          <w:rFonts w:hint="eastAsia" w:ascii="仿宋_GB2312" w:hAnsi="仿宋_GB2312" w:eastAsia="仿宋_GB2312" w:cs="仿宋_GB2312"/>
          <w:kern w:val="2"/>
          <w:sz w:val="32"/>
          <w:szCs w:val="32"/>
          <w:highlight w:val="none"/>
        </w:rPr>
        <w:t>退役军人服务站</w:t>
      </w:r>
      <w:r>
        <w:rPr>
          <w:rFonts w:hint="eastAsia" w:ascii="仿宋_GB2312" w:hAnsi="仿宋_GB2312" w:eastAsia="仿宋_GB2312" w:cs="仿宋_GB2312"/>
          <w:kern w:val="2"/>
          <w:sz w:val="32"/>
          <w:szCs w:val="32"/>
          <w:highlight w:val="none"/>
          <w:lang w:eastAsia="zh-CN"/>
        </w:rPr>
        <w:t>“五有”要求</w:t>
      </w: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完成退役军人优待证申</w:t>
      </w:r>
      <w:r>
        <w:rPr>
          <w:rFonts w:hint="eastAsia" w:ascii="仿宋_GB2312" w:hAnsi="仿宋_GB2312" w:eastAsia="仿宋_GB2312" w:cs="仿宋_GB2312"/>
          <w:color w:val="auto"/>
          <w:kern w:val="2"/>
          <w:sz w:val="32"/>
          <w:szCs w:val="32"/>
          <w:highlight w:val="none"/>
        </w:rPr>
        <w:t>领工作</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kern w:val="2"/>
          <w:sz w:val="32"/>
          <w:szCs w:val="32"/>
          <w:highlight w:val="none"/>
        </w:rPr>
        <w:t>全力保障退役军人合法权益。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b w:val="0"/>
          <w:bCs w:val="0"/>
          <w:color w:val="auto"/>
          <w:spacing w:val="0"/>
          <w:kern w:val="2"/>
          <w:sz w:val="32"/>
          <w:szCs w:val="32"/>
          <w:lang w:val="en-US" w:eastAsia="zh-CN"/>
        </w:rPr>
      </w:pPr>
      <w:r>
        <w:rPr>
          <w:rFonts w:hint="eastAsia" w:ascii="楷体_GB2312" w:hAnsi="楷体_GB2312" w:eastAsia="楷体_GB2312" w:cs="楷体_GB2312"/>
          <w:b w:val="0"/>
          <w:bCs w:val="0"/>
          <w:kern w:val="2"/>
          <w:sz w:val="32"/>
          <w:szCs w:val="32"/>
          <w:highlight w:val="none"/>
          <w:lang w:val="en-US" w:eastAsia="zh-CN" w:bidi="ar-SA"/>
        </w:rPr>
        <w:t>二是公共服务优质均衡。</w:t>
      </w:r>
      <w:r>
        <w:rPr>
          <w:rStyle w:val="10"/>
          <w:rFonts w:hint="eastAsia" w:ascii="仿宋_GB2312" w:hAnsi="仿宋_GB2312" w:eastAsia="仿宋_GB2312" w:cs="仿宋_GB2312"/>
          <w:b w:val="0"/>
          <w:bCs w:val="0"/>
          <w:kern w:val="2"/>
          <w:sz w:val="32"/>
          <w:szCs w:val="32"/>
          <w:lang w:val="en-US" w:eastAsia="zh-CN"/>
        </w:rPr>
        <w:t>西</w:t>
      </w:r>
      <w:r>
        <w:rPr>
          <w:rFonts w:hint="eastAsia" w:ascii="仿宋_GB2312" w:eastAsia="仿宋_GB2312"/>
          <w:b w:val="0"/>
          <w:bCs w:val="0"/>
          <w:color w:val="auto"/>
          <w:spacing w:val="0"/>
          <w:kern w:val="2"/>
          <w:sz w:val="32"/>
          <w:szCs w:val="32"/>
          <w:lang w:val="en-US" w:eastAsia="zh-CN"/>
        </w:rPr>
        <w:t>夏墅镇中心幼儿园荣获全国幼儿基本体操视频展示金奖，西夏墅中学荣获省青少年科技教育协会三星级先进集体，浦河实验学校创成江苏省健康教育促进学校，西夏墅中心小学获评常州市体育特色学校，办学特色不断彰显。</w:t>
      </w:r>
      <w:r>
        <w:rPr>
          <w:rFonts w:hint="eastAsia" w:ascii="仿宋_GB2312" w:hAnsi="仿宋_GB2312" w:eastAsia="仿宋_GB2312" w:cs="仿宋_GB2312"/>
          <w:color w:val="auto"/>
          <w:kern w:val="2"/>
          <w:sz w:val="32"/>
          <w:szCs w:val="32"/>
          <w:highlight w:val="none"/>
        </w:rPr>
        <w:t>红色教育基地“同福茶馆”申报终身学习品牌项目，社区教育</w:t>
      </w:r>
      <w:r>
        <w:rPr>
          <w:rFonts w:hint="eastAsia" w:ascii="仿宋_GB2312" w:hAnsi="仿宋_GB2312" w:eastAsia="仿宋_GB2312" w:cs="仿宋_GB2312"/>
          <w:color w:val="auto"/>
          <w:kern w:val="2"/>
          <w:sz w:val="32"/>
          <w:szCs w:val="32"/>
          <w:highlight w:val="none"/>
          <w:lang w:eastAsia="zh-CN"/>
        </w:rPr>
        <w:t>服务进一步丰富。</w:t>
      </w:r>
      <w:r>
        <w:rPr>
          <w:rFonts w:hint="eastAsia" w:ascii="仿宋_GB2312" w:eastAsia="仿宋_GB2312"/>
          <w:b w:val="0"/>
          <w:bCs w:val="0"/>
          <w:color w:val="auto"/>
          <w:spacing w:val="0"/>
          <w:kern w:val="2"/>
          <w:sz w:val="32"/>
          <w:szCs w:val="32"/>
          <w:lang w:val="en-US" w:eastAsia="zh-CN"/>
        </w:rPr>
        <w:t>卫生院与市一院合作成立“专科护理联盟”，CT设备投入使用，医疗服务水平不断提升</w:t>
      </w:r>
      <w:r>
        <w:rPr>
          <w:rFonts w:hint="eastAsia" w:ascii="仿宋_GB2312" w:eastAsia="仿宋_GB2312" w:cs="Times New Roman"/>
          <w:b w:val="0"/>
          <w:bCs w:val="0"/>
          <w:color w:val="auto"/>
          <w:spacing w:val="0"/>
          <w:kern w:val="2"/>
          <w:sz w:val="32"/>
          <w:szCs w:val="32"/>
          <w:lang w:val="en-US" w:eastAsia="zh-CN"/>
        </w:rPr>
        <w:t>。组织申报新孟河沿线、现代农业产业园等地健身步道项目，举办“乐动四季”等系列活动20余场，惠及群众5万余人次，居民的文化生活不断丰富。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7030A0"/>
          <w:spacing w:val="0"/>
          <w:kern w:val="2"/>
          <w:sz w:val="32"/>
          <w:highlight w:val="none"/>
          <w:lang w:val="en-US" w:eastAsia="zh-CN"/>
        </w:rPr>
      </w:pPr>
      <w:r>
        <w:rPr>
          <w:rFonts w:hint="eastAsia" w:ascii="楷体_GB2312" w:hAnsi="楷体_GB2312" w:eastAsia="楷体_GB2312" w:cs="楷体_GB2312"/>
          <w:color w:val="auto"/>
          <w:kern w:val="2"/>
          <w:sz w:val="32"/>
          <w:szCs w:val="32"/>
          <w:highlight w:val="none"/>
          <w:lang w:val="en-US" w:eastAsia="zh-CN"/>
        </w:rPr>
        <w:t>三是</w:t>
      </w:r>
      <w:r>
        <w:rPr>
          <w:rFonts w:hint="eastAsia" w:ascii="楷体_GB2312" w:hAnsi="楷体_GB2312" w:eastAsia="楷体_GB2312" w:cs="楷体_GB2312"/>
          <w:color w:val="auto"/>
          <w:kern w:val="2"/>
          <w:sz w:val="32"/>
          <w:szCs w:val="32"/>
          <w:highlight w:val="none"/>
        </w:rPr>
        <w:t>社会</w:t>
      </w:r>
      <w:r>
        <w:rPr>
          <w:rFonts w:hint="eastAsia" w:ascii="楷体_GB2312" w:hAnsi="楷体_GB2312" w:eastAsia="楷体_GB2312" w:cs="楷体_GB2312"/>
          <w:color w:val="auto"/>
          <w:kern w:val="2"/>
          <w:sz w:val="32"/>
          <w:szCs w:val="32"/>
          <w:highlight w:val="none"/>
          <w:lang w:eastAsia="zh-CN"/>
        </w:rPr>
        <w:t>大局和谐稳定</w:t>
      </w:r>
      <w:r>
        <w:rPr>
          <w:rFonts w:hint="eastAsia" w:ascii="楷体_GB2312" w:hAnsi="楷体_GB2312" w:eastAsia="楷体_GB2312" w:cs="楷体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创新“润展宣释”普法四字工作法，开展普法宣传</w:t>
      </w:r>
      <w:r>
        <w:rPr>
          <w:rFonts w:hint="eastAsia" w:ascii="仿宋_GB2312" w:hAnsi="仿宋_GB2312" w:eastAsia="仿宋_GB2312" w:cs="仿宋_GB2312"/>
          <w:b w:val="0"/>
          <w:bCs w:val="0"/>
          <w:color w:val="auto"/>
          <w:kern w:val="2"/>
          <w:sz w:val="32"/>
          <w:szCs w:val="32"/>
          <w:highlight w:val="none"/>
          <w:lang w:val="en-US" w:eastAsia="zh-CN"/>
        </w:rPr>
        <w:t>35场</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b w:val="0"/>
          <w:bCs w:val="0"/>
          <w:color w:val="auto"/>
          <w:kern w:val="2"/>
          <w:sz w:val="32"/>
          <w:szCs w:val="32"/>
          <w:lang w:val="en-US" w:eastAsia="zh-CN"/>
        </w:rPr>
        <w:t>新创成</w:t>
      </w:r>
      <w:r>
        <w:rPr>
          <w:rFonts w:hint="eastAsia" w:ascii="仿宋_GB2312" w:hAnsi="仿宋_GB2312" w:eastAsia="仿宋_GB2312" w:cs="仿宋_GB2312"/>
          <w:color w:val="auto"/>
          <w:kern w:val="2"/>
          <w:sz w:val="32"/>
          <w:szCs w:val="32"/>
          <w:highlight w:val="none"/>
          <w:lang w:eastAsia="zh-CN"/>
        </w:rPr>
        <w:t>省级民主法治示范村</w:t>
      </w:r>
      <w:r>
        <w:rPr>
          <w:rFonts w:hint="eastAsia" w:ascii="仿宋_GB2312" w:hAnsi="仿宋_GB2312" w:eastAsia="仿宋_GB2312" w:cs="仿宋_GB2312"/>
          <w:color w:val="auto"/>
          <w:kern w:val="2"/>
          <w:sz w:val="32"/>
          <w:szCs w:val="32"/>
          <w:highlight w:val="none"/>
          <w:lang w:val="en-US" w:eastAsia="zh-CN"/>
        </w:rPr>
        <w:t>1个。</w:t>
      </w:r>
      <w:r>
        <w:rPr>
          <w:rFonts w:hint="eastAsia" w:ascii="仿宋_GB2312" w:hAnsi="宋体" w:eastAsia="仿宋_GB2312"/>
          <w:color w:val="auto"/>
          <w:kern w:val="2"/>
          <w:sz w:val="32"/>
          <w:szCs w:val="32"/>
          <w:highlight w:val="none"/>
          <w:lang w:val="en-US" w:eastAsia="zh-CN"/>
        </w:rPr>
        <w:t>全力做好维稳工作</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b w:val="0"/>
          <w:bCs w:val="0"/>
          <w:color w:val="auto"/>
          <w:kern w:val="2"/>
          <w:sz w:val="32"/>
          <w:szCs w:val="32"/>
          <w:lang w:val="en-US" w:eastAsia="zh-CN"/>
        </w:rPr>
        <w:t>化解信访积案5件，赴京上访保持“零”登记。</w:t>
      </w:r>
      <w:r>
        <w:rPr>
          <w:rFonts w:hint="eastAsia" w:ascii="仿宋_GB2312" w:hAnsi="仿宋_GB2312" w:eastAsia="仿宋_GB2312" w:cs="仿宋_GB2312"/>
          <w:color w:val="auto"/>
          <w:kern w:val="2"/>
          <w:sz w:val="32"/>
          <w:szCs w:val="32"/>
          <w:highlight w:val="none"/>
          <w:lang w:val="en-US" w:eastAsia="zh-CN"/>
        </w:rPr>
        <w:t>扎实推进</w:t>
      </w:r>
      <w:r>
        <w:rPr>
          <w:rStyle w:val="10"/>
          <w:rFonts w:hint="eastAsia" w:ascii="仿宋_GB2312" w:hAnsi="仿宋_GB2312" w:eastAsia="仿宋_GB2312" w:cs="仿宋_GB2312"/>
          <w:b w:val="0"/>
          <w:bCs w:val="0"/>
          <w:color w:val="auto"/>
          <w:kern w:val="2"/>
          <w:sz w:val="32"/>
          <w:szCs w:val="32"/>
          <w:lang w:val="en-US" w:eastAsia="zh-CN"/>
        </w:rPr>
        <w:t>非诉讼服务</w:t>
      </w:r>
      <w:r>
        <w:rPr>
          <w:rFonts w:hint="eastAsia" w:ascii="仿宋_GB2312" w:hAnsi="仿宋_GB2312" w:eastAsia="仿宋_GB2312" w:cs="仿宋_GB2312"/>
          <w:b w:val="0"/>
          <w:bCs w:val="0"/>
          <w:color w:val="auto"/>
          <w:kern w:val="2"/>
          <w:sz w:val="32"/>
          <w:szCs w:val="32"/>
          <w:lang w:val="en-US" w:eastAsia="zh-CN"/>
        </w:rPr>
        <w:t>中心</w:t>
      </w:r>
      <w:r>
        <w:rPr>
          <w:rFonts w:hint="eastAsia" w:ascii="仿宋_GB2312" w:hAnsi="仿宋_GB2312" w:eastAsia="仿宋_GB2312" w:cs="仿宋_GB2312"/>
          <w:color w:val="auto"/>
          <w:kern w:val="2"/>
          <w:sz w:val="32"/>
          <w:szCs w:val="32"/>
          <w:highlight w:val="none"/>
          <w:lang w:val="en-US" w:eastAsia="zh-CN"/>
        </w:rPr>
        <w:t>和村级调解室规范化建设，新建调解室15个。织密基层社会治理一张网，</w:t>
      </w:r>
      <w:r>
        <w:rPr>
          <w:rFonts w:hint="eastAsia" w:ascii="仿宋_GB2312" w:hAnsi="仿宋_GB2312" w:eastAsia="仿宋_GB2312" w:cs="仿宋_GB2312"/>
          <w:b w:val="0"/>
          <w:bCs w:val="0"/>
          <w:color w:val="auto"/>
          <w:kern w:val="2"/>
          <w:sz w:val="32"/>
          <w:szCs w:val="32"/>
          <w:lang w:val="en-US" w:eastAsia="zh-CN"/>
        </w:rPr>
        <w:t>网格事项办结率达99.3%。</w:t>
      </w:r>
      <w:r>
        <w:rPr>
          <w:rFonts w:hint="eastAsia" w:ascii="仿宋_GB2312" w:hAnsi="仿宋_GB2312" w:eastAsia="仿宋_GB2312" w:cs="仿宋_GB2312"/>
          <w:color w:val="auto"/>
          <w:kern w:val="2"/>
          <w:sz w:val="32"/>
          <w:szCs w:val="32"/>
          <w:highlight w:val="none"/>
          <w:lang w:val="en-US" w:eastAsia="zh-CN"/>
        </w:rPr>
        <w:t>斯乃刻阳光帮扶基地获评全区唯一省级阳光帮扶基地</w:t>
      </w:r>
      <w:r>
        <w:rPr>
          <w:rFonts w:hint="eastAsia" w:ascii="仿宋_GB2312" w:hAnsi="仿宋_GB2312" w:eastAsia="仿宋_GB2312" w:cs="仿宋_GB2312"/>
          <w:b w:val="0"/>
          <w:bCs w:val="0"/>
          <w:color w:val="auto"/>
          <w:kern w:val="2"/>
          <w:sz w:val="32"/>
          <w:szCs w:val="32"/>
          <w:lang w:val="en-US" w:eastAsia="zh-CN"/>
        </w:rPr>
        <w:t>，为安置帮教对象顺利融入社会搭建平台。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b w:val="0"/>
          <w:bCs w:val="0"/>
          <w:kern w:val="2"/>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rPr>
        <w:t>四是</w:t>
      </w:r>
      <w:r>
        <w:rPr>
          <w:rFonts w:hint="eastAsia" w:ascii="楷体_GB2312" w:hAnsi="楷体_GB2312" w:eastAsia="楷体_GB2312" w:cs="楷体_GB2312"/>
          <w:kern w:val="2"/>
          <w:sz w:val="32"/>
          <w:szCs w:val="32"/>
          <w:highlight w:val="none"/>
        </w:rPr>
        <w:t>安全</w:t>
      </w:r>
      <w:r>
        <w:rPr>
          <w:rFonts w:hint="eastAsia" w:ascii="楷体_GB2312" w:hAnsi="楷体_GB2312" w:eastAsia="楷体_GB2312" w:cs="楷体_GB2312"/>
          <w:kern w:val="2"/>
          <w:sz w:val="32"/>
          <w:szCs w:val="32"/>
          <w:highlight w:val="none"/>
          <w:lang w:val="en-US" w:eastAsia="zh-CN"/>
        </w:rPr>
        <w:t>防线筑严筑牢</w:t>
      </w:r>
      <w:r>
        <w:rPr>
          <w:rFonts w:hint="eastAsia" w:ascii="楷体_GB2312" w:hAnsi="楷体_GB2312" w:eastAsia="楷体_GB2312" w:cs="楷体_GB2312"/>
          <w:kern w:val="2"/>
          <w:sz w:val="32"/>
          <w:szCs w:val="32"/>
          <w:highlight w:val="none"/>
        </w:rPr>
        <w:t>。</w:t>
      </w:r>
      <w:r>
        <w:rPr>
          <w:rFonts w:hint="eastAsia" w:ascii="仿宋_GB2312" w:hAnsi="仿宋_GB2312" w:eastAsia="仿宋_GB2312" w:cs="仿宋_GB2312"/>
          <w:b w:val="0"/>
          <w:bCs w:val="0"/>
          <w:kern w:val="2"/>
          <w:sz w:val="32"/>
          <w:szCs w:val="32"/>
          <w:lang w:val="en-US" w:eastAsia="zh-CN"/>
        </w:rPr>
        <w:t>坚持“两个至上”，不</w:t>
      </w:r>
      <w:r>
        <w:rPr>
          <w:rFonts w:hint="eastAsia" w:ascii="仿宋_GB2312" w:eastAsia="仿宋_GB2312"/>
          <w:color w:val="auto"/>
          <w:spacing w:val="0"/>
          <w:kern w:val="2"/>
          <w:sz w:val="32"/>
          <w:szCs w:val="32"/>
          <w:lang w:val="en-US" w:eastAsia="zh-CN"/>
        </w:rPr>
        <w:t>断提高防疫工</w:t>
      </w:r>
      <w:r>
        <w:rPr>
          <w:rFonts w:hint="eastAsia" w:ascii="仿宋_GB2312" w:hAnsi="黑体" w:eastAsia="仿宋_GB2312"/>
          <w:b w:val="0"/>
          <w:bCs w:val="0"/>
          <w:kern w:val="2"/>
          <w:sz w:val="32"/>
          <w:szCs w:val="32"/>
          <w:highlight w:val="none"/>
          <w:lang w:val="en-US" w:eastAsia="zh-CN"/>
        </w:rPr>
        <w:t>作的精准性，守护群众生命健康安全。加强重点人群保护，全力做好60岁以上老年</w:t>
      </w:r>
      <w:r>
        <w:rPr>
          <w:rFonts w:hint="eastAsia" w:ascii="仿宋_GB2312" w:eastAsia="仿宋_GB2312"/>
          <w:color w:val="auto"/>
          <w:spacing w:val="0"/>
          <w:kern w:val="2"/>
          <w:sz w:val="32"/>
          <w:szCs w:val="32"/>
          <w:lang w:val="en-US" w:eastAsia="zh-CN"/>
        </w:rPr>
        <w:t>人疫苗接种工作。</w:t>
      </w:r>
      <w:r>
        <w:rPr>
          <w:rFonts w:hint="eastAsia" w:ascii="仿宋_GB2312" w:hAnsi="仿宋_GB2312" w:eastAsia="仿宋_GB2312" w:cs="仿宋_GB2312"/>
          <w:b w:val="0"/>
          <w:bCs w:val="0"/>
          <w:kern w:val="2"/>
          <w:sz w:val="32"/>
          <w:szCs w:val="32"/>
          <w:lang w:val="en-US" w:eastAsia="zh-CN"/>
        </w:rPr>
        <w:t>统筹推进安全生产专项整治三年行动和安全生产大检查，发现问题隐患1931个，完成整改1876个。</w:t>
      </w:r>
      <w:r>
        <w:rPr>
          <w:rFonts w:hint="eastAsia" w:ascii="仿宋_GB2312" w:eastAsia="仿宋_GB2312"/>
          <w:color w:val="auto"/>
          <w:spacing w:val="0"/>
          <w:kern w:val="2"/>
          <w:sz w:val="32"/>
          <w:szCs w:val="32"/>
          <w:highlight w:val="none"/>
          <w:lang w:val="en-US" w:eastAsia="zh-CN"/>
        </w:rPr>
        <w:t>深化“危污乱散低”出清提升行动，共排查企业（作坊）220家，分类整治27家。</w:t>
      </w:r>
      <w:r>
        <w:rPr>
          <w:rFonts w:hint="eastAsia" w:ascii="仿宋_GB2312" w:hAnsi="黑体" w:eastAsia="仿宋_GB2312"/>
          <w:b w:val="0"/>
          <w:bCs w:val="0"/>
          <w:kern w:val="2"/>
          <w:sz w:val="32"/>
          <w:szCs w:val="32"/>
          <w:highlight w:val="none"/>
          <w:lang w:val="en-US" w:eastAsia="zh-CN"/>
        </w:rPr>
        <w:t>开展工业企业消防安全百日攻坚和“除患治违”专项行动，排查各类单位场所436家，发现并督改火灾隐患310处，拆除企业占用消防车通道、防火间距违章搭建7760平方米。全面排查全镇19971户自建房并建档立卡，对9户存在安全隐患的房屋立即整改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highlight w:val="none"/>
        </w:rPr>
      </w:pPr>
      <w:r>
        <w:rPr>
          <w:rFonts w:hint="eastAsia" w:ascii="黑体" w:hAnsi="黑体" w:eastAsia="黑体" w:cs="黑体"/>
          <w:kern w:val="2"/>
          <w:sz w:val="32"/>
          <w:szCs w:val="32"/>
          <w:highlight w:val="none"/>
          <w:lang w:val="en-US" w:eastAsia="zh-CN"/>
        </w:rPr>
        <w:t>四、聚焦转作风、提效能</w:t>
      </w:r>
      <w:r>
        <w:rPr>
          <w:rFonts w:hint="eastAsia" w:ascii="黑体" w:hAnsi="黑体" w:eastAsia="黑体" w:cs="黑体"/>
          <w:kern w:val="2"/>
          <w:sz w:val="32"/>
          <w:szCs w:val="32"/>
          <w:highlight w:val="none"/>
        </w:rPr>
        <w:t>，</w:t>
      </w:r>
      <w:r>
        <w:rPr>
          <w:rFonts w:hint="eastAsia" w:ascii="黑体" w:hAnsi="黑体" w:eastAsia="黑体" w:cs="黑体"/>
          <w:kern w:val="2"/>
          <w:sz w:val="32"/>
          <w:szCs w:val="32"/>
          <w:highlight w:val="none"/>
          <w:lang w:eastAsia="zh-CN"/>
        </w:rPr>
        <w:t>服务型政府形象不断凸显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坚持人民至上，全面加强政府自身建设，打造人民满意政府。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rPr>
        <w:t>一是服务效能全面提升</w:t>
      </w:r>
      <w:r>
        <w:rPr>
          <w:rFonts w:hint="eastAsia" w:ascii="楷体_GB2312" w:hAnsi="楷体_GB2312" w:eastAsia="楷体_GB2312" w:cs="楷体_GB2312"/>
          <w:kern w:val="2"/>
          <w:sz w:val="32"/>
          <w:szCs w:val="32"/>
          <w:highlight w:val="none"/>
        </w:rPr>
        <w:t>。</w:t>
      </w:r>
      <w:r>
        <w:rPr>
          <w:rFonts w:hint="eastAsia" w:ascii="Times New Roman" w:hAnsi="Times New Roman" w:eastAsia="仿宋_GB2312" w:cs="Times New Roman"/>
          <w:kern w:val="2"/>
          <w:sz w:val="32"/>
          <w:szCs w:val="32"/>
          <w:lang w:eastAsia="zh-CN"/>
        </w:rPr>
        <w:t>强化“放管服”职能转变，</w:t>
      </w:r>
      <w:r>
        <w:rPr>
          <w:rFonts w:hint="eastAsia" w:ascii="Times New Roman" w:hAnsi="Times New Roman" w:eastAsia="仿宋_GB2312" w:cs="Times New Roman"/>
          <w:kern w:val="2"/>
          <w:sz w:val="32"/>
          <w:szCs w:val="32"/>
          <w:lang w:val="en-US" w:eastAsia="zh-CN"/>
        </w:rPr>
        <w:t>加快推进政务服务标</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rPr>
        <w:t>准化、规范化、便利化，持续提升行政效能。</w:t>
      </w:r>
      <w:r>
        <w:rPr>
          <w:rFonts w:hint="eastAsia" w:ascii="仿宋_GB2312" w:hAnsi="仿宋_GB2312" w:eastAsia="仿宋_GB2312" w:cs="仿宋_GB2312"/>
          <w:kern w:val="2"/>
          <w:sz w:val="32"/>
          <w:szCs w:val="32"/>
          <w:highlight w:val="none"/>
        </w:rPr>
        <w:t>打造功能完善、服务周全的15分钟便民服务圈，落实便民事项</w:t>
      </w:r>
      <w:r>
        <w:rPr>
          <w:rFonts w:hint="eastAsia" w:ascii="仿宋_GB2312" w:hAnsi="仿宋_GB2312" w:eastAsia="仿宋_GB2312" w:cs="仿宋_GB2312"/>
          <w:kern w:val="2"/>
          <w:sz w:val="32"/>
          <w:szCs w:val="32"/>
          <w:highlight w:val="none"/>
          <w:lang w:val="en-US" w:eastAsia="zh-CN"/>
        </w:rPr>
        <w:t>一站式办理，让群众“近”享便利</w:t>
      </w:r>
      <w:r>
        <w:rPr>
          <w:rFonts w:hint="eastAsia" w:ascii="仿宋_GB2312" w:hAnsi="仿宋_GB2312" w:eastAsia="仿宋_GB2312" w:cs="仿宋_GB2312"/>
          <w:kern w:val="2"/>
          <w:sz w:val="32"/>
          <w:szCs w:val="32"/>
          <w:highlight w:val="none"/>
        </w:rPr>
        <w:t>。2022年</w:t>
      </w:r>
      <w:r>
        <w:rPr>
          <w:rFonts w:hint="eastAsia" w:ascii="仿宋_GB2312" w:hAnsi="仿宋_GB2312" w:eastAsia="仿宋_GB2312" w:cs="仿宋_GB2312"/>
          <w:kern w:val="2"/>
          <w:sz w:val="32"/>
          <w:szCs w:val="32"/>
          <w:highlight w:val="none"/>
          <w:lang w:val="en-US" w:eastAsia="zh-CN"/>
        </w:rPr>
        <w:t>累计办理</w:t>
      </w:r>
      <w:r>
        <w:rPr>
          <w:rFonts w:hint="eastAsia" w:ascii="仿宋_GB2312" w:hAnsi="仿宋_GB2312" w:eastAsia="仿宋_GB2312" w:cs="仿宋_GB2312"/>
          <w:kern w:val="2"/>
          <w:sz w:val="32"/>
          <w:szCs w:val="32"/>
          <w:highlight w:val="none"/>
        </w:rPr>
        <w:t>12345平台等</w:t>
      </w:r>
      <w:r>
        <w:rPr>
          <w:rFonts w:hint="eastAsia" w:ascii="仿宋_GB2312" w:hAnsi="仿宋_GB2312" w:eastAsia="仿宋_GB2312" w:cs="仿宋_GB2312"/>
          <w:kern w:val="2"/>
          <w:sz w:val="32"/>
          <w:szCs w:val="32"/>
          <w:highlight w:val="none"/>
          <w:lang w:eastAsia="zh-CN"/>
        </w:rPr>
        <w:t>渠道</w:t>
      </w:r>
      <w:r>
        <w:rPr>
          <w:rFonts w:hint="eastAsia" w:ascii="仿宋_GB2312" w:hAnsi="仿宋_GB2312" w:eastAsia="仿宋_GB2312" w:cs="仿宋_GB2312"/>
          <w:kern w:val="2"/>
          <w:sz w:val="32"/>
          <w:szCs w:val="32"/>
          <w:highlight w:val="none"/>
        </w:rPr>
        <w:t>转交办</w:t>
      </w:r>
      <w:r>
        <w:rPr>
          <w:rFonts w:hint="eastAsia" w:ascii="仿宋_GB2312" w:hAnsi="仿宋_GB2312" w:eastAsia="仿宋_GB2312" w:cs="仿宋_GB2312"/>
          <w:kern w:val="2"/>
          <w:sz w:val="32"/>
          <w:szCs w:val="32"/>
          <w:highlight w:val="none"/>
          <w:lang w:val="en-US" w:eastAsia="zh-CN"/>
        </w:rPr>
        <w:t>件1534</w:t>
      </w:r>
      <w:r>
        <w:rPr>
          <w:rFonts w:hint="eastAsia" w:ascii="仿宋_GB2312" w:hAnsi="仿宋_GB2312" w:eastAsia="仿宋_GB2312" w:cs="仿宋_GB2312"/>
          <w:kern w:val="2"/>
          <w:sz w:val="32"/>
          <w:szCs w:val="32"/>
          <w:highlight w:val="none"/>
        </w:rPr>
        <w:t>件，接待、受理群众各类事项共计</w:t>
      </w:r>
      <w:r>
        <w:rPr>
          <w:rFonts w:hint="eastAsia" w:ascii="仿宋_GB2312" w:hAnsi="仿宋_GB2312" w:eastAsia="仿宋_GB2312" w:cs="仿宋_GB2312"/>
          <w:kern w:val="2"/>
          <w:sz w:val="32"/>
          <w:szCs w:val="32"/>
          <w:highlight w:val="none"/>
          <w:lang w:val="en-US" w:eastAsia="zh-CN"/>
        </w:rPr>
        <w:t>23132</w:t>
      </w:r>
      <w:r>
        <w:rPr>
          <w:rFonts w:hint="eastAsia" w:ascii="仿宋_GB2312" w:hAnsi="仿宋_GB2312" w:eastAsia="仿宋_GB2312" w:cs="仿宋_GB2312"/>
          <w:kern w:val="2"/>
          <w:sz w:val="32"/>
          <w:szCs w:val="32"/>
          <w:highlight w:val="none"/>
        </w:rPr>
        <w:t>件，及时受理率100%，按时办结率100%。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rPr>
      </w:pPr>
      <w:r>
        <w:rPr>
          <w:rFonts w:hint="eastAsia" w:ascii="楷体_GB2312" w:hAnsi="楷体_GB2312" w:eastAsia="楷体_GB2312" w:cs="楷体_GB2312"/>
          <w:kern w:val="2"/>
          <w:sz w:val="32"/>
          <w:szCs w:val="32"/>
          <w:highlight w:val="none"/>
          <w:lang w:val="en-US" w:eastAsia="zh-CN"/>
        </w:rPr>
        <w:t>二是</w:t>
      </w:r>
      <w:r>
        <w:rPr>
          <w:rFonts w:hint="eastAsia" w:ascii="楷体_GB2312" w:hAnsi="楷体_GB2312" w:eastAsia="楷体_GB2312" w:cs="楷体_GB2312"/>
          <w:kern w:val="2"/>
          <w:sz w:val="32"/>
          <w:szCs w:val="32"/>
          <w:highlight w:val="none"/>
        </w:rPr>
        <w:t>依法行政</w:t>
      </w:r>
      <w:r>
        <w:rPr>
          <w:rFonts w:hint="eastAsia" w:ascii="楷体_GB2312" w:hAnsi="楷体_GB2312" w:eastAsia="楷体_GB2312" w:cs="楷体_GB2312"/>
          <w:kern w:val="2"/>
          <w:sz w:val="32"/>
          <w:szCs w:val="32"/>
          <w:highlight w:val="none"/>
          <w:lang w:val="en-US" w:eastAsia="zh-CN"/>
        </w:rPr>
        <w:t>全面推进</w:t>
      </w:r>
      <w:r>
        <w:rPr>
          <w:rFonts w:hint="eastAsia" w:ascii="楷体_GB2312" w:hAnsi="楷体_GB2312" w:eastAsia="楷体_GB2312" w:cs="楷体_GB2312"/>
          <w:kern w:val="2"/>
          <w:sz w:val="32"/>
          <w:szCs w:val="32"/>
          <w:highlight w:val="none"/>
        </w:rPr>
        <w:t>。</w:t>
      </w:r>
      <w:r>
        <w:rPr>
          <w:rFonts w:hint="eastAsia" w:ascii="仿宋_GB2312" w:hAnsi="仿宋_GB2312" w:eastAsia="仿宋_GB2312" w:cs="仿宋_GB2312"/>
          <w:spacing w:val="0"/>
          <w:kern w:val="2"/>
          <w:sz w:val="32"/>
          <w:szCs w:val="32"/>
          <w:highlight w:val="none"/>
          <w:lang w:val="en-US" w:eastAsia="zh-CN"/>
        </w:rPr>
        <w:t>进一步完善重大</w:t>
      </w:r>
      <w:r>
        <w:rPr>
          <w:rFonts w:hint="eastAsia" w:ascii="仿宋_GB2312" w:hAnsi="仿宋_GB2312" w:eastAsia="仿宋_GB2312" w:cs="仿宋_GB2312"/>
          <w:spacing w:val="0"/>
          <w:kern w:val="2"/>
          <w:sz w:val="32"/>
          <w:szCs w:val="32"/>
          <w:highlight w:val="none"/>
        </w:rPr>
        <w:t>事项集体决策</w:t>
      </w:r>
      <w:r>
        <w:rPr>
          <w:rFonts w:hint="eastAsia" w:ascii="仿宋_GB2312" w:hAnsi="仿宋_GB2312" w:eastAsia="仿宋_GB2312" w:cs="仿宋_GB2312"/>
          <w:spacing w:val="0"/>
          <w:kern w:val="2"/>
          <w:sz w:val="32"/>
          <w:szCs w:val="32"/>
          <w:highlight w:val="none"/>
          <w:lang w:val="en-US" w:eastAsia="zh-CN"/>
        </w:rPr>
        <w:t>等</w:t>
      </w:r>
      <w:r>
        <w:rPr>
          <w:rFonts w:hint="eastAsia" w:ascii="仿宋_GB2312" w:hAnsi="仿宋_GB2312" w:eastAsia="仿宋_GB2312" w:cs="仿宋_GB2312"/>
          <w:spacing w:val="0"/>
          <w:kern w:val="2"/>
          <w:sz w:val="32"/>
          <w:szCs w:val="32"/>
          <w:highlight w:val="none"/>
        </w:rPr>
        <w:t>制度</w:t>
      </w:r>
      <w:r>
        <w:rPr>
          <w:rFonts w:hint="eastAsia" w:ascii="仿宋_GB2312" w:hAnsi="仿宋_GB2312" w:eastAsia="仿宋_GB2312" w:cs="仿宋_GB2312"/>
          <w:spacing w:val="0"/>
          <w:kern w:val="2"/>
          <w:sz w:val="32"/>
          <w:szCs w:val="32"/>
          <w:highlight w:val="none"/>
          <w:lang w:eastAsia="zh-CN"/>
        </w:rPr>
        <w:t>，</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rPr>
        <w:t>认真做好政务信息公开工作，</w:t>
      </w:r>
      <w:r>
        <w:rPr>
          <w:rFonts w:hint="eastAsia" w:ascii="仿宋_GB2312" w:hAnsi="仿宋_GB2312" w:eastAsia="仿宋_GB2312" w:cs="仿宋_GB2312"/>
          <w:spacing w:val="0"/>
          <w:kern w:val="2"/>
          <w:sz w:val="32"/>
          <w:szCs w:val="32"/>
          <w:highlight w:val="none"/>
          <w:lang w:val="en-US" w:eastAsia="zh-CN"/>
        </w:rPr>
        <w:t>切实提高</w:t>
      </w:r>
      <w:r>
        <w:rPr>
          <w:rFonts w:hint="eastAsia" w:ascii="仿宋_GB2312" w:hAnsi="仿宋_GB2312" w:eastAsia="仿宋_GB2312" w:cs="仿宋_GB2312"/>
          <w:color w:val="auto"/>
          <w:spacing w:val="0"/>
          <w:kern w:val="2"/>
          <w:sz w:val="32"/>
          <w:szCs w:val="32"/>
          <w:highlight w:val="none"/>
        </w:rPr>
        <w:t>决策的科学化、民主化和规范化</w:t>
      </w:r>
      <w:r>
        <w:rPr>
          <w:rFonts w:hint="eastAsia" w:ascii="仿宋_GB2312" w:hAnsi="仿宋_GB2312" w:eastAsia="仿宋_GB2312" w:cs="仿宋_GB2312"/>
          <w:color w:val="auto"/>
          <w:spacing w:val="0"/>
          <w:kern w:val="2"/>
          <w:sz w:val="32"/>
          <w:szCs w:val="32"/>
          <w:highlight w:val="none"/>
          <w:lang w:val="en-US" w:eastAsia="zh-CN"/>
        </w:rPr>
        <w:t>水平。</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rPr>
        <w:t>自觉接受人大、政协监督，积极推进十大民生实事项目落地，按时办复人大代表意见建议27件，满意率及基本满意率达100%。落实</w:t>
      </w:r>
      <w:r>
        <w:rPr>
          <w:rFonts w:hint="eastAsia" w:ascii="仿宋_GB2312" w:hAnsi="仿宋_GB2312" w:eastAsia="仿宋_GB2312" w:cs="仿宋_GB2312"/>
          <w:spacing w:val="0"/>
          <w:kern w:val="2"/>
          <w:sz w:val="32"/>
          <w:szCs w:val="32"/>
          <w:highlight w:val="none"/>
          <w:lang w:val="en-US" w:eastAsia="zh-CN"/>
        </w:rPr>
        <w:t>政府法律顾问制度，加强政府规范性文件合法性审查，不断提升依法办事能力。</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Calibri" w:eastAsia="仿宋_GB2312" w:cs="仿宋_GB2312"/>
          <w:b w:val="0"/>
          <w:color w:val="000000"/>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rPr>
        <w:t>三是廉政建设全面加强</w:t>
      </w:r>
      <w:r>
        <w:rPr>
          <w:rFonts w:hint="eastAsia" w:ascii="楷体_GB2312" w:hAnsi="楷体_GB2312" w:eastAsia="楷体_GB2312" w:cs="楷体_GB2312"/>
          <w:kern w:val="2"/>
          <w:sz w:val="32"/>
          <w:szCs w:val="32"/>
          <w:highlight w:val="none"/>
        </w:rPr>
        <w:t>。</w:t>
      </w:r>
      <w:r>
        <w:rPr>
          <w:rFonts w:hint="eastAsia" w:ascii="仿宋_GB2312" w:hAnsi="仿宋_GB2312" w:eastAsia="仿宋_GB2312" w:cs="仿宋_GB2312"/>
          <w:b w:val="0"/>
          <w:bCs/>
          <w:kern w:val="2"/>
          <w:sz w:val="32"/>
          <w:szCs w:val="32"/>
          <w:highlight w:val="none"/>
          <w:lang w:val="en-US" w:eastAsia="zh-CN" w:bidi="ar-SA"/>
        </w:rPr>
        <w:t>贯彻全面从严治党新任务新要求</w:t>
      </w:r>
      <w:r>
        <w:rPr>
          <w:rFonts w:hint="eastAsia" w:ascii="仿宋_GB2312" w:hAnsi="仿宋_GB2312" w:eastAsia="仿宋_GB2312" w:cs="仿宋_GB2312"/>
          <w:b w:val="0"/>
          <w:bCs w:val="0"/>
          <w:color w:val="auto"/>
          <w:spacing w:val="0"/>
          <w:kern w:val="2"/>
          <w:sz w:val="32"/>
          <w:highlight w:val="none"/>
          <w:lang w:val="en-US" w:eastAsia="zh-CN"/>
        </w:rPr>
        <w:t>，组织签订全面从严治党主体责任书40份，压实党风廉政工作责任链</w:t>
      </w:r>
      <w:bookmarkStart w:id="0" w:name="_GoBack"/>
      <w:bookmarkEnd w:id="0"/>
      <w:r>
        <w:rPr>
          <w:rFonts w:hint="eastAsia" w:ascii="仿宋_GB2312" w:hAnsi="仿宋_GB2312" w:eastAsia="仿宋_GB2312" w:cs="仿宋_GB2312"/>
          <w:b w:val="0"/>
          <w:bCs w:val="0"/>
          <w:color w:val="auto"/>
          <w:spacing w:val="0"/>
          <w:kern w:val="2"/>
          <w:sz w:val="32"/>
          <w:highlight w:val="none"/>
          <w:lang w:val="en-US" w:eastAsia="zh-CN"/>
        </w:rPr>
        <w:t>。持续加强机关效能建设，开展日常监督检查45次，下发督查专报8份，</w:t>
      </w:r>
      <w:r>
        <w:rPr>
          <w:rFonts w:hint="eastAsia" w:ascii="仿宋_GB2312" w:hAnsi="Calibri" w:eastAsia="仿宋_GB2312" w:cs="仿宋_GB2312"/>
          <w:b w:val="0"/>
          <w:color w:val="000000"/>
          <w:kern w:val="2"/>
          <w:sz w:val="32"/>
          <w:szCs w:val="32"/>
          <w:highlight w:val="none"/>
          <w:lang w:val="en-US" w:eastAsia="zh-CN" w:bidi="ar-SA"/>
        </w:rPr>
        <w:t>通报违反工作纪律、制度执行不严等问题13起</w:t>
      </w:r>
      <w:r>
        <w:rPr>
          <w:rFonts w:hint="eastAsia" w:ascii="仿宋_GB2312" w:eastAsia="仿宋_GB2312" w:cs="仿宋_GB2312"/>
          <w:b w:val="0"/>
          <w:color w:val="000000"/>
          <w:kern w:val="2"/>
          <w:sz w:val="32"/>
          <w:szCs w:val="32"/>
          <w:highlight w:val="none"/>
          <w:lang w:val="en-US" w:eastAsia="zh-CN" w:bidi="ar-SA"/>
        </w:rPr>
        <w:t>，营造监督执纪</w:t>
      </w:r>
      <w:r>
        <w:rPr>
          <w:rFonts w:hint="eastAsia" w:ascii="仿宋_GB2312" w:hAnsi="Calibri" w:eastAsia="仿宋_GB2312" w:cs="仿宋_GB2312"/>
          <w:b w:val="0"/>
          <w:color w:val="000000"/>
          <w:kern w:val="2"/>
          <w:sz w:val="32"/>
          <w:szCs w:val="32"/>
          <w:highlight w:val="none"/>
          <w:lang w:val="en-US" w:eastAsia="zh-CN" w:bidi="ar-SA"/>
        </w:rPr>
        <w:t>从严氛围</w:t>
      </w:r>
      <w:r>
        <w:rPr>
          <w:rFonts w:hint="eastAsia" w:ascii="仿宋_GB2312" w:hAnsi="仿宋_GB2312" w:eastAsia="仿宋_GB2312" w:cs="仿宋_GB2312"/>
          <w:b w:val="0"/>
          <w:bCs w:val="0"/>
          <w:color w:val="auto"/>
          <w:spacing w:val="0"/>
          <w:kern w:val="2"/>
          <w:sz w:val="32"/>
          <w:highlight w:val="none"/>
          <w:lang w:val="en-US" w:eastAsia="zh-CN"/>
        </w:rPr>
        <w:t>。</w:t>
      </w:r>
      <w:r>
        <w:rPr>
          <w:rFonts w:hint="eastAsia" w:ascii="仿宋_GB2312" w:hAnsi="Calibri" w:eastAsia="仿宋_GB2312" w:cs="仿宋_GB2312"/>
          <w:b w:val="0"/>
          <w:color w:val="000000"/>
          <w:kern w:val="2"/>
          <w:sz w:val="32"/>
          <w:szCs w:val="32"/>
          <w:highlight w:val="none"/>
          <w:lang w:val="en-US" w:eastAsia="zh-CN" w:bidi="ar-SA"/>
        </w:rPr>
        <w:t>打造节约型政府，</w:t>
      </w:r>
      <w:r>
        <w:rPr>
          <w:rFonts w:hint="eastAsia" w:ascii="仿宋_GB2312" w:hAnsi="仿宋_GB2312" w:eastAsia="仿宋_GB2312" w:cs="仿宋_GB2312"/>
          <w:b w:val="0"/>
          <w:bCs w:val="0"/>
          <w:color w:val="auto"/>
          <w:spacing w:val="0"/>
          <w:kern w:val="2"/>
          <w:sz w:val="32"/>
          <w:szCs w:val="24"/>
          <w:highlight w:val="none"/>
          <w:lang w:val="en-US" w:eastAsia="zh-CN" w:bidi="ar-SA"/>
        </w:rPr>
        <w:t>加强财</w:t>
      </w:r>
      <w:r>
        <w:rPr>
          <w:rFonts w:hint="eastAsia" w:ascii="仿宋_GB2312" w:hAnsi="Calibri" w:eastAsia="仿宋_GB2312" w:cs="仿宋_GB2312"/>
          <w:b w:val="0"/>
          <w:color w:val="000000"/>
          <w:kern w:val="2"/>
          <w:sz w:val="32"/>
          <w:szCs w:val="32"/>
          <w:highlight w:val="none"/>
          <w:lang w:val="en-US" w:eastAsia="zh-CN" w:bidi="ar-SA"/>
        </w:rPr>
        <w:t>政预算刚性管理，严控“三公”经费等支出，进一步压减行政开支。强化审计规范化建设，开展工程项目预决算审计314个，核减资金1020万元。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仿宋_GB2312"/>
          <w:color w:val="000000"/>
          <w:kern w:val="2"/>
          <w:sz w:val="32"/>
          <w:szCs w:val="32"/>
          <w:highlight w:val="none"/>
        </w:rPr>
      </w:pPr>
      <w:r>
        <w:rPr>
          <w:rFonts w:hint="eastAsia" w:ascii="仿宋_GB2312" w:hAnsi="黑体" w:eastAsia="仿宋_GB2312" w:cs="仿宋_GB2312"/>
          <w:color w:val="000000"/>
          <w:kern w:val="2"/>
          <w:sz w:val="32"/>
          <w:szCs w:val="32"/>
          <w:highlight w:val="none"/>
        </w:rPr>
        <w:t>此外</w:t>
      </w:r>
      <w:r>
        <w:rPr>
          <w:rFonts w:hint="eastAsia" w:ascii="仿宋_GB2312" w:hAnsi="仿宋_GB2312" w:eastAsia="仿宋_GB2312" w:cs="仿宋_GB2312"/>
          <w:b w:val="0"/>
          <w:bCs w:val="0"/>
          <w:color w:val="auto"/>
          <w:spacing w:val="0"/>
          <w:kern w:val="2"/>
          <w:sz w:val="32"/>
          <w:szCs w:val="24"/>
          <w:highlight w:val="none"/>
          <w:lang w:val="en-US" w:eastAsia="zh-CN" w:bidi="ar-SA"/>
        </w:rPr>
        <w:t>，人武、双拥、统计、物价、老龄、档案、商会、协会等各项工作得</w:t>
      </w:r>
      <w:r>
        <w:rPr>
          <w:rFonts w:hint="eastAsia" w:ascii="仿宋_GB2312" w:hAnsi="黑体" w:eastAsia="仿宋_GB2312" w:cs="仿宋_GB2312"/>
          <w:color w:val="000000"/>
          <w:kern w:val="2"/>
          <w:sz w:val="32"/>
          <w:szCs w:val="32"/>
          <w:highlight w:val="none"/>
        </w:rPr>
        <w:t>到全面加强。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仿宋_GB2312"/>
          <w:color w:val="000000"/>
          <w:kern w:val="2"/>
          <w:sz w:val="32"/>
          <w:szCs w:val="32"/>
          <w:highlight w:val="none"/>
        </w:rPr>
      </w:pPr>
      <w:r>
        <w:rPr>
          <w:rFonts w:hint="eastAsia" w:ascii="仿宋_GB2312" w:hAnsi="黑体" w:eastAsia="仿宋_GB2312" w:cs="仿宋_GB2312"/>
          <w:color w:val="000000"/>
          <w:kern w:val="2"/>
          <w:sz w:val="32"/>
          <w:szCs w:val="32"/>
          <w:highlight w:val="none"/>
        </w:rPr>
        <w:t>各位代表，20</w:t>
      </w:r>
      <w:r>
        <w:rPr>
          <w:rFonts w:hint="eastAsia" w:ascii="仿宋_GB2312" w:hAnsi="黑体" w:eastAsia="仿宋_GB2312" w:cs="仿宋_GB2312"/>
          <w:color w:val="000000"/>
          <w:kern w:val="2"/>
          <w:sz w:val="32"/>
          <w:szCs w:val="32"/>
          <w:highlight w:val="none"/>
          <w:lang w:val="en-US" w:eastAsia="zh-CN"/>
        </w:rPr>
        <w:t>22</w:t>
      </w:r>
      <w:r>
        <w:rPr>
          <w:rFonts w:hint="eastAsia" w:ascii="仿宋_GB2312" w:hAnsi="黑体" w:eastAsia="仿宋_GB2312" w:cs="仿宋_GB2312"/>
          <w:color w:val="000000"/>
          <w:kern w:val="2"/>
          <w:sz w:val="32"/>
          <w:szCs w:val="32"/>
          <w:highlight w:val="none"/>
        </w:rPr>
        <w:t>年西夏墅</w:t>
      </w:r>
      <w:r>
        <w:rPr>
          <w:rFonts w:hint="eastAsia" w:ascii="仿宋_GB2312" w:hAnsi="黑体" w:eastAsia="仿宋_GB2312" w:cs="仿宋_GB2312"/>
          <w:color w:val="000000"/>
          <w:kern w:val="2"/>
          <w:sz w:val="32"/>
          <w:szCs w:val="32"/>
          <w:highlight w:val="none"/>
          <w:lang w:val="en-US" w:eastAsia="zh-CN"/>
        </w:rPr>
        <w:t>镇</w:t>
      </w:r>
      <w:r>
        <w:rPr>
          <w:rFonts w:hint="eastAsia" w:ascii="仿宋_GB2312" w:hAnsi="黑体" w:eastAsia="仿宋_GB2312" w:cs="仿宋_GB2312"/>
          <w:color w:val="000000"/>
          <w:kern w:val="2"/>
          <w:sz w:val="32"/>
          <w:szCs w:val="32"/>
          <w:highlight w:val="none"/>
        </w:rPr>
        <w:t>经济社会发展取得的成绩来之不易。这些成绩的取得，离不开区委、区政府和镇党委的正确领导，离不开各部门、各单位</w:t>
      </w:r>
      <w:r>
        <w:rPr>
          <w:rFonts w:hint="eastAsia" w:ascii="仿宋_GB2312" w:hAnsi="黑体" w:eastAsia="仿宋_GB2312" w:cs="仿宋_GB2312"/>
          <w:color w:val="000000"/>
          <w:kern w:val="2"/>
          <w:sz w:val="32"/>
          <w:szCs w:val="32"/>
          <w:highlight w:val="none"/>
          <w:lang w:eastAsia="zh-CN"/>
        </w:rPr>
        <w:t>的</w:t>
      </w:r>
      <w:r>
        <w:rPr>
          <w:rFonts w:hint="eastAsia" w:ascii="仿宋_GB2312" w:hAnsi="黑体" w:eastAsia="仿宋_GB2312" w:cs="仿宋_GB2312"/>
          <w:color w:val="000000"/>
          <w:kern w:val="2"/>
          <w:sz w:val="32"/>
          <w:szCs w:val="32"/>
          <w:highlight w:val="none"/>
        </w:rPr>
        <w:t>团结协作，更离不开全镇广大干部群众的共同努力。在此，我谨代表西夏墅镇人民政府，向所有关心、支持、参与西夏墅建设的同志们、朋友们表示衷心的感谢，并致以崇高的敬意！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kern w:val="2"/>
          <w:sz w:val="32"/>
          <w:szCs w:val="32"/>
          <w:highlight w:val="none"/>
        </w:rPr>
      </w:pPr>
      <w:r>
        <w:rPr>
          <w:rFonts w:hint="eastAsia" w:ascii="仿宋_GB2312" w:hAnsi="黑体" w:eastAsia="仿宋_GB2312" w:cs="仿宋_GB2312"/>
          <w:color w:val="000000"/>
          <w:kern w:val="2"/>
          <w:sz w:val="32"/>
          <w:szCs w:val="32"/>
          <w:highlight w:val="none"/>
        </w:rPr>
        <w:t>在充分肯定成绩的同时，我们也清醒的认识到发展中存在的问题</w:t>
      </w:r>
      <w:r>
        <w:rPr>
          <w:rFonts w:hint="eastAsia" w:ascii="仿宋_GB2312" w:hAnsi="黑体" w:eastAsia="仿宋_GB2312" w:cs="仿宋_GB2312"/>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b/>
          <w:bCs/>
          <w:kern w:val="2"/>
          <w:sz w:val="32"/>
          <w:szCs w:val="32"/>
          <w:highlight w:val="none"/>
          <w:lang w:val="en-US" w:eastAsia="zh-CN"/>
        </w:rPr>
        <w:t>一是特色产业规模优势不强。</w:t>
      </w:r>
      <w:r>
        <w:rPr>
          <w:rFonts w:hint="eastAsia" w:ascii="仿宋_GB2312" w:hAnsi="仿宋_GB2312" w:eastAsia="仿宋_GB2312" w:cs="仿宋_GB2312"/>
          <w:b w:val="0"/>
          <w:bCs w:val="0"/>
          <w:color w:val="000000"/>
          <w:kern w:val="2"/>
          <w:sz w:val="32"/>
          <w:szCs w:val="32"/>
          <w:lang w:eastAsia="zh-CN"/>
        </w:rPr>
        <w:t>刀工具、新材料两</w:t>
      </w:r>
      <w:r>
        <w:rPr>
          <w:rFonts w:hint="eastAsia" w:ascii="仿宋_GB2312" w:hAnsi="仿宋_GB2312" w:eastAsia="仿宋_GB2312" w:cs="仿宋_GB2312"/>
          <w:b w:val="0"/>
          <w:bCs w:val="0"/>
          <w:color w:val="000000"/>
          <w:kern w:val="2"/>
          <w:sz w:val="32"/>
          <w:szCs w:val="32"/>
          <w:lang w:val="en-US" w:eastAsia="zh-CN"/>
        </w:rPr>
        <w:t>大</w:t>
      </w:r>
      <w:r>
        <w:rPr>
          <w:rFonts w:hint="eastAsia" w:ascii="仿宋_GB2312" w:hAnsi="仿宋_GB2312" w:eastAsia="仿宋_GB2312" w:cs="仿宋_GB2312"/>
          <w:b w:val="0"/>
          <w:bCs w:val="0"/>
          <w:color w:val="000000"/>
          <w:kern w:val="2"/>
          <w:sz w:val="32"/>
          <w:szCs w:val="32"/>
          <w:lang w:eastAsia="zh-CN"/>
        </w:rPr>
        <w:t>主导产业都未突破百亿级规模，</w:t>
      </w:r>
      <w:r>
        <w:rPr>
          <w:rFonts w:hint="eastAsia" w:ascii="仿宋_GB2312" w:hAnsi="仿宋_GB2312" w:eastAsia="仿宋_GB2312" w:cs="仿宋_GB2312"/>
          <w:kern w:val="2"/>
          <w:sz w:val="32"/>
          <w:szCs w:val="32"/>
          <w:highlight w:val="none"/>
          <w:lang w:val="en-US" w:eastAsia="zh-CN"/>
        </w:rPr>
        <w:t>“小而散”导致产业集聚效应未能充分发挥，</w:t>
      </w:r>
      <w:r>
        <w:rPr>
          <w:rFonts w:hint="eastAsia" w:ascii="仿宋_GB2312" w:hAnsi="仿宋_GB2312" w:eastAsia="仿宋_GB2312" w:cs="仿宋_GB2312"/>
          <w:color w:val="auto"/>
          <w:kern w:val="2"/>
          <w:sz w:val="32"/>
          <w:szCs w:val="32"/>
          <w:highlight w:val="none"/>
          <w:lang w:val="en-US" w:eastAsia="zh-CN"/>
        </w:rPr>
        <w:t>龙头企业引领作用不明显，集聚效应未全面激活</w:t>
      </w:r>
      <w:r>
        <w:rPr>
          <w:rFonts w:hint="eastAsia" w:ascii="仿宋_GB2312" w:hAnsi="仿宋_GB2312" w:eastAsia="仿宋_GB2312" w:cs="仿宋_GB2312"/>
          <w:kern w:val="2"/>
          <w:sz w:val="32"/>
          <w:szCs w:val="32"/>
          <w:highlight w:val="none"/>
        </w:rPr>
        <w:t>。</w:t>
      </w:r>
      <w:r>
        <w:rPr>
          <w:rFonts w:hint="eastAsia" w:ascii="仿宋_GB2312" w:eastAsia="仿宋_GB2312"/>
          <w:b/>
          <w:bCs/>
          <w:kern w:val="2"/>
          <w:sz w:val="32"/>
          <w:szCs w:val="32"/>
          <w:highlight w:val="none"/>
          <w:lang w:val="en-US" w:eastAsia="zh-CN"/>
        </w:rPr>
        <w:t>二是公共服务配套存在短板。</w:t>
      </w:r>
      <w:r>
        <w:rPr>
          <w:rFonts w:hint="eastAsia" w:ascii="仿宋_GB2312" w:eastAsia="仿宋_GB2312"/>
          <w:b w:val="0"/>
          <w:bCs w:val="0"/>
          <w:kern w:val="2"/>
          <w:sz w:val="32"/>
          <w:szCs w:val="32"/>
          <w:highlight w:val="none"/>
          <w:lang w:val="en-US" w:eastAsia="zh-CN"/>
        </w:rPr>
        <w:t>城镇功能配套还不够完善，教育、医疗、养老等优质公共服务供给还不能完全满足群众需要</w:t>
      </w:r>
      <w:r>
        <w:rPr>
          <w:rFonts w:hint="eastAsia" w:ascii="仿宋_GB2312" w:eastAsia="仿宋_GB2312"/>
          <w:kern w:val="2"/>
          <w:sz w:val="32"/>
          <w:szCs w:val="32"/>
          <w:highlight w:val="none"/>
          <w:lang w:val="en-US" w:eastAsia="zh-CN"/>
        </w:rPr>
        <w:t>，河东新镇区建设及老镇区功能提升需要加快推进。</w:t>
      </w:r>
      <w:r>
        <w:rPr>
          <w:rFonts w:hint="eastAsia" w:ascii="仿宋_GB2312" w:eastAsia="仿宋_GB2312"/>
          <w:b/>
          <w:bCs/>
          <w:kern w:val="2"/>
          <w:sz w:val="32"/>
          <w:szCs w:val="32"/>
          <w:highlight w:val="none"/>
          <w:lang w:val="en-US" w:eastAsia="zh-CN"/>
        </w:rPr>
        <w:t>三是财政收支矛盾日益突出。</w:t>
      </w:r>
      <w:r>
        <w:rPr>
          <w:rFonts w:hint="eastAsia" w:ascii="仿宋_GB2312" w:hAnsi="华文楷体" w:eastAsia="仿宋_GB2312"/>
          <w:kern w:val="2"/>
          <w:sz w:val="32"/>
          <w:szCs w:val="32"/>
          <w:highlight w:val="none"/>
        </w:rPr>
        <w:t>民生领域刚性支出大幅增加</w:t>
      </w:r>
      <w:r>
        <w:rPr>
          <w:rFonts w:hint="eastAsia" w:ascii="仿宋_GB2312" w:hAnsi="华文楷体" w:eastAsia="仿宋_GB2312"/>
          <w:kern w:val="2"/>
          <w:sz w:val="32"/>
          <w:szCs w:val="32"/>
          <w:highlight w:val="none"/>
          <w:lang w:eastAsia="zh-CN"/>
        </w:rPr>
        <w:t>，</w:t>
      </w:r>
      <w:r>
        <w:rPr>
          <w:rFonts w:hint="eastAsia" w:ascii="仿宋_GB2312" w:hAnsi="Times New Roman" w:eastAsia="仿宋_GB2312"/>
          <w:b w:val="0"/>
          <w:bCs w:val="0"/>
          <w:kern w:val="2"/>
          <w:sz w:val="32"/>
          <w:szCs w:val="32"/>
          <w:highlight w:val="none"/>
          <w:lang w:val="en-US" w:eastAsia="zh-CN"/>
        </w:rPr>
        <w:t>财政</w:t>
      </w:r>
      <w:r>
        <w:rPr>
          <w:rFonts w:hint="eastAsia" w:ascii="仿宋_GB2312" w:hAnsi="Times New Roman" w:eastAsia="仿宋_GB2312"/>
          <w:b w:val="0"/>
          <w:bCs w:val="0"/>
          <w:kern w:val="2"/>
          <w:sz w:val="32"/>
          <w:szCs w:val="32"/>
          <w:highlight w:val="none"/>
          <w:lang w:eastAsia="zh-CN"/>
        </w:rPr>
        <w:t>收入难以</w:t>
      </w:r>
      <w:r>
        <w:rPr>
          <w:rFonts w:hint="default" w:ascii="仿宋_GB2312" w:hAnsi="Times New Roman" w:eastAsia="仿宋_GB2312"/>
          <w:b w:val="0"/>
          <w:bCs w:val="0"/>
          <w:kern w:val="2"/>
          <w:sz w:val="32"/>
          <w:szCs w:val="32"/>
          <w:highlight w:val="none"/>
          <w:lang w:eastAsia="zh-CN"/>
        </w:rPr>
        <w:t>覆盖支出需</w:t>
      </w:r>
      <w:r>
        <w:rPr>
          <w:rFonts w:hint="eastAsia" w:ascii="仿宋_GB2312" w:hAnsi="Times New Roman" w:eastAsia="仿宋_GB2312"/>
          <w:b w:val="0"/>
          <w:bCs w:val="0"/>
          <w:kern w:val="2"/>
          <w:sz w:val="32"/>
          <w:szCs w:val="32"/>
          <w:highlight w:val="none"/>
          <w:lang w:eastAsia="zh-CN"/>
        </w:rPr>
        <w:t>求</w:t>
      </w:r>
      <w:r>
        <w:rPr>
          <w:rFonts w:hint="eastAsia" w:ascii="仿宋_GB2312" w:hAnsi="华文楷体" w:eastAsia="仿宋_GB2312" w:cs="Times New Roman"/>
          <w:kern w:val="2"/>
          <w:sz w:val="32"/>
          <w:szCs w:val="32"/>
          <w:highlight w:val="none"/>
        </w:rPr>
        <w:t>，地方</w:t>
      </w:r>
      <w:r>
        <w:rPr>
          <w:rFonts w:hint="eastAsia" w:ascii="仿宋_GB2312" w:hAnsi="华文楷体" w:eastAsia="仿宋_GB2312" w:cs="Times New Roman"/>
          <w:kern w:val="2"/>
          <w:sz w:val="32"/>
          <w:szCs w:val="32"/>
          <w:highlight w:val="none"/>
          <w:lang w:val="en-US" w:eastAsia="zh-CN"/>
        </w:rPr>
        <w:t>财政刚性运行困难。</w:t>
      </w:r>
      <w:r>
        <w:rPr>
          <w:rFonts w:hint="eastAsia" w:ascii="仿宋_GB2312" w:eastAsia="仿宋_GB2312"/>
          <w:b/>
          <w:bCs/>
          <w:kern w:val="2"/>
          <w:sz w:val="32"/>
          <w:szCs w:val="32"/>
          <w:highlight w:val="none"/>
          <w:lang w:val="en-US" w:eastAsia="zh-CN"/>
        </w:rPr>
        <w:t>四是干部作风建设仍需加强。</w:t>
      </w:r>
      <w:r>
        <w:rPr>
          <w:rFonts w:hint="eastAsia" w:ascii="仿宋_GB2312" w:hAnsi="仿宋_GB2312" w:eastAsia="仿宋_GB2312" w:cs="仿宋_GB2312"/>
          <w:kern w:val="2"/>
          <w:sz w:val="32"/>
          <w:szCs w:val="32"/>
          <w:highlight w:val="none"/>
        </w:rPr>
        <w:t>少数干部</w:t>
      </w:r>
      <w:r>
        <w:rPr>
          <w:rFonts w:hint="eastAsia" w:ascii="仿宋_GB2312" w:hAnsi="仿宋_GB2312" w:eastAsia="仿宋_GB2312" w:cs="仿宋_GB2312"/>
          <w:kern w:val="2"/>
          <w:sz w:val="32"/>
          <w:szCs w:val="32"/>
        </w:rPr>
        <w:t>干事创业的能力和激情仍需提升，</w:t>
      </w:r>
      <w:r>
        <w:rPr>
          <w:rFonts w:hint="eastAsia" w:ascii="仿宋_GB2312" w:hAnsi="仿宋_GB2312" w:eastAsia="仿宋_GB2312" w:cs="仿宋_GB2312"/>
          <w:kern w:val="2"/>
          <w:sz w:val="32"/>
          <w:szCs w:val="32"/>
          <w:highlight w:val="none"/>
        </w:rPr>
        <w:t>担当意识、改革思维、攻坚劲头</w:t>
      </w:r>
      <w:r>
        <w:rPr>
          <w:rFonts w:hint="eastAsia" w:ascii="仿宋_GB2312" w:hAnsi="仿宋_GB2312" w:eastAsia="仿宋_GB2312" w:cs="仿宋_GB2312"/>
          <w:kern w:val="2"/>
          <w:sz w:val="32"/>
          <w:szCs w:val="32"/>
          <w:highlight w:val="none"/>
          <w:lang w:val="en-US" w:eastAsia="zh-CN"/>
        </w:rPr>
        <w:t>有所减退</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rPr>
        <w:t>不愿担当、不敢担当、不会担当的现象依然存在。</w:t>
      </w:r>
      <w:r>
        <w:rPr>
          <w:rFonts w:hint="eastAsia" w:ascii="仿宋_GB2312" w:hAnsi="仿宋_GB2312" w:eastAsia="仿宋_GB2312" w:cs="仿宋_GB2312"/>
          <w:kern w:val="2"/>
          <w:sz w:val="32"/>
          <w:szCs w:val="32"/>
          <w:highlight w:val="none"/>
        </w:rPr>
        <w:t>对此，我们将采取扎实有效措施，切实予以解决。</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kern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2023年重点工作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20</w:t>
      </w:r>
      <w:r>
        <w:rPr>
          <w:rFonts w:hint="eastAsia" w:ascii="仿宋_GB2312" w:hAnsi="仿宋_GB2312" w:eastAsia="仿宋_GB2312" w:cs="仿宋_GB2312"/>
          <w:color w:val="auto"/>
          <w:kern w:val="2"/>
          <w:sz w:val="32"/>
          <w:szCs w:val="32"/>
          <w:lang w:val="en-US" w:eastAsia="zh-CN"/>
        </w:rPr>
        <w:t>23</w:t>
      </w:r>
      <w:r>
        <w:rPr>
          <w:rFonts w:hint="default" w:ascii="仿宋_GB2312" w:hAnsi="仿宋_GB2312" w:eastAsia="仿宋_GB2312" w:cs="仿宋_GB2312"/>
          <w:color w:val="auto"/>
          <w:kern w:val="2"/>
          <w:sz w:val="32"/>
          <w:szCs w:val="32"/>
          <w:lang w:val="en-US" w:eastAsia="zh-CN"/>
        </w:rPr>
        <w:t>年是</w:t>
      </w:r>
      <w:r>
        <w:rPr>
          <w:rFonts w:hint="eastAsia" w:ascii="仿宋_GB2312" w:hAnsi="仿宋_GB2312" w:eastAsia="仿宋_GB2312" w:cs="仿宋_GB2312"/>
          <w:color w:val="auto"/>
          <w:kern w:val="2"/>
          <w:sz w:val="32"/>
          <w:szCs w:val="32"/>
          <w:lang w:val="en-US" w:eastAsia="zh-CN"/>
        </w:rPr>
        <w:t>全面贯彻</w:t>
      </w:r>
      <w:r>
        <w:rPr>
          <w:rFonts w:hint="default" w:ascii="仿宋_GB2312" w:hAnsi="仿宋_GB2312" w:eastAsia="仿宋_GB2312" w:cs="仿宋_GB2312"/>
          <w:color w:val="auto"/>
          <w:kern w:val="2"/>
          <w:sz w:val="32"/>
          <w:szCs w:val="32"/>
          <w:lang w:val="en-US" w:eastAsia="zh-CN"/>
        </w:rPr>
        <w:t>落实党的</w:t>
      </w:r>
      <w:r>
        <w:rPr>
          <w:rFonts w:hint="eastAsia" w:ascii="仿宋_GB2312" w:hAnsi="仿宋_GB2312" w:eastAsia="仿宋_GB2312" w:cs="仿宋_GB2312"/>
          <w:color w:val="auto"/>
          <w:kern w:val="2"/>
          <w:sz w:val="32"/>
          <w:szCs w:val="32"/>
          <w:lang w:val="en-US" w:eastAsia="zh-CN"/>
        </w:rPr>
        <w:t>二十</w:t>
      </w:r>
      <w:r>
        <w:rPr>
          <w:rFonts w:hint="default" w:ascii="仿宋_GB2312" w:hAnsi="仿宋_GB2312" w:eastAsia="仿宋_GB2312" w:cs="仿宋_GB2312"/>
          <w:color w:val="auto"/>
          <w:kern w:val="2"/>
          <w:sz w:val="32"/>
          <w:szCs w:val="32"/>
          <w:lang w:val="en-US" w:eastAsia="zh-CN"/>
        </w:rPr>
        <w:t>大</w:t>
      </w:r>
      <w:r>
        <w:rPr>
          <w:rFonts w:hint="eastAsia" w:ascii="仿宋_GB2312" w:hAnsi="仿宋_GB2312" w:eastAsia="仿宋_GB2312" w:cs="仿宋_GB2312"/>
          <w:color w:val="auto"/>
          <w:kern w:val="2"/>
          <w:sz w:val="32"/>
          <w:szCs w:val="32"/>
          <w:lang w:val="en-US" w:eastAsia="zh-CN"/>
        </w:rPr>
        <w:t>精神</w:t>
      </w:r>
      <w:r>
        <w:rPr>
          <w:rFonts w:hint="default" w:ascii="仿宋_GB2312" w:hAnsi="仿宋_GB2312" w:eastAsia="仿宋_GB2312" w:cs="仿宋_GB2312"/>
          <w:color w:val="auto"/>
          <w:kern w:val="2"/>
          <w:sz w:val="32"/>
          <w:szCs w:val="32"/>
          <w:lang w:val="en-US" w:eastAsia="zh-CN"/>
        </w:rPr>
        <w:t>的开局之年</w:t>
      </w:r>
      <w:r>
        <w:rPr>
          <w:rFonts w:hint="eastAsia" w:ascii="仿宋_GB2312" w:hAnsi="仿宋_GB2312" w:eastAsia="仿宋_GB2312" w:cs="仿宋_GB2312"/>
          <w:color w:val="auto"/>
          <w:kern w:val="2"/>
          <w:sz w:val="32"/>
          <w:szCs w:val="32"/>
          <w:lang w:val="en-US" w:eastAsia="zh-CN"/>
        </w:rPr>
        <w:t>，是实施“十四五”规划承上启下的关键之年，做好明年各项工作意义深远、责任重大。我们将坚持以习近平新时代中国特色社会主义思想为指导，按照区委、区政府决策部署，围绕镇第五次党员代表大会提出的目标，奋力开创西夏墅镇现代化建设新局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kern w:val="2"/>
          <w:sz w:val="32"/>
          <w:szCs w:val="32"/>
          <w:lang w:val="en-US" w:eastAsia="zh-CN"/>
        </w:rPr>
      </w:pPr>
      <w:r>
        <w:rPr>
          <w:rFonts w:hint="eastAsia" w:ascii="黑体" w:hAnsi="黑体" w:eastAsia="黑体" w:cs="黑体"/>
          <w:b w:val="0"/>
          <w:bCs w:val="0"/>
          <w:color w:val="auto"/>
          <w:kern w:val="2"/>
          <w:sz w:val="32"/>
          <w:szCs w:val="32"/>
          <w:lang w:val="en-US" w:eastAsia="zh-CN"/>
        </w:rPr>
        <w:t>2023年全镇经济社会发展主要预期目标是：</w:t>
      </w:r>
      <w:r>
        <w:rPr>
          <w:rFonts w:hint="default" w:ascii="仿宋_GB2312" w:hAnsi="仿宋_GB2312" w:eastAsia="仿宋_GB2312" w:cs="仿宋_GB2312"/>
          <w:color w:val="auto"/>
          <w:kern w:val="2"/>
          <w:sz w:val="32"/>
          <w:szCs w:val="32"/>
          <w:lang w:val="en-US" w:eastAsia="zh-CN"/>
        </w:rPr>
        <w:t>地区生产总值增长</w:t>
      </w:r>
      <w:r>
        <w:rPr>
          <w:rFonts w:hint="eastAsia" w:ascii="仿宋_GB2312" w:hAnsi="仿宋_GB2312" w:eastAsia="仿宋_GB2312" w:cs="仿宋_GB2312"/>
          <w:color w:val="auto"/>
          <w:kern w:val="2"/>
          <w:sz w:val="32"/>
          <w:szCs w:val="32"/>
          <w:highlight w:val="none"/>
          <w:lang w:val="en-US" w:eastAsia="zh-CN"/>
        </w:rPr>
        <w:t>10</w:t>
      </w:r>
      <w:r>
        <w:rPr>
          <w:rFonts w:hint="default" w:ascii="仿宋_GB2312" w:hAnsi="仿宋_GB2312" w:eastAsia="仿宋_GB2312" w:cs="仿宋_GB2312"/>
          <w:color w:val="auto"/>
          <w:kern w:val="2"/>
          <w:sz w:val="32"/>
          <w:szCs w:val="32"/>
          <w:highlight w:val="none"/>
          <w:lang w:val="en-US" w:eastAsia="zh-CN"/>
        </w:rPr>
        <w:t>%左</w:t>
      </w:r>
      <w:r>
        <w:rPr>
          <w:rFonts w:hint="default" w:ascii="仿宋_GB2312" w:hAnsi="仿宋_GB2312" w:eastAsia="仿宋_GB2312" w:cs="仿宋_GB2312"/>
          <w:color w:val="auto"/>
          <w:kern w:val="2"/>
          <w:sz w:val="32"/>
          <w:szCs w:val="32"/>
          <w:lang w:val="en-US" w:eastAsia="zh-CN"/>
        </w:rPr>
        <w:t>右；规模工业总产值增长</w:t>
      </w:r>
      <w:r>
        <w:rPr>
          <w:rFonts w:hint="eastAsia" w:ascii="仿宋_GB2312" w:hAnsi="仿宋_GB2312" w:eastAsia="仿宋_GB2312" w:cs="仿宋_GB2312"/>
          <w:color w:val="auto"/>
          <w:kern w:val="2"/>
          <w:sz w:val="32"/>
          <w:szCs w:val="32"/>
          <w:highlight w:val="none"/>
          <w:lang w:val="en-US" w:eastAsia="zh-CN"/>
        </w:rPr>
        <w:t>8</w:t>
      </w:r>
      <w:r>
        <w:rPr>
          <w:rFonts w:hint="default" w:ascii="仿宋_GB2312" w:hAnsi="仿宋_GB2312" w:eastAsia="仿宋_GB2312" w:cs="仿宋_GB2312"/>
          <w:color w:val="auto"/>
          <w:kern w:val="2"/>
          <w:sz w:val="32"/>
          <w:szCs w:val="32"/>
          <w:highlight w:val="none"/>
          <w:lang w:val="en-US" w:eastAsia="zh-CN"/>
        </w:rPr>
        <w:t>%左</w:t>
      </w:r>
      <w:r>
        <w:rPr>
          <w:rFonts w:hint="default" w:ascii="仿宋_GB2312" w:hAnsi="仿宋_GB2312" w:eastAsia="仿宋_GB2312" w:cs="仿宋_GB2312"/>
          <w:color w:val="auto"/>
          <w:kern w:val="2"/>
          <w:sz w:val="32"/>
          <w:szCs w:val="32"/>
          <w:lang w:val="en-US" w:eastAsia="zh-CN"/>
        </w:rPr>
        <w:t>右；服务业增加值</w:t>
      </w:r>
      <w:r>
        <w:rPr>
          <w:rFonts w:hint="default" w:ascii="仿宋_GB2312" w:hAnsi="仿宋_GB2312" w:eastAsia="仿宋_GB2312" w:cs="仿宋_GB2312"/>
          <w:color w:val="auto"/>
          <w:kern w:val="2"/>
          <w:sz w:val="32"/>
          <w:szCs w:val="32"/>
          <w:highlight w:val="none"/>
          <w:lang w:val="en-US" w:eastAsia="zh-CN"/>
        </w:rPr>
        <w:t>增长</w:t>
      </w:r>
      <w:r>
        <w:rPr>
          <w:rFonts w:hint="eastAsia" w:ascii="仿宋_GB2312" w:hAnsi="仿宋_GB2312" w:eastAsia="仿宋_GB2312" w:cs="仿宋_GB2312"/>
          <w:color w:val="auto"/>
          <w:kern w:val="2"/>
          <w:sz w:val="32"/>
          <w:szCs w:val="32"/>
          <w:highlight w:val="none"/>
          <w:lang w:val="en-US" w:eastAsia="zh-CN"/>
        </w:rPr>
        <w:t>11</w:t>
      </w:r>
      <w:r>
        <w:rPr>
          <w:rFonts w:hint="default" w:ascii="仿宋_GB2312" w:hAnsi="仿宋_GB2312" w:eastAsia="仿宋_GB2312" w:cs="仿宋_GB2312"/>
          <w:color w:val="auto"/>
          <w:kern w:val="2"/>
          <w:sz w:val="32"/>
          <w:szCs w:val="32"/>
          <w:highlight w:val="none"/>
          <w:lang w:val="en-US" w:eastAsia="zh-CN"/>
        </w:rPr>
        <w:t>%左右；一般公共预算收入增长</w:t>
      </w:r>
      <w:r>
        <w:rPr>
          <w:rFonts w:hint="eastAsia" w:ascii="仿宋_GB2312" w:hAnsi="仿宋_GB2312" w:eastAsia="仿宋_GB2312" w:cs="仿宋_GB2312"/>
          <w:color w:val="auto"/>
          <w:kern w:val="2"/>
          <w:sz w:val="32"/>
          <w:szCs w:val="32"/>
          <w:highlight w:val="none"/>
          <w:lang w:val="en-US" w:eastAsia="zh-CN"/>
        </w:rPr>
        <w:t>8</w:t>
      </w:r>
      <w:r>
        <w:rPr>
          <w:rFonts w:hint="default" w:ascii="仿宋_GB2312" w:hAnsi="仿宋_GB2312" w:eastAsia="仿宋_GB2312" w:cs="仿宋_GB2312"/>
          <w:color w:val="auto"/>
          <w:kern w:val="2"/>
          <w:sz w:val="32"/>
          <w:szCs w:val="32"/>
          <w:highlight w:val="none"/>
          <w:lang w:val="en-US" w:eastAsia="zh-CN"/>
        </w:rPr>
        <w:t>%左右；农民人均纯收入增长</w:t>
      </w:r>
      <w:r>
        <w:rPr>
          <w:rFonts w:hint="eastAsia" w:ascii="仿宋_GB2312" w:hAnsi="仿宋_GB2312" w:eastAsia="仿宋_GB2312" w:cs="仿宋_GB2312"/>
          <w:color w:val="auto"/>
          <w:kern w:val="2"/>
          <w:sz w:val="32"/>
          <w:szCs w:val="32"/>
          <w:highlight w:val="none"/>
          <w:lang w:val="en-US" w:eastAsia="zh-CN"/>
        </w:rPr>
        <w:t>10</w:t>
      </w:r>
      <w:r>
        <w:rPr>
          <w:rFonts w:hint="default" w:ascii="仿宋_GB2312" w:hAnsi="仿宋_GB2312" w:eastAsia="仿宋_GB2312" w:cs="仿宋_GB2312"/>
          <w:color w:val="auto"/>
          <w:kern w:val="2"/>
          <w:sz w:val="32"/>
          <w:szCs w:val="32"/>
          <w:highlight w:val="none"/>
          <w:lang w:val="en-US" w:eastAsia="zh-CN"/>
        </w:rPr>
        <w:t>%左右。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围绕上述目标任务，我们将具体做好以下几方面工作：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一、守正创新提质效，集聚经济发展新动能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hAnsi="仿宋_GB2312" w:cs="仿宋_GB2312"/>
          <w:color w:val="auto"/>
          <w:kern w:val="2"/>
          <w:sz w:val="32"/>
          <w:szCs w:val="32"/>
          <w:lang w:val="en-US" w:eastAsia="zh-CN" w:bidi="ar-SA"/>
        </w:rPr>
        <w:t>坚定不移</w:t>
      </w:r>
      <w:r>
        <w:rPr>
          <w:rFonts w:hint="eastAsia" w:ascii="仿宋_GB2312" w:hAnsi="仿宋_GB2312" w:eastAsia="仿宋_GB2312" w:cs="仿宋_GB2312"/>
          <w:color w:val="auto"/>
          <w:kern w:val="2"/>
          <w:sz w:val="32"/>
          <w:szCs w:val="32"/>
          <w:lang w:val="en-US" w:eastAsia="zh-CN" w:bidi="ar-SA"/>
        </w:rPr>
        <w:t>贯彻新发展理念，</w:t>
      </w:r>
      <w:r>
        <w:rPr>
          <w:rFonts w:hint="eastAsia" w:hAnsi="仿宋_GB2312" w:cs="仿宋_GB2312"/>
          <w:color w:val="auto"/>
          <w:kern w:val="2"/>
          <w:sz w:val="32"/>
          <w:szCs w:val="32"/>
          <w:lang w:val="en-US" w:eastAsia="zh-CN" w:bidi="ar-SA"/>
        </w:rPr>
        <w:t>持续优化产业布局，坚持创新驱动</w:t>
      </w:r>
      <w:r>
        <w:rPr>
          <w:rFonts w:hint="eastAsia" w:ascii="仿宋_GB2312" w:hAnsi="仿宋_GB2312" w:eastAsia="仿宋_GB2312" w:cs="仿宋_GB2312"/>
          <w:color w:val="auto"/>
          <w:kern w:val="2"/>
          <w:sz w:val="32"/>
          <w:szCs w:val="32"/>
          <w:lang w:val="en-US" w:eastAsia="zh-CN" w:bidi="ar-SA"/>
        </w:rPr>
        <w:t>，加</w:t>
      </w:r>
      <w:r>
        <w:rPr>
          <w:rFonts w:hint="eastAsia" w:hAnsi="仿宋_GB2312" w:cs="仿宋_GB2312"/>
          <w:color w:val="auto"/>
          <w:kern w:val="2"/>
          <w:sz w:val="32"/>
          <w:szCs w:val="32"/>
          <w:lang w:val="en-US" w:eastAsia="zh-CN" w:bidi="ar-SA"/>
        </w:rPr>
        <w:t>快建设</w:t>
      </w:r>
      <w:r>
        <w:rPr>
          <w:rFonts w:hint="default" w:ascii="仿宋_GB2312" w:hAnsi="仿宋_GB2312" w:eastAsia="仿宋_GB2312" w:cs="仿宋_GB2312"/>
          <w:color w:val="auto"/>
          <w:kern w:val="2"/>
          <w:sz w:val="32"/>
          <w:szCs w:val="32"/>
          <w:lang w:val="en-US" w:eastAsia="zh-CN" w:bidi="ar-SA"/>
        </w:rPr>
        <w:t>现代</w:t>
      </w:r>
      <w:r>
        <w:rPr>
          <w:rFonts w:hint="eastAsia" w:hAnsi="仿宋_GB2312" w:cs="仿宋_GB2312"/>
          <w:color w:val="auto"/>
          <w:kern w:val="2"/>
          <w:sz w:val="32"/>
          <w:szCs w:val="32"/>
          <w:lang w:val="en-US" w:eastAsia="zh-CN" w:bidi="ar-SA"/>
        </w:rPr>
        <w:t>化</w:t>
      </w:r>
      <w:r>
        <w:rPr>
          <w:rFonts w:hint="default" w:ascii="仿宋_GB2312" w:hAnsi="仿宋_GB2312" w:eastAsia="仿宋_GB2312" w:cs="仿宋_GB2312"/>
          <w:color w:val="auto"/>
          <w:kern w:val="2"/>
          <w:sz w:val="32"/>
          <w:szCs w:val="32"/>
          <w:lang w:val="en-US" w:eastAsia="zh-CN" w:bidi="ar-SA"/>
        </w:rPr>
        <w:t>产业体系</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楷体_GB2312" w:hAnsi="楷体_GB2312" w:eastAsia="楷体_GB2312" w:cs="楷体_GB2312"/>
          <w:color w:val="auto"/>
          <w:kern w:val="2"/>
          <w:sz w:val="32"/>
          <w:szCs w:val="32"/>
          <w:lang w:val="en-US" w:eastAsia="zh-CN"/>
        </w:rPr>
        <w:t>一是全链条助推产业升级。</w:t>
      </w:r>
      <w:r>
        <w:rPr>
          <w:rFonts w:hint="eastAsia" w:ascii="仿宋_GB2312" w:hAnsi="仿宋_GB2312" w:eastAsia="仿宋_GB2312" w:cs="仿宋_GB2312"/>
          <w:color w:val="auto"/>
          <w:kern w:val="2"/>
          <w:sz w:val="32"/>
          <w:szCs w:val="32"/>
          <w:lang w:val="en-US" w:eastAsia="zh-CN" w:bidi="ar-SA"/>
        </w:rPr>
        <w:t>持续放大刀工具产业集聚效应，</w:t>
      </w:r>
      <w:r>
        <w:rPr>
          <w:rFonts w:hint="eastAsia" w:ascii="仿宋_GB2312" w:hAnsi="仿宋_GB2312" w:eastAsia="仿宋_GB2312" w:cs="仿宋_GB2312"/>
          <w:color w:val="auto"/>
          <w:kern w:val="2"/>
          <w:sz w:val="32"/>
          <w:szCs w:val="32"/>
          <w:lang w:val="en-US" w:eastAsia="zh-CN"/>
        </w:rPr>
        <w:t>推进重点企业上楼、上云、上市</w:t>
      </w:r>
      <w:r>
        <w:rPr>
          <w:rFonts w:hint="eastAsia" w:ascii="仿宋_GB2312" w:hAnsi="仿宋_GB2312" w:eastAsia="仿宋_GB2312" w:cs="仿宋_GB2312"/>
          <w:kern w:val="2"/>
          <w:sz w:val="32"/>
          <w:szCs w:val="32"/>
        </w:rPr>
        <w:t>，不断增强产业链的稳定性和竞争力</w:t>
      </w:r>
      <w:r>
        <w:rPr>
          <w:rFonts w:hint="eastAsia" w:ascii="仿宋_GB2312" w:hAnsi="仿宋_GB2312" w:eastAsia="仿宋_GB2312" w:cs="仿宋_GB2312"/>
          <w:color w:val="auto"/>
          <w:kern w:val="2"/>
          <w:sz w:val="32"/>
          <w:szCs w:val="32"/>
          <w:lang w:val="en-US" w:eastAsia="zh-CN"/>
        </w:rPr>
        <w:t>。引导金牛研磨、大利节能等企业向“专精特新”发展，发挥龙头企业引领作用，用链式思维持续优化新材料产业布局</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color w:val="auto"/>
          <w:kern w:val="2"/>
          <w:sz w:val="32"/>
          <w:szCs w:val="32"/>
          <w:lang w:val="en-US" w:eastAsia="zh-CN"/>
        </w:rPr>
        <w:t>坚持“亩均论英雄”，加快推进纺织印染企业“三个一批”整治，实现内涵集约发展。持续强化服务保障，做好正能量、固家等后备企业股改上市准备工作。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楷体_GB2312" w:hAnsi="楷体_GB2312" w:eastAsia="楷体_GB2312" w:cs="楷体_GB2312"/>
          <w:color w:val="auto"/>
          <w:kern w:val="2"/>
          <w:sz w:val="32"/>
          <w:szCs w:val="32"/>
          <w:lang w:val="en-US" w:eastAsia="zh-CN"/>
        </w:rPr>
        <w:t>二是全周期保障项目攻坚。</w:t>
      </w:r>
      <w:r>
        <w:rPr>
          <w:rFonts w:hint="eastAsia" w:ascii="仿宋_GB2312" w:hAnsi="仿宋_GB2312" w:eastAsia="仿宋_GB2312" w:cs="仿宋_GB2312"/>
          <w:color w:val="auto"/>
          <w:kern w:val="2"/>
          <w:sz w:val="32"/>
          <w:szCs w:val="32"/>
          <w:lang w:val="en-US" w:eastAsia="zh-CN"/>
        </w:rPr>
        <w:t>通过产业链招商、以商招商、委托招商等方式，重点引进一批“链主型”“旗舰型”企业，推进补链强链工程。实行“招推服”一体化推进，</w:t>
      </w:r>
      <w:r>
        <w:rPr>
          <w:rFonts w:hint="eastAsia" w:ascii="仿宋_GB2312" w:hAnsi="Times New Roman" w:eastAsia="仿宋_GB2312"/>
          <w:kern w:val="2"/>
          <w:sz w:val="32"/>
          <w:szCs w:val="32"/>
        </w:rPr>
        <w:t>聚焦在库的市、区重点项目，明确专人跟踪跟进</w:t>
      </w:r>
      <w:r>
        <w:rPr>
          <w:rFonts w:hint="eastAsia" w:ascii="仿宋_GB2312" w:hAnsi="Times New Roman" w:eastAsia="仿宋_GB2312"/>
          <w:kern w:val="2"/>
          <w:sz w:val="32"/>
          <w:szCs w:val="32"/>
          <w:lang w:eastAsia="zh-CN"/>
        </w:rPr>
        <w:t>，</w:t>
      </w:r>
      <w:r>
        <w:rPr>
          <w:rFonts w:hint="eastAsia" w:ascii="仿宋_GB2312" w:hAnsi="仿宋_GB2312" w:eastAsia="仿宋_GB2312" w:cs="仿宋_GB2312"/>
          <w:color w:val="auto"/>
          <w:kern w:val="2"/>
          <w:sz w:val="32"/>
          <w:szCs w:val="32"/>
          <w:lang w:val="en-US" w:eastAsia="zh-CN"/>
        </w:rPr>
        <w:t>坚持项目服务零距离、项目开工零时差。综合运用兼并重组、收购等方式，盘活低效工业用地。探索集体土地整合收储、零散低效用地连片提升的有效路径，为项目落地提供坚实空间保障。</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ascii="楷体_GB2312" w:hAnsi="楷体_GB2312" w:cs="楷体_GB2312" w:eastAsiaTheme="minorEastAsia"/>
          <w:color w:val="auto"/>
          <w:kern w:val="2"/>
          <w:sz w:val="32"/>
          <w:szCs w:val="32"/>
          <w:lang w:val="en-US" w:eastAsia="zh-CN"/>
        </w:rPr>
      </w:pPr>
      <w:r>
        <w:rPr>
          <w:rFonts w:hint="eastAsia" w:ascii="楷体_GB2312" w:hAnsi="楷体_GB2312" w:eastAsia="楷体_GB2312" w:cs="楷体_GB2312"/>
          <w:color w:val="auto"/>
          <w:kern w:val="2"/>
          <w:sz w:val="32"/>
          <w:szCs w:val="32"/>
          <w:lang w:val="en-US" w:eastAsia="zh-CN"/>
        </w:rPr>
        <w:t>三是全要素激活创新动力。</w:t>
      </w:r>
      <w:r>
        <w:rPr>
          <w:rFonts w:hint="eastAsia" w:ascii="仿宋_GB2312" w:hAnsi="仿宋_GB2312" w:eastAsia="仿宋_GB2312" w:cs="仿宋_GB2312"/>
          <w:bCs/>
          <w:kern w:val="2"/>
          <w:sz w:val="32"/>
          <w:szCs w:val="32"/>
          <w:highlight w:val="none"/>
          <w:lang w:val="en-US" w:eastAsia="zh-CN"/>
        </w:rPr>
        <w:t>构建“产学研用”深度融合创新体系，有序推进新墅科创加速器建设，</w:t>
      </w:r>
      <w:r>
        <w:rPr>
          <w:rFonts w:hint="eastAsia" w:ascii="仿宋_GB2312" w:hAnsi="仿宋_GB2312" w:eastAsia="仿宋_GB2312" w:cs="仿宋_GB2312"/>
          <w:color w:val="000000"/>
          <w:kern w:val="2"/>
          <w:sz w:val="32"/>
          <w:szCs w:val="32"/>
          <w:lang w:bidi="ar"/>
        </w:rPr>
        <w:t>积极申报创建国家级孵化器和众创空间。</w:t>
      </w:r>
      <w:r>
        <w:rPr>
          <w:rFonts w:hint="eastAsia" w:ascii="仿宋_GB2312" w:hAnsi="仿宋_GB2312" w:eastAsia="仿宋_GB2312" w:cs="仿宋_GB2312"/>
          <w:bCs/>
          <w:kern w:val="2"/>
          <w:sz w:val="32"/>
          <w:szCs w:val="32"/>
          <w:highlight w:val="none"/>
          <w:lang w:val="en-US" w:eastAsia="zh-CN"/>
        </w:rPr>
        <w:t>完善高新技术企业梯次培育机制，新增高新技术企业15家。</w:t>
      </w:r>
      <w:r>
        <w:rPr>
          <w:rFonts w:hint="eastAsia" w:ascii="仿宋_GB2312" w:hAnsi="仿宋_GB2312" w:eastAsia="仿宋_GB2312" w:cs="仿宋_GB2312"/>
          <w:color w:val="auto"/>
          <w:kern w:val="2"/>
          <w:sz w:val="32"/>
          <w:szCs w:val="32"/>
          <w:lang w:val="en-US" w:eastAsia="zh-CN"/>
        </w:rPr>
        <w:t>培育一批具有影响力的行业细分领域“单项冠军”，吸引5家科技型中小企业落户。</w:t>
      </w:r>
      <w:r>
        <w:rPr>
          <w:rFonts w:hint="eastAsia" w:ascii="仿宋_GB2312" w:hAnsi="仿宋_GB2312" w:eastAsia="仿宋_GB2312" w:cs="仿宋_GB2312"/>
          <w:bCs/>
          <w:kern w:val="2"/>
          <w:sz w:val="32"/>
          <w:szCs w:val="32"/>
          <w:highlight w:val="none"/>
          <w:lang w:val="en-US" w:eastAsia="zh-CN"/>
        </w:rPr>
        <w:t>加快人才公寓配套建设，用事业、平台和待遇培养、引进、留住各类人才。</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二、同频共振靓底色，谱写城乡建设新篇章</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ascii="仿宋_GB2312" w:hAnsi="仿宋_GB2312" w:eastAsia="仿宋_GB2312" w:cs="仿宋_GB2312"/>
          <w:bCs/>
          <w:kern w:val="2"/>
          <w:sz w:val="32"/>
          <w:szCs w:val="32"/>
          <w:highlight w:val="none"/>
          <w:lang w:val="en-US" w:eastAsia="zh-CN"/>
        </w:rPr>
      </w:pPr>
      <w:r>
        <w:rPr>
          <w:rFonts w:hint="eastAsia" w:ascii="仿宋_GB2312" w:hAnsi="仿宋_GB2312" w:eastAsia="仿宋_GB2312" w:cs="仿宋_GB2312"/>
          <w:bCs/>
          <w:kern w:val="2"/>
          <w:sz w:val="32"/>
          <w:szCs w:val="32"/>
          <w:highlight w:val="none"/>
          <w:lang w:val="en-US" w:eastAsia="zh-CN"/>
        </w:rPr>
        <w:t>统筹推进城乡一体化发展，畅通城乡要素流动，加快推进农业农村现代化，让群众共享城乡融合发展成果。</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ascii="仿宋_GB2312" w:hAnsi="仿宋_GB2312" w:eastAsia="仿宋_GB2312" w:cs="仿宋_GB2312"/>
          <w:bCs/>
          <w:kern w:val="2"/>
          <w:sz w:val="32"/>
          <w:szCs w:val="32"/>
          <w:highlight w:val="none"/>
          <w:lang w:val="en-US" w:eastAsia="zh-CN"/>
        </w:rPr>
      </w:pPr>
      <w:r>
        <w:rPr>
          <w:rFonts w:hint="eastAsia" w:ascii="楷体_GB2312" w:hAnsi="楷体_GB2312" w:eastAsia="楷体_GB2312" w:cs="楷体_GB2312"/>
          <w:color w:val="auto"/>
          <w:kern w:val="2"/>
          <w:sz w:val="32"/>
          <w:szCs w:val="32"/>
          <w:lang w:val="en-US" w:eastAsia="zh-CN"/>
        </w:rPr>
        <w:t>一是高标准完善镇区功能配套。</w:t>
      </w:r>
      <w:r>
        <w:rPr>
          <w:rFonts w:hint="eastAsia" w:ascii="仿宋_GB2312" w:hAnsi="仿宋_GB2312" w:eastAsia="仿宋_GB2312" w:cs="仿宋_GB2312"/>
          <w:bCs/>
          <w:kern w:val="2"/>
          <w:sz w:val="32"/>
          <w:szCs w:val="32"/>
          <w:highlight w:val="none"/>
          <w:lang w:val="en-US" w:eastAsia="zh-CN"/>
        </w:rPr>
        <w:t>结合“三区三线”划定，着力推动空间布局优化，统筹规划河东新镇区、老镇区、工业园区综合开发。扎实做好香山福园三期安置房建设前期准备工作，推进西夏墅幼儿园教学楼改扩建项目。实施天然气管道改造工程，做好沿街商铺“瓶改管”天然气接管工作。继续推进农村道路桥梁建设，完成城巷桥与S239省道接通工程，打造高效便捷的交通路网。持续推进“城警联动”，不断提高城市长效管理效能。</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ascii="仿宋_GB2312" w:hAnsi="仿宋_GB2312" w:eastAsia="仿宋_GB2312" w:cs="仿宋_GB2312"/>
          <w:bCs/>
          <w:kern w:val="2"/>
          <w:sz w:val="32"/>
          <w:szCs w:val="32"/>
          <w:highlight w:val="none"/>
          <w:lang w:val="en-US" w:eastAsia="zh-CN"/>
        </w:rPr>
      </w:pPr>
      <w:r>
        <w:rPr>
          <w:rFonts w:hint="eastAsia" w:ascii="楷体_GB2312" w:hAnsi="楷体_GB2312" w:eastAsia="楷体_GB2312" w:cs="楷体_GB2312"/>
          <w:color w:val="auto"/>
          <w:kern w:val="2"/>
          <w:sz w:val="32"/>
          <w:szCs w:val="32"/>
          <w:lang w:val="en-US" w:eastAsia="zh-CN"/>
        </w:rPr>
        <w:t>二是高水平打造现代农业样板。</w:t>
      </w:r>
      <w:r>
        <w:rPr>
          <w:rFonts w:hint="eastAsia" w:ascii="仿宋_GB2312" w:hAnsi="仿宋_GB2312" w:eastAsia="仿宋_GB2312" w:cs="仿宋_GB2312"/>
          <w:bCs/>
          <w:kern w:val="2"/>
          <w:sz w:val="32"/>
          <w:szCs w:val="32"/>
          <w:highlight w:val="none"/>
          <w:lang w:val="en-US" w:eastAsia="zh-CN"/>
        </w:rPr>
        <w:t>完善现代农业产业园“一核三区六园”空间布局，持续壮大优质稻米、绿色果蔬等主导产业，创新发展数字农业、智慧农业、绿色农业。引进和培育一批农业龙头企业，推进现代化农业全产业链建设。深化与涉农高校的创新试验基地合作，有效盘活本土农业资源。努力挖掘区域内可发展的经济潜力股，培育有特点、有优势的新型农村经营主体，用产业兴旺托起乡村振兴。</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ascii="仿宋_GB2312" w:hAnsi="仿宋_GB2312" w:eastAsia="仿宋_GB2312" w:cs="仿宋_GB2312"/>
          <w:bCs/>
          <w:kern w:val="2"/>
          <w:sz w:val="32"/>
          <w:szCs w:val="32"/>
          <w:highlight w:val="none"/>
          <w:lang w:val="en-US" w:eastAsia="zh-CN"/>
        </w:rPr>
      </w:pPr>
      <w:r>
        <w:rPr>
          <w:rFonts w:hint="eastAsia" w:ascii="楷体_GB2312" w:hAnsi="楷体_GB2312" w:eastAsia="楷体_GB2312" w:cs="楷体_GB2312"/>
          <w:color w:val="auto"/>
          <w:kern w:val="2"/>
          <w:sz w:val="32"/>
          <w:szCs w:val="32"/>
          <w:lang w:val="en-US" w:eastAsia="zh-CN"/>
        </w:rPr>
        <w:t>三是高质量深化美丽乡村建设。</w:t>
      </w:r>
      <w:r>
        <w:rPr>
          <w:rFonts w:hint="eastAsia" w:ascii="仿宋_GB2312" w:hAnsi="仿宋_GB2312" w:eastAsia="仿宋_GB2312" w:cs="仿宋_GB2312"/>
          <w:bCs/>
          <w:kern w:val="2"/>
          <w:sz w:val="32"/>
          <w:szCs w:val="32"/>
          <w:highlight w:val="none"/>
          <w:lang w:val="en-US" w:eastAsia="zh-CN"/>
        </w:rPr>
        <w:t>立足特色资源优势，个性化打造“东南IP”，串联贯通旅游生态环线，打造“农文旅”融合新样板。进一步加强与社会资本的合作，深化“稻田理想”品牌市场化运营机制，用更多优质“食宿文旅”项目讲好“田园故事”。加快推进梅林村居民集聚点建设，保证一期顺利交付，建设垃圾分类环保驿站，打造垃圾分类主题村。开展农村人居环境整治行动，完成农村污水管网建设，确保行政村规划覆盖率达到100%。</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ascii="黑体" w:hAnsi="黑体" w:eastAsia="黑体" w:cs="黑体"/>
          <w:color w:val="auto"/>
          <w:kern w:val="2"/>
          <w:sz w:val="32"/>
          <w:szCs w:val="32"/>
          <w:lang w:val="en-US" w:eastAsia="zh-CN"/>
        </w:rPr>
      </w:pPr>
      <w:r>
        <w:rPr>
          <w:rFonts w:hint="eastAsia" w:ascii="楷体_GB2312" w:hAnsi="楷体_GB2312" w:eastAsia="楷体_GB2312" w:cs="楷体_GB2312"/>
          <w:color w:val="auto"/>
          <w:kern w:val="2"/>
          <w:sz w:val="32"/>
          <w:szCs w:val="32"/>
          <w:lang w:val="en-US" w:eastAsia="zh-CN"/>
        </w:rPr>
        <w:t>四是高站位推进生态环境保护。</w:t>
      </w:r>
      <w:r>
        <w:rPr>
          <w:rFonts w:hint="eastAsia" w:ascii="仿宋_GB2312" w:hAnsi="仿宋_GB2312" w:eastAsia="仿宋_GB2312" w:cs="仿宋_GB2312"/>
          <w:bCs/>
          <w:kern w:val="2"/>
          <w:sz w:val="32"/>
          <w:szCs w:val="32"/>
          <w:highlight w:val="none"/>
          <w:lang w:val="en-US" w:eastAsia="zh-CN"/>
        </w:rPr>
        <w:t>聚焦中央环保督察交办问题及各类信访件，以点带面展开专项整治，积极回应群众关切。完善新一轮“一河一策”治攻行动修编，落实入河排污口长效管理。扎实开展河道整治及村庄沟塘清淤疏浚工作，系统推进夏史巷大沟、十里长沟等河道生态环境修复，因地制宜开展47条小微水体整治，全面打通河道“毛细血管”。</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三、全力以赴保民生，实现幸福指数新跃升</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ascii="仿宋_GB2312" w:hAnsi="仿宋_GB2312" w:eastAsia="仿宋_GB2312" w:cs="仿宋_GB2312"/>
          <w:bCs/>
          <w:kern w:val="2"/>
          <w:sz w:val="32"/>
          <w:szCs w:val="32"/>
          <w:highlight w:val="none"/>
          <w:lang w:val="en-US" w:eastAsia="zh-CN"/>
        </w:rPr>
      </w:pPr>
      <w:r>
        <w:rPr>
          <w:rFonts w:hint="eastAsia" w:ascii="仿宋_GB2312" w:hAnsi="仿宋_GB2312" w:eastAsia="仿宋_GB2312" w:cs="仿宋_GB2312"/>
          <w:bCs/>
          <w:kern w:val="2"/>
          <w:sz w:val="32"/>
          <w:szCs w:val="32"/>
          <w:highlight w:val="none"/>
          <w:lang w:val="en-US" w:eastAsia="zh-CN"/>
        </w:rPr>
        <w:t>树牢以人民为中心的发展思想，办好民生实事，不断满足人民对美好生活的向往。</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ascii="仿宋_GB2312" w:hAnsi="仿宋_GB2312" w:eastAsia="仿宋_GB2312" w:cs="仿宋_GB2312"/>
          <w:bCs/>
          <w:kern w:val="2"/>
          <w:sz w:val="32"/>
          <w:szCs w:val="32"/>
          <w:highlight w:val="none"/>
          <w:lang w:val="en-US" w:eastAsia="zh-CN"/>
        </w:rPr>
      </w:pPr>
      <w:r>
        <w:rPr>
          <w:rFonts w:hint="eastAsia" w:ascii="楷体_GB2312" w:hAnsi="楷体_GB2312" w:eastAsia="楷体_GB2312" w:cs="楷体_GB2312"/>
          <w:color w:val="auto"/>
          <w:kern w:val="2"/>
          <w:sz w:val="32"/>
          <w:szCs w:val="32"/>
          <w:lang w:val="en-US" w:eastAsia="zh-CN"/>
        </w:rPr>
        <w:t>一是用心用情兜住民生保障底线。</w:t>
      </w:r>
      <w:r>
        <w:rPr>
          <w:rFonts w:hint="eastAsia" w:ascii="仿宋_GB2312" w:hAnsi="仿宋_GB2312" w:eastAsia="仿宋_GB2312" w:cs="仿宋_GB2312"/>
          <w:bCs/>
          <w:kern w:val="2"/>
          <w:sz w:val="32"/>
          <w:szCs w:val="32"/>
          <w:highlight w:val="none"/>
          <w:lang w:val="en-US" w:eastAsia="zh-CN"/>
        </w:rPr>
        <w:t>织密社会救助保障网，重点落实低收入家庭救助、残疾人补贴等托底政策。多渠道支持灵活就业，做好高校毕业生、就业困难人员、农村剩余劳动力的精准帮扶工作。持续推进老年人疫苗接种，构筑老年人免疫屏障。继续为高龄、失能和重残老人家庭开展居家适老化改造，加快推</w:t>
      </w:r>
      <w:r>
        <w:rPr>
          <w:rFonts w:hint="eastAsia" w:ascii="仿宋_GB2312" w:hAnsi="仿宋_GB2312" w:eastAsia="仿宋_GB2312" w:cs="仿宋_GB2312"/>
          <w:bCs/>
          <w:kern w:val="2"/>
          <w:sz w:val="32"/>
          <w:szCs w:val="32"/>
          <w:highlight w:val="none"/>
          <w:lang w:eastAsia="zh-CN"/>
        </w:rPr>
        <w:t>进敬老院房屋升级工程。依托</w:t>
      </w:r>
      <w:r>
        <w:rPr>
          <w:rFonts w:hint="eastAsia" w:ascii="仿宋_GB2312" w:hAnsi="仿宋_GB2312" w:eastAsia="仿宋_GB2312" w:cs="仿宋_GB2312"/>
          <w:bCs/>
          <w:kern w:val="2"/>
          <w:sz w:val="32"/>
          <w:szCs w:val="32"/>
          <w:highlight w:val="none"/>
        </w:rPr>
        <w:t>镇社工站</w:t>
      </w:r>
      <w:r>
        <w:rPr>
          <w:rFonts w:hint="eastAsia" w:ascii="仿宋_GB2312" w:hAnsi="仿宋_GB2312" w:eastAsia="仿宋_GB2312" w:cs="仿宋_GB2312"/>
          <w:bCs/>
          <w:kern w:val="2"/>
          <w:sz w:val="32"/>
          <w:szCs w:val="32"/>
          <w:highlight w:val="none"/>
          <w:lang w:eastAsia="zh-CN"/>
        </w:rPr>
        <w:t>、</w:t>
      </w:r>
      <w:r>
        <w:rPr>
          <w:rFonts w:hint="eastAsia" w:ascii="仿宋_GB2312" w:hAnsi="仿宋_GB2312" w:eastAsia="仿宋_GB2312" w:cs="仿宋_GB2312"/>
          <w:bCs/>
          <w:kern w:val="2"/>
          <w:sz w:val="32"/>
          <w:szCs w:val="32"/>
          <w:highlight w:val="none"/>
        </w:rPr>
        <w:t>退役军人服务站</w:t>
      </w:r>
      <w:r>
        <w:rPr>
          <w:rFonts w:hint="eastAsia" w:ascii="仿宋_GB2312" w:hAnsi="仿宋_GB2312" w:eastAsia="仿宋_GB2312" w:cs="仿宋_GB2312"/>
          <w:bCs/>
          <w:kern w:val="2"/>
          <w:sz w:val="32"/>
          <w:szCs w:val="32"/>
          <w:highlight w:val="none"/>
          <w:lang w:eastAsia="zh-CN"/>
        </w:rPr>
        <w:t>，</w:t>
      </w:r>
      <w:r>
        <w:rPr>
          <w:rFonts w:hint="eastAsia" w:ascii="仿宋_GB2312" w:hAnsi="仿宋_GB2312" w:eastAsia="仿宋_GB2312" w:cs="仿宋_GB2312"/>
          <w:bCs/>
          <w:kern w:val="2"/>
          <w:sz w:val="32"/>
          <w:szCs w:val="32"/>
          <w:highlight w:val="none"/>
        </w:rPr>
        <w:t>为困难群众、特殊群体、退役军人提供专业社会工作服务。</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ascii="仿宋_GB2312" w:hAnsi="仿宋_GB2312" w:eastAsia="仿宋_GB2312" w:cs="仿宋_GB2312"/>
          <w:color w:val="auto"/>
          <w:kern w:val="2"/>
          <w:sz w:val="32"/>
          <w:szCs w:val="32"/>
          <w:highlight w:val="none"/>
          <w:lang w:eastAsia="zh-CN"/>
        </w:rPr>
      </w:pPr>
      <w:r>
        <w:rPr>
          <w:rFonts w:hint="eastAsia" w:ascii="楷体_GB2312" w:hAnsi="楷体_GB2312" w:eastAsia="楷体_GB2312" w:cs="楷体_GB2312"/>
          <w:color w:val="auto"/>
          <w:kern w:val="2"/>
          <w:sz w:val="32"/>
          <w:szCs w:val="32"/>
          <w:lang w:val="en-US" w:eastAsia="zh-CN"/>
        </w:rPr>
        <w:t>二是精准精细强化公共服务供给。</w:t>
      </w:r>
      <w:r>
        <w:rPr>
          <w:rFonts w:hint="eastAsia" w:ascii="仿宋_GB2312" w:hAnsi="仿宋_GB2312" w:eastAsia="仿宋_GB2312" w:cs="仿宋_GB2312"/>
          <w:bCs/>
          <w:kern w:val="2"/>
          <w:sz w:val="32"/>
          <w:szCs w:val="32"/>
          <w:highlight w:val="none"/>
          <w:lang w:val="en-US" w:eastAsia="zh-CN"/>
        </w:rPr>
        <w:t>进一步</w:t>
      </w:r>
      <w:r>
        <w:rPr>
          <w:rFonts w:hint="eastAsia" w:ascii="仿宋_GB2312" w:hAnsi="仿宋_GB2312" w:eastAsia="仿宋_GB2312" w:cs="仿宋_GB2312"/>
          <w:color w:val="auto"/>
          <w:kern w:val="2"/>
          <w:sz w:val="32"/>
          <w:szCs w:val="32"/>
          <w:highlight w:val="none"/>
          <w:lang w:eastAsia="zh-CN"/>
        </w:rPr>
        <w:t>提升教育教学品质，推进西夏墅幼儿园</w:t>
      </w:r>
      <w:r>
        <w:rPr>
          <w:rFonts w:hint="eastAsia" w:ascii="仿宋_GB2312" w:hAnsi="仿宋_GB2312" w:eastAsia="仿宋_GB2312" w:cs="仿宋_GB2312"/>
          <w:color w:val="auto"/>
          <w:kern w:val="2"/>
          <w:sz w:val="32"/>
          <w:szCs w:val="32"/>
          <w:highlight w:val="none"/>
        </w:rPr>
        <w:t>“省级普惠托育机构”创建工作</w:t>
      </w:r>
      <w:r>
        <w:rPr>
          <w:rFonts w:hint="eastAsia" w:ascii="仿宋_GB2312" w:hAnsi="仿宋_GB2312" w:eastAsia="仿宋_GB2312" w:cs="仿宋_GB2312"/>
          <w:color w:val="auto"/>
          <w:kern w:val="2"/>
          <w:sz w:val="32"/>
          <w:szCs w:val="32"/>
          <w:highlight w:val="none"/>
          <w:lang w:eastAsia="zh-CN"/>
        </w:rPr>
        <w:t>，</w:t>
      </w:r>
      <w:r>
        <w:rPr>
          <w:rFonts w:hint="eastAsia" w:ascii="仿宋_GB2312" w:eastAsia="仿宋_GB2312"/>
          <w:color w:val="auto"/>
          <w:kern w:val="2"/>
          <w:sz w:val="32"/>
          <w:szCs w:val="32"/>
          <w:highlight w:val="none"/>
          <w:lang w:eastAsia="zh-CN"/>
        </w:rPr>
        <w:t>稳步</w:t>
      </w:r>
      <w:r>
        <w:rPr>
          <w:rFonts w:hint="eastAsia" w:ascii="仿宋_GB2312" w:hAnsi="仿宋_GB2312" w:eastAsia="仿宋_GB2312" w:cs="仿宋_GB2312"/>
          <w:color w:val="auto"/>
          <w:kern w:val="2"/>
          <w:sz w:val="32"/>
          <w:szCs w:val="32"/>
          <w:highlight w:val="none"/>
          <w:lang w:eastAsia="zh-CN"/>
        </w:rPr>
        <w:t>跟进初、高中分设事宜，探索集团化办学模式，助力西夏墅高中争创四星级高中。实施药品及药械类民生安全保障工程，与常州一院合作成立“颈肩腰腿痛专科”“儿童哮喘联盟工作室”，不断提升医疗服务水平。</w:t>
      </w:r>
      <w:r>
        <w:rPr>
          <w:rFonts w:hint="eastAsia" w:ascii="仿宋_GB2312" w:hAnsi="仿宋_GB2312" w:eastAsia="仿宋_GB2312" w:cs="仿宋_GB2312"/>
          <w:color w:val="auto"/>
          <w:kern w:val="2"/>
          <w:sz w:val="32"/>
          <w:szCs w:val="32"/>
          <w:highlight w:val="none"/>
          <w:lang w:val="en-US" w:eastAsia="zh-CN"/>
        </w:rPr>
        <w:t>持续</w:t>
      </w:r>
      <w:r>
        <w:rPr>
          <w:rFonts w:hint="eastAsia" w:ascii="仿宋_GB2312" w:hAnsi="仿宋_GB2312" w:eastAsia="仿宋_GB2312" w:cs="仿宋_GB2312"/>
          <w:color w:val="auto"/>
          <w:kern w:val="2"/>
          <w:sz w:val="32"/>
          <w:szCs w:val="32"/>
          <w:highlight w:val="none"/>
          <w:lang w:eastAsia="zh-CN"/>
        </w:rPr>
        <w:t>擦亮</w:t>
      </w:r>
      <w:r>
        <w:rPr>
          <w:rFonts w:hint="eastAsia" w:ascii="仿宋_GB2312" w:eastAsia="仿宋_GB2312"/>
          <w:color w:val="auto"/>
          <w:kern w:val="2"/>
          <w:sz w:val="32"/>
          <w:szCs w:val="32"/>
          <w:highlight w:val="none"/>
        </w:rPr>
        <w:t>“乐动四季”活动品牌</w:t>
      </w:r>
      <w:r>
        <w:rPr>
          <w:rFonts w:hint="eastAsia" w:ascii="仿宋_GB2312" w:eastAsia="仿宋_GB2312"/>
          <w:color w:val="auto"/>
          <w:kern w:val="2"/>
          <w:sz w:val="32"/>
          <w:szCs w:val="32"/>
          <w:highlight w:val="none"/>
          <w:lang w:eastAsia="zh-CN"/>
        </w:rPr>
        <w:t>，依托新时代文明实践所（站）等阵地，</w:t>
      </w:r>
      <w:r>
        <w:rPr>
          <w:rFonts w:hint="eastAsia" w:ascii="仿宋_GB2312" w:eastAsia="仿宋_GB2312"/>
          <w:color w:val="auto"/>
          <w:kern w:val="2"/>
          <w:sz w:val="32"/>
          <w:szCs w:val="32"/>
          <w:highlight w:val="none"/>
          <w:lang w:val="en-US" w:eastAsia="zh-CN"/>
        </w:rPr>
        <w:t>进一步</w:t>
      </w:r>
      <w:r>
        <w:rPr>
          <w:rFonts w:hint="eastAsia" w:ascii="仿宋_GB2312" w:eastAsia="仿宋_GB2312"/>
          <w:color w:val="auto"/>
          <w:kern w:val="2"/>
          <w:sz w:val="32"/>
          <w:szCs w:val="32"/>
          <w:highlight w:val="none"/>
          <w:lang w:eastAsia="zh-CN"/>
        </w:rPr>
        <w:t>丰富人民群众精神文化生活。</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color w:val="auto"/>
          <w:kern w:val="2"/>
          <w:sz w:val="32"/>
          <w:szCs w:val="32"/>
          <w:lang w:val="en-US" w:eastAsia="zh-CN"/>
        </w:rPr>
        <w:t>三是共建共治提升社会治理能力。</w:t>
      </w:r>
      <w:r>
        <w:rPr>
          <w:rFonts w:hint="eastAsia" w:ascii="仿宋_GB2312" w:hAnsi="仿宋_GB2312" w:eastAsia="仿宋_GB2312" w:cs="仿宋_GB2312"/>
          <w:kern w:val="2"/>
          <w:sz w:val="32"/>
          <w:szCs w:val="32"/>
          <w:highlight w:val="none"/>
          <w:lang w:val="en-US" w:eastAsia="zh-CN"/>
        </w:rPr>
        <w:t>深入开展网格大走访活动，强化“听看议办评”社会治理品牌运用，全方面提升社会治理效能。借助非诉讼服务中心，完善社会矛盾纠纷多元预防调处化解综合机制。</w:t>
      </w:r>
      <w:r>
        <w:rPr>
          <w:rFonts w:hint="eastAsia" w:ascii="仿宋_GB2312" w:hAnsi="仿宋_GB2312" w:eastAsia="仿宋_GB2312" w:cs="仿宋_GB2312"/>
          <w:kern w:val="2"/>
          <w:sz w:val="32"/>
          <w:szCs w:val="32"/>
          <w:highlight w:val="none"/>
          <w:lang w:val="en-US" w:eastAsia="zh-CN" w:bidi="ar-SA"/>
        </w:rPr>
        <w:t>常态化开展扫黑除恶、电信网络反诈等专题宣传活动，增强群众防范意识。与时俱进加强智慧技防建设，扎实推进智慧校园、智慧小区等重点项目，夯实平安建设根基。</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kern w:val="2"/>
          <w:lang w:val="en-US" w:eastAsia="zh-CN"/>
        </w:rPr>
      </w:pPr>
      <w:r>
        <w:rPr>
          <w:rFonts w:hint="eastAsia" w:ascii="楷体_GB2312" w:hAnsi="楷体_GB2312" w:eastAsia="楷体_GB2312" w:cs="楷体_GB2312"/>
          <w:color w:val="auto"/>
          <w:kern w:val="2"/>
          <w:sz w:val="32"/>
          <w:szCs w:val="32"/>
          <w:lang w:val="en-US" w:eastAsia="zh-CN"/>
        </w:rPr>
        <w:t>四是慎始慎终抓好安全生产工作。</w:t>
      </w:r>
      <w:r>
        <w:rPr>
          <w:rFonts w:hint="eastAsia" w:ascii="仿宋_GB2312" w:hAnsi="仿宋_GB2312" w:eastAsia="仿宋_GB2312" w:cs="仿宋_GB2312"/>
          <w:bCs/>
          <w:kern w:val="2"/>
          <w:sz w:val="32"/>
          <w:szCs w:val="32"/>
          <w:highlight w:val="none"/>
          <w:lang w:val="en-US" w:eastAsia="zh-CN"/>
        </w:rPr>
        <w:t>围绕危化品、金属冶炼、消防安全等重点行业领域展开专项整治行动，完成西夏墅专职消防救援队建设，标本兼治提高本质安全水平</w:t>
      </w:r>
      <w:r>
        <w:rPr>
          <w:rFonts w:hint="eastAsia" w:ascii="仿宋_GB2312" w:hAnsi="仿宋_GB2312" w:eastAsia="仿宋_GB2312" w:cs="仿宋_GB2312"/>
          <w:bCs/>
          <w:color w:val="0000FF"/>
          <w:kern w:val="2"/>
          <w:sz w:val="32"/>
          <w:szCs w:val="32"/>
          <w:highlight w:val="none"/>
          <w:lang w:val="en-US" w:eastAsia="zh-CN"/>
        </w:rPr>
        <w:t>。</w:t>
      </w:r>
      <w:r>
        <w:rPr>
          <w:rFonts w:hint="eastAsia" w:ascii="仿宋_GB2312" w:hAnsi="仿宋_GB2312" w:eastAsia="仿宋_GB2312" w:cs="仿宋_GB2312"/>
          <w:bCs/>
          <w:kern w:val="2"/>
          <w:sz w:val="32"/>
          <w:szCs w:val="32"/>
          <w:highlight w:val="none"/>
          <w:lang w:val="en-US" w:eastAsia="zh-CN"/>
        </w:rPr>
        <w:t>以安全生产标准化创建工作为抓手，助力企业安全管理提档升级。强化源头治理和全过程监管，加强安委会成员单位间的协作配合，持续完善安全生产网格化监管体系，打通安全监管“最后一公里”。</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四、久久为功抓提升，激发效能建设新活力</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坚持自我革命，持续深化改革、转变政风，建设为民务实清廉政府。</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ascii="楷体_GB2312" w:hAnsi="楷体_GB2312" w:eastAsia="楷体_GB2312" w:cs="楷体_GB2312"/>
          <w:color w:val="auto"/>
          <w:kern w:val="2"/>
          <w:sz w:val="32"/>
          <w:szCs w:val="32"/>
          <w:lang w:val="en-US" w:eastAsia="zh-CN"/>
        </w:rPr>
      </w:pPr>
      <w:r>
        <w:rPr>
          <w:rFonts w:hint="eastAsia" w:ascii="楷体_GB2312" w:hAnsi="楷体_GB2312" w:eastAsia="楷体_GB2312" w:cs="楷体_GB2312"/>
          <w:color w:val="auto"/>
          <w:kern w:val="2"/>
          <w:sz w:val="32"/>
          <w:szCs w:val="32"/>
          <w:lang w:val="en-US" w:eastAsia="zh-CN"/>
        </w:rPr>
        <w:t>一是以民主法治凝聚各方智慧力量。</w:t>
      </w:r>
      <w:r>
        <w:rPr>
          <w:rFonts w:hint="eastAsia" w:ascii="仿宋_GB2312" w:hAnsi="仿宋_GB2312" w:eastAsia="仿宋_GB2312" w:cs="仿宋_GB2312"/>
          <w:color w:val="auto"/>
          <w:spacing w:val="0"/>
          <w:kern w:val="2"/>
          <w:sz w:val="32"/>
          <w:szCs w:val="32"/>
          <w:highlight w:val="none"/>
          <w:lang w:val="en-US" w:eastAsia="zh-CN"/>
        </w:rPr>
        <w:t>持续推进法治和规范化建设，不断提高政府依法履职能力。</w:t>
      </w:r>
      <w:r>
        <w:rPr>
          <w:rFonts w:hint="eastAsia" w:ascii="仿宋_GB2312" w:hAnsi="仿宋_GB2312" w:eastAsia="仿宋_GB2312" w:cs="仿宋_GB2312"/>
          <w:color w:val="auto"/>
          <w:kern w:val="2"/>
          <w:sz w:val="32"/>
          <w:szCs w:val="32"/>
          <w:lang w:val="en-US" w:eastAsia="zh-CN"/>
        </w:rPr>
        <w:t>严格落实行政决策程序规定，</w:t>
      </w:r>
      <w:r>
        <w:rPr>
          <w:rFonts w:hint="eastAsia" w:ascii="仿宋_GB2312" w:hAnsi="仿宋_GB2312" w:eastAsia="仿宋_GB2312" w:cs="仿宋_GB2312"/>
          <w:kern w:val="2"/>
          <w:sz w:val="32"/>
          <w:szCs w:val="32"/>
          <w:highlight w:val="none"/>
          <w:lang w:val="en-US" w:eastAsia="zh-CN"/>
        </w:rPr>
        <w:t>进一步提高科学决策、民主决策、依法决策水平</w:t>
      </w:r>
      <w:r>
        <w:rPr>
          <w:rFonts w:hint="eastAsia" w:ascii="仿宋_GB2312" w:hAnsi="仿宋_GB2312" w:eastAsia="仿宋_GB2312" w:cs="仿宋_GB2312"/>
          <w:color w:val="auto"/>
          <w:kern w:val="2"/>
          <w:sz w:val="32"/>
          <w:szCs w:val="32"/>
          <w:lang w:val="en-US" w:eastAsia="zh-CN"/>
        </w:rPr>
        <w:t>。持续壮大法律明白人队伍，建设更加和谐民主的法治乡村。坚持让政务公开成为常态，自觉接受人大、政协监督，主动接受社会和舆论监督，用公正透明赢得人民群众更多的理解、信任和支持。</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楷体_GB2312" w:hAnsi="楷体_GB2312" w:eastAsia="楷体_GB2312" w:cs="楷体_GB2312"/>
          <w:b w:val="0"/>
          <w:bCs w:val="0"/>
          <w:color w:val="auto"/>
          <w:kern w:val="2"/>
          <w:sz w:val="32"/>
          <w:szCs w:val="32"/>
          <w:lang w:val="en-US" w:eastAsia="zh-CN"/>
        </w:rPr>
        <w:t>二是以务实高效书写人民满意答卷。</w:t>
      </w:r>
      <w:r>
        <w:rPr>
          <w:rFonts w:hint="eastAsia" w:ascii="仿宋_GB2312" w:hAnsi="仿宋_GB2312" w:eastAsia="仿宋_GB2312" w:cs="仿宋_GB2312"/>
          <w:color w:val="auto"/>
          <w:kern w:val="2"/>
          <w:sz w:val="32"/>
          <w:szCs w:val="32"/>
          <w:lang w:val="en-US" w:eastAsia="zh-CN"/>
        </w:rPr>
        <w:t>开展农村“三资”管理长效化监督，实行明察暗访常态化、惩戒问责常态化、通报曝光常态化，加</w:t>
      </w:r>
      <w:r>
        <w:rPr>
          <w:rFonts w:hint="eastAsia" w:ascii="仿宋_GB2312" w:hAnsi="仿宋_GB2312" w:eastAsia="仿宋_GB2312" w:cs="仿宋_GB2312"/>
          <w:kern w:val="2"/>
          <w:sz w:val="32"/>
          <w:szCs w:val="32"/>
          <w:highlight w:val="none"/>
          <w:lang w:val="en-US" w:eastAsia="zh-CN"/>
        </w:rPr>
        <w:t>大作风整顿力度，稳步推进效能提升。</w:t>
      </w:r>
      <w:r>
        <w:rPr>
          <w:rFonts w:hint="eastAsia" w:ascii="仿宋_GB2312" w:hAnsi="仿宋_GB2312" w:eastAsia="仿宋_GB2312" w:cs="仿宋_GB2312"/>
          <w:kern w:val="2"/>
          <w:sz w:val="32"/>
          <w:szCs w:val="32"/>
          <w:highlight w:val="none"/>
        </w:rPr>
        <w:t>及时跟进市、区下放审批事项的承接落实，积极推动公积金、交管等部门业务进驻便民服务大厅</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建设“全科窗口”</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打造“一站式”政务服务平台</w:t>
      </w:r>
      <w:r>
        <w:rPr>
          <w:rFonts w:hint="eastAsia" w:ascii="仿宋_GB2312" w:hAnsi="仿宋_GB2312" w:eastAsia="仿宋_GB2312" w:cs="仿宋_GB2312"/>
          <w:kern w:val="2"/>
          <w:sz w:val="32"/>
          <w:szCs w:val="32"/>
          <w:highlight w:val="none"/>
          <w:lang w:eastAsia="zh-CN"/>
        </w:rPr>
        <w:t>，开展代办服务、上门服务，不断延伸服务触角</w:t>
      </w:r>
      <w:r>
        <w:rPr>
          <w:rFonts w:hint="eastAsia" w:ascii="仿宋_GB2312" w:hAnsi="仿宋_GB2312" w:eastAsia="仿宋_GB2312" w:cs="仿宋_GB2312"/>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楷体_GB2312" w:hAnsi="楷体_GB2312" w:eastAsia="楷体_GB2312" w:cs="楷体_GB2312"/>
          <w:color w:val="auto"/>
          <w:kern w:val="2"/>
          <w:sz w:val="32"/>
          <w:szCs w:val="32"/>
          <w:lang w:val="en-US" w:eastAsia="zh-CN"/>
        </w:rPr>
        <w:t>三是以廉洁自律营造良好政治生态。</w:t>
      </w:r>
      <w:r>
        <w:rPr>
          <w:rFonts w:hint="eastAsia" w:ascii="仿宋_GB2312" w:hAnsi="仿宋_GB2312" w:eastAsia="仿宋_GB2312" w:cs="仿宋_GB2312"/>
          <w:kern w:val="2"/>
          <w:sz w:val="32"/>
          <w:szCs w:val="32"/>
          <w:highlight w:val="none"/>
          <w:lang w:val="en-US" w:eastAsia="zh-CN"/>
        </w:rPr>
        <w:t>压紧压实党风廉政建设“两个责任”，督促领导干部认真履行“一岗双责”。坚持政府过紧日子，进一步完善三公经费和一般性支出审核机制，从源头防治腐败问题。坚持以零容忍态度惩治腐败，畅通信访举报渠道，做到有案必查、有腐必惩。加强廉洁文化建设和警示教育，着力实现干部清正、政府清廉、政治清明、社会清朗。</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kern w:val="2"/>
          <w:sz w:val="32"/>
          <w:szCs w:val="32"/>
        </w:rPr>
      </w:pPr>
      <w:r>
        <w:rPr>
          <w:rFonts w:hint="eastAsia" w:hAnsi="仿宋_GB2312" w:cs="仿宋_GB2312"/>
          <w:kern w:val="2"/>
          <w:sz w:val="32"/>
          <w:szCs w:val="32"/>
          <w:highlight w:val="none"/>
          <w:lang w:val="en-US" w:eastAsia="zh-CN" w:bidi="ar-SA"/>
        </w:rPr>
        <w:t>各位代表！历史，总是在继往开来中谱写；事业，总是在接续奋斗中发展。越是任重道远，越要策马扬鞭。让我们在区委、区政府和镇党委的正确领导下，紧紧团结和依靠全镇人民，以时不我待的奋进姿态、身体力行的实干担当，迎难而上、善作善成，为推动西夏墅经济社会高质量发展而不懈奋斗！</w:t>
      </w:r>
    </w:p>
    <w:sectPr>
      <w:footerReference r:id="rId3" w:type="default"/>
      <w:pgSz w:w="11906" w:h="16838"/>
      <w:pgMar w:top="2098" w:right="1531" w:bottom="198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-393700</wp:posOffset>
              </wp:positionV>
              <wp:extent cx="1828800" cy="6305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630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1pt;height:49.65pt;width:144pt;mso-position-horizontal:center;mso-position-horizontal-relative:margin;mso-wrap-style:none;z-index:251659264;mso-width-relative:page;mso-height-relative:page;" filled="f" stroked="f" coordsize="21600,21600" o:gfxdata="UEsDBAoAAAAAAIdO4kAAAAAAAAAAAAAAAAAEAAAAZHJzL1BLAwQUAAAACACHTuJANM4ZidcAAAAH&#10;AQAADwAAAGRycy9kb3ducmV2LnhtbE2PS0/DMBCE70j8B2uRuLVOUyhRyKZCSPTCqeEhcdvGbhLh&#10;R2S7TeDXs5zgNqtZzXxTbWdrxFmHOHiHsFpmILRrvRpch/D68rQoQMRETpHxTiN86Qjb+vKiolL5&#10;ye31uUmd4BAXS0LoUxpLKWPba0tx6Uft2Dv6YCnxGTqpAk0cbo3Ms2wjLQ2OG3oa9WOv28/mZBF2&#10;8/f7zXP4SKahfXv7Zh+6425CvL5aZfcgkp7T3zP84jM61Mx08CenojAIPCQhLDY5C7bzomBxQFjf&#10;rUHWlfzPX/8AUEsDBBQAAAAIAIdO4kAVVzT5NAIAAGAEAAAOAAAAZHJzL2Uyb0RvYy54bWytVM2O&#10;EzEMviPxDlHudKZFXVVVp6uyVRFSxa5UEOc0k3QiJXGUpJ0pDwBvwIkLd56rz7HO/HTRwmEPXFJP&#10;bH/O99nu4rYxmpyEDwpsQcejnBJhOZTKHgr6+dPmzYySEJktmQYrCnoWgd4uX79a1G4uJlCBLoUn&#10;CGLDvHYFrWJ08ywLvBKGhRE4YdEpwRsW8dMfstKzGtGNziZ5fpPV4EvngYsQ8HbdOWmP6F8CCFIq&#10;LtbAj0bY2KF6oVlESqFSLtBl+1opBY/3UgYRiS4oMo3tiUXQ3qczWy7Y/OCZqxTvn8Be8oRnnAxT&#10;FoteodYsMnL06i8oo7iHADKOOJisI9IqgizG+TNtdhVzouWCUgd3FT38P1j+8fTgiSoLOqHEMoMN&#10;v/z4fvn5+/LrG5kkeWoX5hi1cxgXm3fQ4NAM9wEvE+tGepN+kQ9BP4p7voormkh4SppNZrMcXRx9&#10;N2/z6XSaYLKnbOdDfC/AkGQU1GPzWk3ZaRtiFzqEpGIWNkrrtoHakjqBTvM24epBcG2xRuLQvTVZ&#10;sdk3PbE9lGfk5aEbjOD4RmHxLQvxgXmcBHwv7kq8x0NqwCLQW5RU4L/+6z7FY4PQS0mNk1VQi4tE&#10;if5gsXEIGAfDD8Z+MOzR3AGO6hh30PHWxAQf9WBKD+YLLtAq1UAXsxwrFTQO5l3sphsXkIvVqg06&#10;Oq8OVZeAY+dY3Nqd46lMJ+TqGEGqVuMkUKdKrxsOXtulfknSZP/53UY9/TEs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0zhmJ1wAAAAcBAAAPAAAAAAAAAAEAIAAAACIAAABkcnMvZG93bnJldi54&#10;bWxQSwECFAAUAAAACACHTuJAFVc0+TQCAABgBAAADgAAAAAAAAABACAAAAAmAQAAZHJzL2Uyb0Rv&#10;Yy54bWxQSwUGAAAAAAYABgBZAQAAzAUAAAAA&#10;">
              <v:fill on="f" focussize="0,0"/>
              <v:stroke on="f" weight="0.5pt"/>
              <v:imagedata o:title=""/>
              <o:lock v:ext="edit" aspectratio="f"/>
              <v:textbox inset="0mm,0mm,0mm,0mm">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ZDhhYTMzNWViNDkwOGIxMTUyNjFjNGRjYjUxYTgifQ=="/>
    <w:docVar w:name="KSO_WPS_MARK_KEY" w:val="6286eddf-4a1e-4e98-946e-be78da26b7ab"/>
  </w:docVars>
  <w:rsids>
    <w:rsidRoot w:val="00000000"/>
    <w:rsid w:val="016E2F6B"/>
    <w:rsid w:val="03463A74"/>
    <w:rsid w:val="04BC0CE2"/>
    <w:rsid w:val="04E43F3C"/>
    <w:rsid w:val="04F35664"/>
    <w:rsid w:val="055F6696"/>
    <w:rsid w:val="06416AF5"/>
    <w:rsid w:val="06C57D9C"/>
    <w:rsid w:val="07133C6D"/>
    <w:rsid w:val="07D442F0"/>
    <w:rsid w:val="080A32C2"/>
    <w:rsid w:val="082779D0"/>
    <w:rsid w:val="093F44FA"/>
    <w:rsid w:val="095C7B4D"/>
    <w:rsid w:val="0A375EC4"/>
    <w:rsid w:val="0A5121B5"/>
    <w:rsid w:val="0AB17507"/>
    <w:rsid w:val="0ACF3C35"/>
    <w:rsid w:val="0B372620"/>
    <w:rsid w:val="0C46302D"/>
    <w:rsid w:val="0C7E54E8"/>
    <w:rsid w:val="0DAC1BD2"/>
    <w:rsid w:val="0DE04889"/>
    <w:rsid w:val="0DF20A80"/>
    <w:rsid w:val="0F02074E"/>
    <w:rsid w:val="0F1C2F5E"/>
    <w:rsid w:val="0FCE1079"/>
    <w:rsid w:val="0FE65FDD"/>
    <w:rsid w:val="10881228"/>
    <w:rsid w:val="10DB1C9F"/>
    <w:rsid w:val="11270E24"/>
    <w:rsid w:val="11FC3C7B"/>
    <w:rsid w:val="12C164CC"/>
    <w:rsid w:val="12D502F9"/>
    <w:rsid w:val="135049C5"/>
    <w:rsid w:val="1416555A"/>
    <w:rsid w:val="143212D7"/>
    <w:rsid w:val="147C605C"/>
    <w:rsid w:val="14F50E56"/>
    <w:rsid w:val="151E65FF"/>
    <w:rsid w:val="15783F61"/>
    <w:rsid w:val="1615328D"/>
    <w:rsid w:val="16CB1E6E"/>
    <w:rsid w:val="172457E9"/>
    <w:rsid w:val="1776387D"/>
    <w:rsid w:val="17A80401"/>
    <w:rsid w:val="17DC33B7"/>
    <w:rsid w:val="1847093C"/>
    <w:rsid w:val="187F19B5"/>
    <w:rsid w:val="18956BD8"/>
    <w:rsid w:val="189B3AC2"/>
    <w:rsid w:val="18F90F15"/>
    <w:rsid w:val="19690972"/>
    <w:rsid w:val="196C5B8A"/>
    <w:rsid w:val="19D674A8"/>
    <w:rsid w:val="1AA26354"/>
    <w:rsid w:val="1B0246D5"/>
    <w:rsid w:val="1B136260"/>
    <w:rsid w:val="1B5C2FDC"/>
    <w:rsid w:val="1BA16335"/>
    <w:rsid w:val="1BB50748"/>
    <w:rsid w:val="1BF6024F"/>
    <w:rsid w:val="1C4F3541"/>
    <w:rsid w:val="1C8F18DD"/>
    <w:rsid w:val="1D1C1676"/>
    <w:rsid w:val="1D6D0123"/>
    <w:rsid w:val="1DA5166B"/>
    <w:rsid w:val="1E192F6A"/>
    <w:rsid w:val="1E200DA7"/>
    <w:rsid w:val="1E3638C9"/>
    <w:rsid w:val="1E4C30D0"/>
    <w:rsid w:val="1EAE7F4E"/>
    <w:rsid w:val="1F462658"/>
    <w:rsid w:val="204B35B8"/>
    <w:rsid w:val="20971013"/>
    <w:rsid w:val="211A2370"/>
    <w:rsid w:val="21E97881"/>
    <w:rsid w:val="229350CF"/>
    <w:rsid w:val="22B673C3"/>
    <w:rsid w:val="22F31C41"/>
    <w:rsid w:val="235A2EF8"/>
    <w:rsid w:val="23902DE5"/>
    <w:rsid w:val="23E33B7E"/>
    <w:rsid w:val="23F95193"/>
    <w:rsid w:val="24D5203C"/>
    <w:rsid w:val="253539B3"/>
    <w:rsid w:val="25EB6F94"/>
    <w:rsid w:val="265E0AC9"/>
    <w:rsid w:val="26616526"/>
    <w:rsid w:val="267316AD"/>
    <w:rsid w:val="26C2328E"/>
    <w:rsid w:val="280653FC"/>
    <w:rsid w:val="29080D00"/>
    <w:rsid w:val="2A490E0C"/>
    <w:rsid w:val="2A906E7A"/>
    <w:rsid w:val="2C876C5E"/>
    <w:rsid w:val="2DB90CBD"/>
    <w:rsid w:val="2DF06932"/>
    <w:rsid w:val="2ED00512"/>
    <w:rsid w:val="2F9C6646"/>
    <w:rsid w:val="30275F10"/>
    <w:rsid w:val="30FF0C3A"/>
    <w:rsid w:val="31AD7DF1"/>
    <w:rsid w:val="322E56F3"/>
    <w:rsid w:val="32452FC5"/>
    <w:rsid w:val="325771B0"/>
    <w:rsid w:val="332B5D17"/>
    <w:rsid w:val="33501A8D"/>
    <w:rsid w:val="33D7039E"/>
    <w:rsid w:val="348953EB"/>
    <w:rsid w:val="34FC154A"/>
    <w:rsid w:val="351F7AFD"/>
    <w:rsid w:val="35ED6974"/>
    <w:rsid w:val="35EE0175"/>
    <w:rsid w:val="362A745E"/>
    <w:rsid w:val="363D520E"/>
    <w:rsid w:val="36AF4EB1"/>
    <w:rsid w:val="36E27034"/>
    <w:rsid w:val="379359F2"/>
    <w:rsid w:val="389075FF"/>
    <w:rsid w:val="393B1EAF"/>
    <w:rsid w:val="39CD3FCC"/>
    <w:rsid w:val="3AE2152B"/>
    <w:rsid w:val="3B632649"/>
    <w:rsid w:val="3B762441"/>
    <w:rsid w:val="3BE918F1"/>
    <w:rsid w:val="3D44569D"/>
    <w:rsid w:val="3D491BBB"/>
    <w:rsid w:val="3DCB367A"/>
    <w:rsid w:val="3E2E3DBA"/>
    <w:rsid w:val="3EB50A34"/>
    <w:rsid w:val="3F161E6C"/>
    <w:rsid w:val="3F1E7077"/>
    <w:rsid w:val="3F7E3672"/>
    <w:rsid w:val="3FAB6EA0"/>
    <w:rsid w:val="4086756D"/>
    <w:rsid w:val="40B530C4"/>
    <w:rsid w:val="40F24F08"/>
    <w:rsid w:val="410F480F"/>
    <w:rsid w:val="412D2E42"/>
    <w:rsid w:val="429A07C3"/>
    <w:rsid w:val="458B103A"/>
    <w:rsid w:val="478B4B7E"/>
    <w:rsid w:val="482870B2"/>
    <w:rsid w:val="482C6919"/>
    <w:rsid w:val="48DD3AFF"/>
    <w:rsid w:val="491A7BB9"/>
    <w:rsid w:val="4A070E34"/>
    <w:rsid w:val="4A513E5D"/>
    <w:rsid w:val="4A981A8C"/>
    <w:rsid w:val="4C8524E4"/>
    <w:rsid w:val="4D866514"/>
    <w:rsid w:val="4E4B3EEE"/>
    <w:rsid w:val="4EA76741"/>
    <w:rsid w:val="4F6E725F"/>
    <w:rsid w:val="4F9071D6"/>
    <w:rsid w:val="4FD214B6"/>
    <w:rsid w:val="5035213F"/>
    <w:rsid w:val="50383C9D"/>
    <w:rsid w:val="50E22C56"/>
    <w:rsid w:val="51BB21E3"/>
    <w:rsid w:val="51E269DA"/>
    <w:rsid w:val="520A3729"/>
    <w:rsid w:val="53956993"/>
    <w:rsid w:val="5406215C"/>
    <w:rsid w:val="54120B01"/>
    <w:rsid w:val="542B5FE1"/>
    <w:rsid w:val="54684BC5"/>
    <w:rsid w:val="54A4596D"/>
    <w:rsid w:val="559A2185"/>
    <w:rsid w:val="55C55FE9"/>
    <w:rsid w:val="568963C4"/>
    <w:rsid w:val="568A7075"/>
    <w:rsid w:val="56E46B61"/>
    <w:rsid w:val="576167E2"/>
    <w:rsid w:val="57787490"/>
    <w:rsid w:val="579609A2"/>
    <w:rsid w:val="57EE0EDB"/>
    <w:rsid w:val="593C6736"/>
    <w:rsid w:val="598D0D02"/>
    <w:rsid w:val="5A2B42E8"/>
    <w:rsid w:val="5A5A4401"/>
    <w:rsid w:val="5AA37677"/>
    <w:rsid w:val="5AE96334"/>
    <w:rsid w:val="5B286E5C"/>
    <w:rsid w:val="5B3B76BE"/>
    <w:rsid w:val="5B7E7C0D"/>
    <w:rsid w:val="5C146454"/>
    <w:rsid w:val="5C754D8D"/>
    <w:rsid w:val="5CDC30C9"/>
    <w:rsid w:val="5CDE093E"/>
    <w:rsid w:val="5D202F87"/>
    <w:rsid w:val="5D8F4A9F"/>
    <w:rsid w:val="5DA622BA"/>
    <w:rsid w:val="5E0B036F"/>
    <w:rsid w:val="5F0932AE"/>
    <w:rsid w:val="606E08E4"/>
    <w:rsid w:val="61AB40C5"/>
    <w:rsid w:val="61CA1E0A"/>
    <w:rsid w:val="61D17D64"/>
    <w:rsid w:val="622639C9"/>
    <w:rsid w:val="627604AD"/>
    <w:rsid w:val="629A2984"/>
    <w:rsid w:val="62E53885"/>
    <w:rsid w:val="638C3D00"/>
    <w:rsid w:val="63C46DE2"/>
    <w:rsid w:val="63D74F7B"/>
    <w:rsid w:val="643C5726"/>
    <w:rsid w:val="65377536"/>
    <w:rsid w:val="656E5554"/>
    <w:rsid w:val="65757142"/>
    <w:rsid w:val="65B01F28"/>
    <w:rsid w:val="661F70AE"/>
    <w:rsid w:val="67347B66"/>
    <w:rsid w:val="67516006"/>
    <w:rsid w:val="676236F6"/>
    <w:rsid w:val="67DD04F9"/>
    <w:rsid w:val="680B3BEE"/>
    <w:rsid w:val="69072EE7"/>
    <w:rsid w:val="69684D9A"/>
    <w:rsid w:val="6A470E8F"/>
    <w:rsid w:val="6B8F438D"/>
    <w:rsid w:val="6CE55E74"/>
    <w:rsid w:val="6D6F091A"/>
    <w:rsid w:val="6E370497"/>
    <w:rsid w:val="6ED0363B"/>
    <w:rsid w:val="6FEF189F"/>
    <w:rsid w:val="70587444"/>
    <w:rsid w:val="71D368CA"/>
    <w:rsid w:val="724F1412"/>
    <w:rsid w:val="72646574"/>
    <w:rsid w:val="730218E9"/>
    <w:rsid w:val="73724CC1"/>
    <w:rsid w:val="73A2518E"/>
    <w:rsid w:val="73E62499"/>
    <w:rsid w:val="74E32708"/>
    <w:rsid w:val="75810342"/>
    <w:rsid w:val="76412F93"/>
    <w:rsid w:val="767201AA"/>
    <w:rsid w:val="76B56913"/>
    <w:rsid w:val="76E51777"/>
    <w:rsid w:val="76E97048"/>
    <w:rsid w:val="770976EA"/>
    <w:rsid w:val="770F0450"/>
    <w:rsid w:val="77B729E0"/>
    <w:rsid w:val="77DB72D8"/>
    <w:rsid w:val="789221A3"/>
    <w:rsid w:val="78C3158D"/>
    <w:rsid w:val="78CA5CA7"/>
    <w:rsid w:val="795C1940"/>
    <w:rsid w:val="79A764C4"/>
    <w:rsid w:val="7B9B2CBA"/>
    <w:rsid w:val="7BD32074"/>
    <w:rsid w:val="7BEB1AB4"/>
    <w:rsid w:val="7C5E1648"/>
    <w:rsid w:val="7D3C35EE"/>
    <w:rsid w:val="7DC832D7"/>
    <w:rsid w:val="7DE41134"/>
    <w:rsid w:val="7E1547F6"/>
    <w:rsid w:val="7EAA17B2"/>
    <w:rsid w:val="7EBE0DBA"/>
    <w:rsid w:val="7ED92098"/>
    <w:rsid w:val="7F04261A"/>
    <w:rsid w:val="7F0569E9"/>
    <w:rsid w:val="7F08297D"/>
    <w:rsid w:val="7F3472CE"/>
    <w:rsid w:val="7F565496"/>
    <w:rsid w:val="7F67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toc 2"/>
    <w:next w:val="1"/>
    <w:autoRedefine/>
    <w:qFormat/>
    <w:uiPriority w:val="0"/>
    <w:pPr>
      <w:widowControl w:val="0"/>
      <w:ind w:left="420" w:leftChars="200"/>
      <w:jc w:val="both"/>
    </w:pPr>
    <w:rPr>
      <w:rFonts w:ascii="仿宋_GB2312" w:hAnsi="Times New Roman" w:eastAsia="仿宋_GB2312" w:cs="Times New Roman"/>
      <w:kern w:val="2"/>
      <w:sz w:val="34"/>
      <w:szCs w:val="32"/>
      <w:lang w:val="en-US" w:eastAsia="zh-CN" w:bidi="ar-SA"/>
    </w:rPr>
  </w:style>
  <w:style w:type="paragraph" w:styleId="4">
    <w:name w:val="Normal Indent"/>
    <w:basedOn w:val="1"/>
    <w:autoRedefine/>
    <w:qFormat/>
    <w:uiPriority w:val="0"/>
    <w:pPr>
      <w:ind w:firstLine="420"/>
    </w:pPr>
  </w:style>
  <w:style w:type="paragraph" w:styleId="5">
    <w:name w:val="Plain Text"/>
    <w:basedOn w:val="1"/>
    <w:autoRedefine/>
    <w:semiHidden/>
    <w:unhideWhenUsed/>
    <w:qFormat/>
    <w:uiPriority w:val="99"/>
    <w:rPr>
      <w:rFonts w:ascii="宋体" w:hAnsi="Courier New"/>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FollowedHyperlink"/>
    <w:basedOn w:val="10"/>
    <w:autoRedefine/>
    <w:qFormat/>
    <w:uiPriority w:val="0"/>
    <w:rPr>
      <w:color w:val="808080"/>
      <w:u w:val="none"/>
    </w:rPr>
  </w:style>
  <w:style w:type="character" w:styleId="12">
    <w:name w:val="Emphasis"/>
    <w:basedOn w:val="10"/>
    <w:autoRedefine/>
    <w:qFormat/>
    <w:uiPriority w:val="0"/>
  </w:style>
  <w:style w:type="character" w:styleId="13">
    <w:name w:val="Hyperlink"/>
    <w:basedOn w:val="10"/>
    <w:autoRedefine/>
    <w:qFormat/>
    <w:uiPriority w:val="0"/>
    <w:rPr>
      <w:color w:val="808080"/>
      <w:u w:val="none"/>
    </w:rPr>
  </w:style>
  <w:style w:type="character" w:styleId="14">
    <w:name w:val="HTML Code"/>
    <w:basedOn w:val="10"/>
    <w:autoRedefine/>
    <w:qFormat/>
    <w:uiPriority w:val="0"/>
    <w:rPr>
      <w:rFonts w:ascii="Courier New" w:hAnsi="Courier New"/>
      <w:sz w:val="20"/>
    </w:rPr>
  </w:style>
  <w:style w:type="character" w:customStyle="1" w:styleId="15">
    <w:name w:val="z2"/>
    <w:basedOn w:val="10"/>
    <w:autoRedefine/>
    <w:qFormat/>
    <w:uiPriority w:val="0"/>
    <w:rPr>
      <w:color w:val="DA0000"/>
      <w:shd w:val="clear" w:fill="FFFFFF"/>
    </w:rPr>
  </w:style>
  <w:style w:type="character" w:customStyle="1" w:styleId="16">
    <w:name w:val="jxz"/>
    <w:basedOn w:val="10"/>
    <w:autoRedefine/>
    <w:qFormat/>
    <w:uiPriority w:val="0"/>
    <w:rPr>
      <w:color w:val="C82A3F"/>
      <w:bdr w:val="single" w:color="C82A3F" w:sz="6" w:space="0"/>
    </w:rPr>
  </w:style>
  <w:style w:type="character" w:customStyle="1" w:styleId="17">
    <w:name w:val="zx"/>
    <w:basedOn w:val="10"/>
    <w:autoRedefine/>
    <w:qFormat/>
    <w:uiPriority w:val="0"/>
    <w:rPr>
      <w:color w:val="2FB8A0"/>
      <w:bdr w:val="single" w:color="2FB8A0" w:sz="6" w:space="0"/>
    </w:rPr>
  </w:style>
  <w:style w:type="character" w:customStyle="1" w:styleId="18">
    <w:name w:val="jb"/>
    <w:basedOn w:val="10"/>
    <w:autoRedefine/>
    <w:qFormat/>
    <w:uiPriority w:val="0"/>
    <w:rPr>
      <w:color w:val="E2A229"/>
      <w:bdr w:val="single" w:color="E2A229" w:sz="6" w:space="0"/>
    </w:rPr>
  </w:style>
  <w:style w:type="character" w:customStyle="1" w:styleId="19">
    <w:name w:val="ts"/>
    <w:basedOn w:val="10"/>
    <w:autoRedefine/>
    <w:qFormat/>
    <w:uiPriority w:val="0"/>
    <w:rPr>
      <w:color w:val="C82A3F"/>
      <w:bdr w:val="single" w:color="C82A3F" w:sz="6" w:space="0"/>
    </w:rPr>
  </w:style>
  <w:style w:type="character" w:customStyle="1" w:styleId="20">
    <w:name w:val="act2"/>
    <w:basedOn w:val="10"/>
    <w:autoRedefine/>
    <w:qFormat/>
    <w:uiPriority w:val="0"/>
    <w:rPr>
      <w:color w:val="4D87BE"/>
      <w:shd w:val="clear" w:fill="FFFFFF"/>
    </w:rPr>
  </w:style>
  <w:style w:type="character" w:customStyle="1" w:styleId="21">
    <w:name w:val="act3"/>
    <w:basedOn w:val="10"/>
    <w:autoRedefine/>
    <w:qFormat/>
    <w:uiPriority w:val="0"/>
    <w:rPr>
      <w:shd w:val="clear" w:fill="FF9900"/>
    </w:rPr>
  </w:style>
  <w:style w:type="character" w:customStyle="1" w:styleId="22">
    <w:name w:val="act4"/>
    <w:basedOn w:val="10"/>
    <w:autoRedefine/>
    <w:qFormat/>
    <w:uiPriority w:val="0"/>
    <w:rPr>
      <w:color w:val="4D87BE"/>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7170</Words>
  <Characters>7384</Characters>
  <Lines>0</Lines>
  <Paragraphs>0</Paragraphs>
  <TotalTime>140</TotalTime>
  <ScaleCrop>false</ScaleCrop>
  <LinksUpToDate>false</LinksUpToDate>
  <CharactersWithSpaces>7391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冗长</cp:lastModifiedBy>
  <cp:lastPrinted>2022-12-29T08:35:00Z</cp:lastPrinted>
  <dcterms:modified xsi:type="dcterms:W3CDTF">2024-05-14T09:52:11Z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0E9917807AEF437EB127049EA65CB1C2</vt:lpwstr>
  </property>
</Properties>
</file>