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color w:val="000000"/>
          <w:sz w:val="32"/>
          <w:szCs w:val="32"/>
        </w:rPr>
      </w:pPr>
      <w:r>
        <w:rPr>
          <w:rFonts w:hint="eastAsia" w:ascii="宋体" w:hAnsi="宋体" w:eastAsia="宋体"/>
          <w:b/>
          <w:color w:val="000000"/>
          <w:sz w:val="32"/>
          <w:szCs w:val="32"/>
        </w:rPr>
        <w:t>安宁村钱家桥沃家塘渠系硬化工程</w:t>
      </w:r>
    </w:p>
    <w:p>
      <w:pPr>
        <w:jc w:val="center"/>
        <w:rPr>
          <w:rStyle w:val="10"/>
          <w:rFonts w:hint="default"/>
          <w:b/>
          <w:sz w:val="32"/>
          <w:szCs w:val="32"/>
        </w:rPr>
      </w:pPr>
      <w:r>
        <w:rPr>
          <w:rFonts w:hint="eastAsia" w:ascii="宋体" w:hAnsi="宋体" w:eastAsia="宋体"/>
          <w:b/>
          <w:color w:val="000000"/>
          <w:sz w:val="32"/>
          <w:szCs w:val="32"/>
        </w:rPr>
        <w:t>控制价编制说明</w:t>
      </w:r>
    </w:p>
    <w:p>
      <w:pPr>
        <w:spacing w:line="360" w:lineRule="auto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一、工程概况：</w:t>
      </w:r>
    </w:p>
    <w:p>
      <w:pPr>
        <w:spacing w:line="360" w:lineRule="auto"/>
        <w:ind w:firstLine="480" w:firstLineChars="200"/>
        <w:rPr>
          <w:rFonts w:hint="default" w:ascii="宋体" w:hAnsi="宋体" w:eastAsia="宋体"/>
          <w:color w:val="000000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魏村街道小农水渠系硬化工程位于常州市新北区魏村街道，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本工程为</w:t>
      </w:r>
      <w:r>
        <w:rPr>
          <w:rFonts w:ascii="宋体" w:hAnsi="宋体" w:eastAsia="宋体" w:cs="宋体"/>
          <w:sz w:val="24"/>
          <w:szCs w:val="24"/>
        </w:rPr>
        <w:t>安宁村 钱家桥沃家塘渠系硬化工程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主要建设内容为翻建砖砌渠道200米，新建φ800mmII级钢筋混凝土涵管80米，</w:t>
      </w:r>
      <w:r>
        <w:rPr>
          <w:rFonts w:ascii="宋体" w:hAnsi="宋体" w:eastAsia="宋体" w:cs="宋体"/>
          <w:sz w:val="24"/>
          <w:szCs w:val="24"/>
        </w:rPr>
        <w:t>新建预制成品节制闸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5座</w:t>
      </w:r>
      <w:r>
        <w:rPr>
          <w:rFonts w:ascii="宋体" w:hAnsi="宋体" w:eastAsia="宋体" w:cs="宋体"/>
          <w:sz w:val="24"/>
          <w:szCs w:val="24"/>
        </w:rPr>
        <w:t>，新建双口分水井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2座，C30砼路面拆建75m。</w:t>
      </w:r>
    </w:p>
    <w:p>
      <w:pPr>
        <w:spacing w:line="360" w:lineRule="auto"/>
        <w:rPr>
          <w:color w:val="000000"/>
          <w:sz w:val="24"/>
          <w:szCs w:val="24"/>
        </w:rPr>
      </w:pPr>
      <w:r>
        <w:rPr>
          <w:rStyle w:val="10"/>
          <w:rFonts w:hint="default"/>
          <w:sz w:val="24"/>
          <w:szCs w:val="24"/>
        </w:rPr>
        <w:t>二、编制依据：</w:t>
      </w:r>
    </w:p>
    <w:p>
      <w:pPr>
        <w:spacing w:line="360" w:lineRule="auto"/>
        <w:ind w:left="210" w:leftChars="100" w:firstLine="240" w:firstLineChars="100"/>
        <w:rPr>
          <w:rStyle w:val="10"/>
          <w:rFonts w:hint="default" w:cs="Times New Roman"/>
          <w:sz w:val="24"/>
          <w:szCs w:val="24"/>
        </w:rPr>
      </w:pPr>
      <w:r>
        <w:rPr>
          <w:rStyle w:val="10"/>
          <w:rFonts w:hint="default"/>
          <w:sz w:val="24"/>
          <w:szCs w:val="24"/>
        </w:rPr>
        <w:t>1、</w:t>
      </w:r>
      <w:r>
        <w:rPr>
          <w:rStyle w:val="10"/>
          <w:rFonts w:hint="eastAsia" w:eastAsia="宋体" w:cs="Times New Roman"/>
          <w:sz w:val="24"/>
          <w:szCs w:val="24"/>
          <w:lang w:val="en-US" w:eastAsia="zh-CN"/>
        </w:rPr>
        <w:t>常州市水利规划设计院有限公司</w:t>
      </w:r>
      <w:r>
        <w:rPr>
          <w:rStyle w:val="10"/>
          <w:rFonts w:hint="default" w:cs="Times New Roman"/>
          <w:sz w:val="24"/>
          <w:szCs w:val="24"/>
        </w:rPr>
        <w:t>设计图纸。</w:t>
      </w:r>
    </w:p>
    <w:p>
      <w:pPr>
        <w:spacing w:line="360" w:lineRule="auto"/>
        <w:ind w:left="210" w:leftChars="100" w:firstLine="240" w:firstLineChars="100"/>
        <w:rPr>
          <w:rStyle w:val="10"/>
          <w:rFonts w:hint="default" w:cs="Times New Roman"/>
          <w:sz w:val="24"/>
          <w:szCs w:val="24"/>
        </w:rPr>
      </w:pPr>
      <w:r>
        <w:rPr>
          <w:rStyle w:val="10"/>
          <w:rFonts w:hint="default" w:cs="Times New Roman"/>
          <w:sz w:val="24"/>
          <w:szCs w:val="24"/>
        </w:rPr>
        <w:t>2、</w:t>
      </w:r>
      <w:r>
        <w:rPr>
          <w:rFonts w:hint="eastAsia" w:asciiTheme="minorEastAsia" w:hAnsiTheme="minorEastAsia"/>
          <w:sz w:val="24"/>
          <w:szCs w:val="24"/>
        </w:rPr>
        <w:t>主管部门批准的设计概算；</w:t>
      </w:r>
    </w:p>
    <w:p>
      <w:pPr>
        <w:spacing w:line="360" w:lineRule="auto"/>
        <w:ind w:left="210" w:leftChars="100" w:firstLine="240" w:firstLineChars="100"/>
        <w:rPr>
          <w:color w:val="000000"/>
          <w:sz w:val="24"/>
          <w:szCs w:val="24"/>
        </w:rPr>
      </w:pPr>
      <w:r>
        <w:rPr>
          <w:rStyle w:val="10"/>
          <w:rFonts w:hint="default"/>
          <w:sz w:val="24"/>
          <w:szCs w:val="24"/>
        </w:rPr>
        <w:t>3、《水利工程工程量清单计价规范》（ GB50501-2007）、《建设工程工程量清单计价规范》（ GB50500-2013）；</w:t>
      </w:r>
    </w:p>
    <w:p>
      <w:pPr>
        <w:spacing w:line="360" w:lineRule="auto"/>
        <w:ind w:left="210" w:leftChars="100" w:firstLine="240" w:firstLineChars="100"/>
        <w:rPr>
          <w:color w:val="000000"/>
          <w:sz w:val="24"/>
          <w:szCs w:val="24"/>
        </w:rPr>
      </w:pPr>
      <w:r>
        <w:rPr>
          <w:rStyle w:val="10"/>
          <w:rFonts w:hint="default"/>
          <w:sz w:val="24"/>
          <w:szCs w:val="24"/>
        </w:rPr>
        <w:t>4、 2010版《江苏省水利工程预算定额》、《江苏省水利工程设计概（预算）编制规定》（ 2012版）；《江苏省市政工程计价定额》（ 2014版）；</w:t>
      </w:r>
    </w:p>
    <w:p>
      <w:pPr>
        <w:spacing w:line="360" w:lineRule="auto"/>
        <w:ind w:left="210" w:leftChars="100" w:firstLine="240" w:firstLineChars="100"/>
        <w:rPr>
          <w:color w:val="000000"/>
          <w:sz w:val="24"/>
          <w:szCs w:val="24"/>
        </w:rPr>
      </w:pPr>
      <w:r>
        <w:rPr>
          <w:rStyle w:val="10"/>
          <w:rFonts w:hint="default"/>
          <w:sz w:val="24"/>
          <w:szCs w:val="24"/>
        </w:rPr>
        <w:t>5、水利工程人工按苏水基【 2015】 32号文规定标准执行，土建、市政等人工工资按苏建函价【</w:t>
      </w:r>
      <w:r>
        <w:rPr>
          <w:rStyle w:val="10"/>
          <w:rFonts w:hint="eastAsia" w:eastAsia="宋体"/>
          <w:sz w:val="24"/>
          <w:szCs w:val="24"/>
          <w:lang w:val="en-US" w:eastAsia="zh-CN"/>
        </w:rPr>
        <w:t>2024</w:t>
      </w:r>
      <w:r>
        <w:rPr>
          <w:rStyle w:val="10"/>
          <w:rFonts w:hint="default"/>
          <w:sz w:val="24"/>
          <w:szCs w:val="24"/>
        </w:rPr>
        <w:t>】</w:t>
      </w:r>
      <w:r>
        <w:rPr>
          <w:rStyle w:val="10"/>
          <w:rFonts w:hint="eastAsia" w:eastAsia="宋体"/>
          <w:sz w:val="24"/>
          <w:szCs w:val="24"/>
          <w:lang w:val="en-US" w:eastAsia="zh-CN"/>
        </w:rPr>
        <w:t>83</w:t>
      </w:r>
      <w:r>
        <w:rPr>
          <w:rStyle w:val="10"/>
          <w:rFonts w:hint="default"/>
          <w:sz w:val="24"/>
          <w:szCs w:val="24"/>
        </w:rPr>
        <w:t>号文件执行；</w:t>
      </w:r>
    </w:p>
    <w:p>
      <w:pPr>
        <w:spacing w:line="360" w:lineRule="auto"/>
        <w:ind w:left="210" w:leftChars="100" w:firstLine="240" w:firstLineChars="100"/>
        <w:rPr>
          <w:rStyle w:val="10"/>
          <w:rFonts w:hint="default"/>
          <w:sz w:val="24"/>
          <w:szCs w:val="24"/>
        </w:rPr>
      </w:pPr>
      <w:r>
        <w:rPr>
          <w:rStyle w:val="10"/>
          <w:rFonts w:hint="default"/>
          <w:sz w:val="24"/>
          <w:szCs w:val="24"/>
        </w:rPr>
        <w:t>6、材料价格按常州市202</w:t>
      </w:r>
      <w:r>
        <w:rPr>
          <w:rStyle w:val="10"/>
          <w:rFonts w:hint="eastAsia" w:eastAsia="宋体"/>
          <w:sz w:val="24"/>
          <w:szCs w:val="24"/>
          <w:lang w:val="en-US" w:eastAsia="zh-CN"/>
        </w:rPr>
        <w:t>4</w:t>
      </w:r>
      <w:r>
        <w:rPr>
          <w:rStyle w:val="10"/>
          <w:rFonts w:hint="default"/>
          <w:sz w:val="24"/>
          <w:szCs w:val="24"/>
        </w:rPr>
        <w:t>年</w:t>
      </w:r>
      <w:r>
        <w:rPr>
          <w:rStyle w:val="10"/>
          <w:rFonts w:hint="eastAsia" w:eastAsia="宋体"/>
          <w:sz w:val="24"/>
          <w:szCs w:val="24"/>
          <w:lang w:val="en-US" w:eastAsia="zh-CN"/>
        </w:rPr>
        <w:t>4</w:t>
      </w:r>
      <w:r>
        <w:rPr>
          <w:rStyle w:val="10"/>
          <w:rFonts w:hint="default"/>
          <w:sz w:val="24"/>
          <w:szCs w:val="24"/>
        </w:rPr>
        <w:t>月份除税指导价</w:t>
      </w:r>
      <w:r>
        <w:rPr>
          <w:rFonts w:hint="eastAsia" w:asciiTheme="minorEastAsia" w:hAnsiTheme="minorEastAsia"/>
          <w:sz w:val="24"/>
          <w:szCs w:val="24"/>
        </w:rPr>
        <w:t>（没有的按月依次前推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1至3个月</w:t>
      </w:r>
      <w:r>
        <w:rPr>
          <w:rFonts w:hint="eastAsia" w:asciiTheme="minorEastAsia" w:hAnsiTheme="minorEastAsia"/>
          <w:sz w:val="24"/>
          <w:szCs w:val="24"/>
        </w:rPr>
        <w:t>）</w:t>
      </w:r>
      <w:r>
        <w:rPr>
          <w:rStyle w:val="10"/>
          <w:rFonts w:hint="default"/>
          <w:sz w:val="24"/>
          <w:szCs w:val="24"/>
        </w:rPr>
        <w:t>；</w:t>
      </w:r>
    </w:p>
    <w:p>
      <w:pPr>
        <w:spacing w:line="360" w:lineRule="auto"/>
        <w:ind w:left="210" w:leftChars="100" w:firstLine="240" w:firstLineChars="100"/>
        <w:rPr>
          <w:color w:val="000000"/>
          <w:sz w:val="24"/>
          <w:szCs w:val="24"/>
        </w:rPr>
      </w:pPr>
      <w:r>
        <w:rPr>
          <w:rStyle w:val="10"/>
          <w:rFonts w:hint="default"/>
          <w:sz w:val="24"/>
          <w:szCs w:val="24"/>
        </w:rPr>
        <w:t>7、</w:t>
      </w:r>
      <w:r>
        <w:rPr>
          <w:rFonts w:hint="eastAsia" w:asciiTheme="minorEastAsia" w:hAnsiTheme="minorEastAsia"/>
          <w:sz w:val="24"/>
          <w:szCs w:val="24"/>
        </w:rPr>
        <w:t>没有发布价格信息的材料的（</w:t>
      </w:r>
      <w:r>
        <w:rPr>
          <w:rFonts w:ascii="宋体" w:hAnsi="宋体" w:eastAsia="宋体" w:cs="宋体"/>
          <w:sz w:val="24"/>
          <w:szCs w:val="24"/>
        </w:rPr>
        <w:t>预制成品节制闸</w:t>
      </w:r>
      <w:r>
        <w:rPr>
          <w:rFonts w:hint="eastAsia" w:asciiTheme="minorEastAsia" w:hAnsiTheme="minorEastAsia"/>
          <w:sz w:val="24"/>
          <w:szCs w:val="24"/>
        </w:rPr>
        <w:t>），其价格参照市场价</w:t>
      </w:r>
      <w:r>
        <w:rPr>
          <w:rStyle w:val="10"/>
          <w:rFonts w:hint="default"/>
          <w:sz w:val="24"/>
          <w:szCs w:val="24"/>
        </w:rPr>
        <w:t>。</w:t>
      </w:r>
    </w:p>
    <w:p>
      <w:pPr>
        <w:spacing w:line="360" w:lineRule="auto"/>
        <w:rPr>
          <w:color w:val="000000"/>
          <w:sz w:val="24"/>
          <w:szCs w:val="24"/>
        </w:rPr>
      </w:pPr>
      <w:r>
        <w:rPr>
          <w:rStyle w:val="10"/>
          <w:rFonts w:hint="default"/>
          <w:sz w:val="24"/>
          <w:szCs w:val="24"/>
        </w:rPr>
        <w:t>三、工程量计算及其它情况说明：</w:t>
      </w:r>
    </w:p>
    <w:p>
      <w:pPr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Style w:val="10"/>
          <w:rFonts w:hint="default"/>
          <w:sz w:val="24"/>
          <w:szCs w:val="24"/>
        </w:rPr>
        <w:t>1、本工程中砼均采用商品砼，施工时是否泵送自行考虑，结算时不作调整；</w:t>
      </w:r>
    </w:p>
    <w:p>
      <w:pPr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Style w:val="10"/>
          <w:rFonts w:hint="eastAsia" w:eastAsia="宋体"/>
          <w:sz w:val="24"/>
          <w:szCs w:val="24"/>
          <w:lang w:val="en-US" w:eastAsia="zh-CN"/>
        </w:rPr>
        <w:t>2</w:t>
      </w:r>
      <w:r>
        <w:rPr>
          <w:rStyle w:val="10"/>
          <w:rFonts w:hint="default"/>
          <w:sz w:val="24"/>
          <w:szCs w:val="24"/>
        </w:rPr>
        <w:t>、分类分项工程量清单计价表中未列出明细的临时设施，均在措施项目“临时工程”中考虑；</w:t>
      </w:r>
    </w:p>
    <w:p>
      <w:pPr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Style w:val="10"/>
          <w:rFonts w:hint="eastAsia" w:eastAsia="宋体"/>
          <w:sz w:val="24"/>
          <w:szCs w:val="24"/>
          <w:lang w:val="en-US" w:eastAsia="zh-CN"/>
        </w:rPr>
        <w:t>3</w:t>
      </w:r>
      <w:r>
        <w:rPr>
          <w:rStyle w:val="10"/>
          <w:rFonts w:hint="default"/>
          <w:sz w:val="24"/>
          <w:szCs w:val="24"/>
        </w:rPr>
        <w:t>、本工程水工部分中所有模板、脚手架不单独列项，费用包含在相关混凝土项目单价中；</w:t>
      </w:r>
    </w:p>
    <w:p>
      <w:pPr>
        <w:spacing w:line="360" w:lineRule="auto"/>
        <w:ind w:firstLine="480" w:firstLineChars="200"/>
        <w:rPr>
          <w:rStyle w:val="10"/>
          <w:rFonts w:hint="default"/>
          <w:sz w:val="24"/>
          <w:szCs w:val="24"/>
        </w:rPr>
      </w:pPr>
      <w:r>
        <w:rPr>
          <w:rFonts w:hint="eastAsia" w:eastAsia="宋体"/>
          <w:color w:val="000000"/>
          <w:sz w:val="24"/>
          <w:szCs w:val="24"/>
          <w:lang w:val="en-US" w:eastAsia="zh-CN"/>
        </w:rPr>
        <w:t>4</w:t>
      </w:r>
      <w:r>
        <w:rPr>
          <w:rStyle w:val="10"/>
          <w:rFonts w:hint="default"/>
          <w:sz w:val="24"/>
          <w:szCs w:val="24"/>
        </w:rPr>
        <w:t>、清单描述未明确之处，参照设计图纸要求；</w:t>
      </w:r>
      <w:bookmarkStart w:id="0" w:name="_GoBack"/>
      <w:bookmarkEnd w:id="0"/>
    </w:p>
    <w:p>
      <w:pPr>
        <w:spacing w:line="360" w:lineRule="auto"/>
        <w:ind w:firstLine="480" w:firstLineChars="200"/>
        <w:rPr>
          <w:rFonts w:hint="default" w:ascii="宋体" w:hAnsi="宋体" w:eastAsiaTheme="minorEastAsia"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/>
          <w:sz w:val="24"/>
          <w:szCs w:val="24"/>
        </w:rPr>
        <w:t>、安全生产与文明工地通用措施项目中安全生产与文明工地（按实结算,按照省水利厅关于安全文明措施费使用管理办法》（苏水规[2017]2号）文件结算，采用总额控制、按实结算、投标人应提交安全文明施工费分解表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。费率按2.5%计取，费率不可竞争。</w:t>
      </w:r>
    </w:p>
    <w:p>
      <w:pPr>
        <w:spacing w:line="360" w:lineRule="auto"/>
        <w:ind w:firstLine="480" w:firstLineChars="200"/>
        <w:rPr>
          <w:rFonts w:hint="default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/>
          <w:sz w:val="24"/>
          <w:szCs w:val="24"/>
        </w:rPr>
        <w:t>、保险费（包括工程一切险、人员工伤事故险、人身意外伤害险、第三者责任险、安全生产责任险）费率暂按</w:t>
      </w:r>
      <w:r>
        <w:rPr>
          <w:rFonts w:asciiTheme="minorEastAsia" w:hAnsiTheme="minorEastAsia"/>
          <w:sz w:val="24"/>
          <w:szCs w:val="24"/>
        </w:rPr>
        <w:t>0.4%</w:t>
      </w:r>
      <w:r>
        <w:rPr>
          <w:rFonts w:hint="eastAsia" w:asciiTheme="minorEastAsia" w:hAnsiTheme="minorEastAsia"/>
          <w:sz w:val="24"/>
          <w:szCs w:val="24"/>
        </w:rPr>
        <w:t>计，结算时凭票据按实计算且不超投标金额；</w:t>
      </w:r>
      <w:r>
        <w:rPr>
          <w:rFonts w:hint="default" w:asciiTheme="minorEastAsia" w:hAnsiTheme="minorEastAsia"/>
          <w:sz w:val="24"/>
          <w:szCs w:val="24"/>
        </w:rPr>
        <w:t>费率不可竞争</w:t>
      </w:r>
      <w:r>
        <w:rPr>
          <w:rFonts w:hint="eastAsia" w:asciiTheme="minorEastAsia" w:hAnsiTheme="minorEastAsia"/>
          <w:sz w:val="24"/>
          <w:szCs w:val="24"/>
          <w:lang w:eastAsia="zh-CN"/>
        </w:rPr>
        <w:t>。</w:t>
      </w:r>
    </w:p>
    <w:p>
      <w:pPr>
        <w:spacing w:line="360" w:lineRule="auto"/>
        <w:ind w:firstLine="480" w:firstLineChars="200"/>
        <w:rPr>
          <w:rStyle w:val="10"/>
          <w:rFonts w:hint="default"/>
          <w:sz w:val="24"/>
          <w:szCs w:val="24"/>
        </w:rPr>
      </w:pPr>
      <w:r>
        <w:rPr>
          <w:rStyle w:val="10"/>
          <w:rFonts w:hint="eastAsia" w:eastAsia="宋体"/>
          <w:sz w:val="24"/>
          <w:szCs w:val="24"/>
          <w:lang w:val="en-US" w:eastAsia="zh-CN"/>
        </w:rPr>
        <w:t>7</w:t>
      </w:r>
      <w:r>
        <w:rPr>
          <w:rStyle w:val="10"/>
          <w:rFonts w:hint="default"/>
          <w:sz w:val="24"/>
          <w:szCs w:val="24"/>
        </w:rPr>
        <w:t>、</w:t>
      </w:r>
      <w:r>
        <w:rPr>
          <w:rStyle w:val="10"/>
          <w:rFonts w:hint="default"/>
          <w:color w:val="auto"/>
          <w:sz w:val="24"/>
          <w:szCs w:val="24"/>
        </w:rPr>
        <w:t>本工程</w:t>
      </w:r>
      <w:r>
        <w:rPr>
          <w:rStyle w:val="10"/>
          <w:rFonts w:hint="eastAsia" w:eastAsia="宋体"/>
          <w:color w:val="auto"/>
          <w:sz w:val="24"/>
          <w:szCs w:val="24"/>
          <w:lang w:val="en-US" w:eastAsia="zh-CN"/>
        </w:rPr>
        <w:t>预留为</w:t>
      </w:r>
      <w:r>
        <w:rPr>
          <w:rStyle w:val="10"/>
          <w:rFonts w:hint="default"/>
          <w:color w:val="auto"/>
          <w:sz w:val="24"/>
          <w:szCs w:val="24"/>
        </w:rPr>
        <w:t>(工程量清单计价+措施项目计价)*5%</w:t>
      </w:r>
      <w:r>
        <w:rPr>
          <w:rStyle w:val="10"/>
          <w:rFonts w:hint="default"/>
          <w:sz w:val="24"/>
          <w:szCs w:val="24"/>
        </w:rPr>
        <w:t>；</w:t>
      </w:r>
    </w:p>
    <w:p>
      <w:pPr>
        <w:spacing w:line="360" w:lineRule="auto"/>
        <w:ind w:firstLine="480" w:firstLineChars="200"/>
        <w:rPr>
          <w:rStyle w:val="10"/>
          <w:rFonts w:hint="default"/>
          <w:sz w:val="24"/>
          <w:szCs w:val="24"/>
        </w:rPr>
      </w:pPr>
      <w:r>
        <w:rPr>
          <w:rStyle w:val="10"/>
          <w:rFonts w:hint="eastAsia" w:eastAsia="宋体"/>
          <w:sz w:val="24"/>
          <w:szCs w:val="24"/>
          <w:lang w:val="en-US" w:eastAsia="zh-CN"/>
        </w:rPr>
        <w:t>8</w:t>
      </w:r>
      <w:r>
        <w:rPr>
          <w:rStyle w:val="10"/>
          <w:rFonts w:hint="default"/>
          <w:sz w:val="24"/>
          <w:szCs w:val="24"/>
        </w:rPr>
        <w:t>、本工程税金税率为9%；</w:t>
      </w:r>
    </w:p>
    <w:p>
      <w:pPr>
        <w:spacing w:line="360" w:lineRule="auto"/>
        <w:ind w:firstLine="480" w:firstLineChars="200"/>
        <w:rPr>
          <w:rStyle w:val="10"/>
          <w:rFonts w:hint="eastAsia" w:eastAsia="宋体"/>
          <w:sz w:val="24"/>
          <w:szCs w:val="24"/>
          <w:lang w:eastAsia="zh-CN"/>
        </w:rPr>
      </w:pPr>
      <w:r>
        <w:rPr>
          <w:rStyle w:val="10"/>
          <w:rFonts w:hint="eastAsia" w:eastAsia="宋体"/>
          <w:sz w:val="24"/>
          <w:szCs w:val="24"/>
          <w:lang w:val="en-US" w:eastAsia="zh-CN"/>
        </w:rPr>
        <w:t>9</w:t>
      </w:r>
      <w:r>
        <w:rPr>
          <w:rStyle w:val="10"/>
          <w:rFonts w:hint="default"/>
          <w:sz w:val="24"/>
          <w:szCs w:val="24"/>
        </w:rPr>
        <w:t>、本工程单价已经考虑了停电、停水、二次搬运、施工场地不足、发包人现场约束、中间验收、成品保护、按发包人要求配合场内其他单位、接受其他单位配合服务等所需措施和维护产生的一切费用, 并已考虑了相关机械正常供电不足施工单位采用必要的发电设备、箱变等电费的补贴费用，相关电费的补贴费用、各种可能影响施工的因素及其所增加的费用，施工单位在投标报价中予以充分考虑，不再另外计取</w:t>
      </w:r>
      <w:r>
        <w:rPr>
          <w:rStyle w:val="10"/>
          <w:rFonts w:hint="eastAsia" w:eastAsia="宋体"/>
          <w:sz w:val="24"/>
          <w:szCs w:val="24"/>
          <w:lang w:eastAsia="zh-CN"/>
        </w:rPr>
        <w:t>。</w:t>
      </w:r>
    </w:p>
    <w:p>
      <w:pPr>
        <w:pStyle w:val="4"/>
        <w:kinsoku w:val="0"/>
        <w:overflowPunct w:val="0"/>
        <w:spacing w:before="0"/>
        <w:ind w:left="0" w:firstLine="480"/>
        <w:rPr>
          <w:rFonts w:asciiTheme="minorEastAsia" w:hAnsiTheme="minorEastAsia" w:eastAsiaTheme="minorEastAsia"/>
          <w:sz w:val="24"/>
          <w:szCs w:val="24"/>
        </w:rPr>
      </w:pPr>
    </w:p>
    <w:p>
      <w:pPr>
        <w:pStyle w:val="4"/>
        <w:kinsoku w:val="0"/>
        <w:overflowPunct w:val="0"/>
        <w:spacing w:before="2"/>
        <w:ind w:left="0"/>
        <w:rPr>
          <w:rFonts w:asciiTheme="minorEastAsia" w:hAnsiTheme="minorEastAsia" w:eastAsiaTheme="minorEastAsia"/>
          <w:sz w:val="24"/>
          <w:szCs w:val="24"/>
        </w:rPr>
      </w:pPr>
    </w:p>
    <w:p>
      <w:pPr>
        <w:pStyle w:val="4"/>
        <w:kinsoku w:val="0"/>
        <w:overflowPunct w:val="0"/>
        <w:spacing w:before="2"/>
        <w:ind w:left="0"/>
        <w:rPr>
          <w:rFonts w:asciiTheme="minorEastAsia" w:hAnsiTheme="minorEastAsia" w:eastAsiaTheme="minorEastAsia"/>
          <w:sz w:val="24"/>
          <w:szCs w:val="24"/>
        </w:rPr>
      </w:pPr>
    </w:p>
    <w:p>
      <w:pPr>
        <w:pStyle w:val="4"/>
        <w:kinsoku w:val="0"/>
        <w:overflowPunct w:val="0"/>
        <w:spacing w:before="0"/>
        <w:ind w:left="4425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江苏春为全过程工程咨询有限公司</w:t>
      </w:r>
    </w:p>
    <w:p>
      <w:pPr>
        <w:pStyle w:val="4"/>
        <w:kinsoku w:val="0"/>
        <w:overflowPunct w:val="0"/>
        <w:spacing w:before="0"/>
        <w:ind w:left="0" w:firstLine="480"/>
        <w:rPr>
          <w:rFonts w:asciiTheme="minorEastAsia" w:hAnsiTheme="minorEastAsia" w:eastAsiaTheme="minorEastAsia"/>
          <w:sz w:val="24"/>
          <w:szCs w:val="24"/>
        </w:rPr>
      </w:pPr>
    </w:p>
    <w:p>
      <w:pPr>
        <w:pStyle w:val="4"/>
        <w:kinsoku w:val="0"/>
        <w:overflowPunct w:val="0"/>
        <w:spacing w:before="153"/>
        <w:jc w:val="center"/>
        <w:rPr>
          <w:rStyle w:val="10"/>
          <w:rFonts w:hint="default" w:asciiTheme="minorEastAsia" w:hAnsiTheme="minorEastAsia" w:eastAsiaTheme="minorEastAsia"/>
          <w:color w:val="auto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                                     202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/>
          <w:sz w:val="24"/>
          <w:szCs w:val="24"/>
        </w:rPr>
        <w:t>年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/>
          <w:sz w:val="24"/>
          <w:szCs w:val="24"/>
        </w:rPr>
        <w:t>月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 w:eastAsiaTheme="minorEastAsia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UI Gothic">
    <w:panose1 w:val="020B0600070205080204"/>
    <w:charset w:val="80"/>
    <w:family w:val="swiss"/>
    <w:pitch w:val="default"/>
    <w:sig w:usb0="E00002FF" w:usb1="6AC7FDFB" w:usb2="08000012" w:usb3="00000000" w:csb0="4002009F" w:csb1="DFD7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mZhYjQzYTVlZDBkZWZkY2RhNjA2YzcwZGQxNzFkNjUifQ=="/>
  </w:docVars>
  <w:rsids>
    <w:rsidRoot w:val="006A3D38"/>
    <w:rsid w:val="00027846"/>
    <w:rsid w:val="000466F0"/>
    <w:rsid w:val="00084726"/>
    <w:rsid w:val="000E7456"/>
    <w:rsid w:val="00150EAD"/>
    <w:rsid w:val="00194F9E"/>
    <w:rsid w:val="001D493E"/>
    <w:rsid w:val="00211B17"/>
    <w:rsid w:val="00216282"/>
    <w:rsid w:val="00241779"/>
    <w:rsid w:val="0031745B"/>
    <w:rsid w:val="0038373A"/>
    <w:rsid w:val="003929F6"/>
    <w:rsid w:val="003D317F"/>
    <w:rsid w:val="003E276D"/>
    <w:rsid w:val="0042225C"/>
    <w:rsid w:val="004933C3"/>
    <w:rsid w:val="004D1718"/>
    <w:rsid w:val="0051483A"/>
    <w:rsid w:val="00517EE8"/>
    <w:rsid w:val="005708E8"/>
    <w:rsid w:val="0063251C"/>
    <w:rsid w:val="0064184A"/>
    <w:rsid w:val="00646C34"/>
    <w:rsid w:val="00680ACA"/>
    <w:rsid w:val="006A3D38"/>
    <w:rsid w:val="006F5D67"/>
    <w:rsid w:val="00713873"/>
    <w:rsid w:val="00726DA0"/>
    <w:rsid w:val="00756E33"/>
    <w:rsid w:val="007B72FE"/>
    <w:rsid w:val="00802831"/>
    <w:rsid w:val="00860D8A"/>
    <w:rsid w:val="00990F8D"/>
    <w:rsid w:val="00A5264E"/>
    <w:rsid w:val="00AC7DE8"/>
    <w:rsid w:val="00B27B62"/>
    <w:rsid w:val="00BF377F"/>
    <w:rsid w:val="00C33D85"/>
    <w:rsid w:val="00D00F60"/>
    <w:rsid w:val="00D639EE"/>
    <w:rsid w:val="00D72897"/>
    <w:rsid w:val="00E84808"/>
    <w:rsid w:val="00EE56EB"/>
    <w:rsid w:val="00F0395F"/>
    <w:rsid w:val="027C5214"/>
    <w:rsid w:val="05D47115"/>
    <w:rsid w:val="05FD666C"/>
    <w:rsid w:val="0BAB0918"/>
    <w:rsid w:val="0CE95B9C"/>
    <w:rsid w:val="10CA1840"/>
    <w:rsid w:val="117A3266"/>
    <w:rsid w:val="11FC047B"/>
    <w:rsid w:val="14CD61BD"/>
    <w:rsid w:val="14CF5677"/>
    <w:rsid w:val="187F1162"/>
    <w:rsid w:val="1F770DE5"/>
    <w:rsid w:val="205D447F"/>
    <w:rsid w:val="20D1617F"/>
    <w:rsid w:val="20ED4107"/>
    <w:rsid w:val="234436AE"/>
    <w:rsid w:val="2A8B242D"/>
    <w:rsid w:val="2C577B7B"/>
    <w:rsid w:val="2CCF04B2"/>
    <w:rsid w:val="2D101F69"/>
    <w:rsid w:val="2E9A2F32"/>
    <w:rsid w:val="2F516C02"/>
    <w:rsid w:val="39B34CB8"/>
    <w:rsid w:val="3A287454"/>
    <w:rsid w:val="3B365BA1"/>
    <w:rsid w:val="3B491430"/>
    <w:rsid w:val="3C174D2C"/>
    <w:rsid w:val="3CE753A4"/>
    <w:rsid w:val="3CFB48D3"/>
    <w:rsid w:val="47D429C9"/>
    <w:rsid w:val="49975A5C"/>
    <w:rsid w:val="49B06B1E"/>
    <w:rsid w:val="4A3A36B1"/>
    <w:rsid w:val="4B1C090F"/>
    <w:rsid w:val="4E661EA1"/>
    <w:rsid w:val="4F55619D"/>
    <w:rsid w:val="51257DF2"/>
    <w:rsid w:val="521340EE"/>
    <w:rsid w:val="57715B3F"/>
    <w:rsid w:val="5C2F7D76"/>
    <w:rsid w:val="5D375134"/>
    <w:rsid w:val="5DA12EF6"/>
    <w:rsid w:val="61DD58FA"/>
    <w:rsid w:val="61E72C8D"/>
    <w:rsid w:val="6817003C"/>
    <w:rsid w:val="6CCB7647"/>
    <w:rsid w:val="6D6261FE"/>
    <w:rsid w:val="6E3D27C7"/>
    <w:rsid w:val="6F2179F2"/>
    <w:rsid w:val="6F8A1A3C"/>
    <w:rsid w:val="74322DC0"/>
    <w:rsid w:val="759920D7"/>
    <w:rsid w:val="7AA826C4"/>
    <w:rsid w:val="7B193C74"/>
    <w:rsid w:val="7B841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autoRedefine/>
    <w:qFormat/>
    <w:uiPriority w:val="1"/>
    <w:pPr>
      <w:autoSpaceDE w:val="0"/>
      <w:autoSpaceDN w:val="0"/>
      <w:adjustRightInd w:val="0"/>
      <w:ind w:left="1921"/>
      <w:jc w:val="left"/>
      <w:outlineLvl w:val="0"/>
    </w:pPr>
    <w:rPr>
      <w:rFonts w:ascii="MS UI Gothic" w:hAnsi="Times New Roman" w:eastAsia="MS UI Gothic" w:cs="MS UI Gothic"/>
      <w:b/>
      <w:bCs/>
      <w:kern w:val="0"/>
      <w:sz w:val="32"/>
      <w:szCs w:val="32"/>
    </w:rPr>
  </w:style>
  <w:style w:type="paragraph" w:styleId="3">
    <w:name w:val="heading 2"/>
    <w:basedOn w:val="1"/>
    <w:next w:val="1"/>
    <w:link w:val="16"/>
    <w:autoRedefine/>
    <w:qFormat/>
    <w:uiPriority w:val="1"/>
    <w:pPr>
      <w:autoSpaceDE w:val="0"/>
      <w:autoSpaceDN w:val="0"/>
      <w:adjustRightInd w:val="0"/>
      <w:ind w:left="540" w:hanging="31"/>
      <w:jc w:val="left"/>
      <w:outlineLvl w:val="1"/>
    </w:pPr>
    <w:rPr>
      <w:rFonts w:ascii="Microsoft JhengHei" w:hAnsi="Times New Roman" w:eastAsia="Microsoft JhengHei" w:cs="Microsoft JhengHei"/>
      <w:b/>
      <w:bCs/>
      <w:kern w:val="0"/>
      <w:szCs w:val="21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17"/>
    <w:autoRedefine/>
    <w:qFormat/>
    <w:uiPriority w:val="1"/>
    <w:pPr>
      <w:autoSpaceDE w:val="0"/>
      <w:autoSpaceDN w:val="0"/>
      <w:adjustRightInd w:val="0"/>
      <w:spacing w:before="46"/>
      <w:ind w:left="120"/>
      <w:jc w:val="left"/>
    </w:pPr>
    <w:rPr>
      <w:rFonts w:ascii="仿宋" w:hAnsi="Times New Roman" w:eastAsia="仿宋" w:cs="仿宋"/>
      <w:kern w:val="0"/>
      <w:szCs w:val="21"/>
    </w:rPr>
  </w:style>
  <w:style w:type="paragraph" w:styleId="5">
    <w:name w:val="Balloon Text"/>
    <w:basedOn w:val="1"/>
    <w:link w:val="18"/>
    <w:autoRedefine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fontstyle01"/>
    <w:basedOn w:val="9"/>
    <w:autoRedefine/>
    <w:qFormat/>
    <w:uiPriority w:val="0"/>
    <w:rPr>
      <w:rFonts w:hint="eastAsia" w:ascii="宋体" w:hAnsi="宋体" w:eastAsia="宋体"/>
      <w:color w:val="000000"/>
      <w:sz w:val="22"/>
      <w:szCs w:val="22"/>
    </w:rPr>
  </w:style>
  <w:style w:type="character" w:customStyle="1" w:styleId="11">
    <w:name w:val="fontstyle21"/>
    <w:basedOn w:val="9"/>
    <w:autoRedefine/>
    <w:qFormat/>
    <w:uiPriority w:val="0"/>
    <w:rPr>
      <w:rFonts w:hint="default" w:ascii="Times New Roman" w:hAnsi="Times New Roman" w:cs="Times New Roman"/>
      <w:color w:val="000000"/>
      <w:sz w:val="24"/>
      <w:szCs w:val="24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页眉 Char"/>
    <w:basedOn w:val="9"/>
    <w:link w:val="7"/>
    <w:autoRedefine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Char"/>
    <w:basedOn w:val="9"/>
    <w:link w:val="6"/>
    <w:autoRedefine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标题 1 Char"/>
    <w:basedOn w:val="9"/>
    <w:link w:val="2"/>
    <w:autoRedefine/>
    <w:qFormat/>
    <w:uiPriority w:val="1"/>
    <w:rPr>
      <w:rFonts w:ascii="MS UI Gothic" w:eastAsia="MS UI Gothic" w:cs="MS UI Gothic"/>
      <w:b/>
      <w:bCs/>
      <w:sz w:val="32"/>
      <w:szCs w:val="32"/>
    </w:rPr>
  </w:style>
  <w:style w:type="character" w:customStyle="1" w:styleId="16">
    <w:name w:val="标题 2 Char"/>
    <w:basedOn w:val="9"/>
    <w:link w:val="3"/>
    <w:autoRedefine/>
    <w:qFormat/>
    <w:uiPriority w:val="1"/>
    <w:rPr>
      <w:rFonts w:ascii="Microsoft JhengHei" w:eastAsia="Microsoft JhengHei" w:cs="Microsoft JhengHei"/>
      <w:b/>
      <w:bCs/>
      <w:sz w:val="21"/>
      <w:szCs w:val="21"/>
    </w:rPr>
  </w:style>
  <w:style w:type="character" w:customStyle="1" w:styleId="17">
    <w:name w:val="正文文本 Char"/>
    <w:basedOn w:val="9"/>
    <w:link w:val="4"/>
    <w:autoRedefine/>
    <w:qFormat/>
    <w:uiPriority w:val="1"/>
    <w:rPr>
      <w:rFonts w:ascii="仿宋" w:eastAsia="仿宋" w:cs="仿宋"/>
      <w:sz w:val="21"/>
      <w:szCs w:val="21"/>
    </w:rPr>
  </w:style>
  <w:style w:type="character" w:customStyle="1" w:styleId="18">
    <w:name w:val="批注框文本 Char"/>
    <w:basedOn w:val="9"/>
    <w:link w:val="5"/>
    <w:autoRedefine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1264</Words>
  <Characters>1371</Characters>
  <Lines>10</Lines>
  <Paragraphs>2</Paragraphs>
  <TotalTime>2</TotalTime>
  <ScaleCrop>false</ScaleCrop>
  <LinksUpToDate>false</LinksUpToDate>
  <CharactersWithSpaces>1417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2020-12-20T13:48:00Z</dcterms:created>
  <dc:creator>admin</dc:creator>
  <cp:lastModifiedBy>离人歌</cp:lastModifiedBy>
  <cp:lastPrinted>2022-11-15T07:12:00Z</cp:lastPrinted>
  <dcterms:modified xsi:type="dcterms:W3CDTF">2024-05-13T02:55:31Z</dcterms:modified>
  <cp:revision>158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D234CF15003D462C8B4FD1B5B5AE4EB9</vt:lpwstr>
  </property>
</Properties>
</file>