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0E" w:rsidRDefault="00295B0E" w:rsidP="00295B0E">
      <w:pPr>
        <w:pStyle w:val="a3"/>
        <w:spacing w:line="500" w:lineRule="exact"/>
        <w:ind w:firstLineChars="0" w:firstLine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295B0E" w:rsidRDefault="00295B0E" w:rsidP="00295B0E">
      <w:pPr>
        <w:pStyle w:val="a3"/>
        <w:spacing w:line="400" w:lineRule="exact"/>
        <w:ind w:firstLineChars="0" w:firstLine="0"/>
        <w:jc w:val="center"/>
        <w:rPr>
          <w:rFonts w:eastAsia="黑体"/>
          <w:sz w:val="44"/>
          <w:szCs w:val="44"/>
        </w:rPr>
      </w:pPr>
    </w:p>
    <w:p w:rsidR="00295B0E" w:rsidRDefault="00295B0E" w:rsidP="00295B0E">
      <w:pPr>
        <w:spacing w:line="54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2024年普惠型小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微企业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贷款任务分解表</w:t>
      </w:r>
    </w:p>
    <w:p w:rsidR="00295B0E" w:rsidRDefault="00295B0E" w:rsidP="00295B0E">
      <w:pPr>
        <w:spacing w:line="540" w:lineRule="exact"/>
        <w:ind w:firstLineChars="0" w:firstLine="0"/>
        <w:jc w:val="center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（银行业金融机构）</w:t>
      </w:r>
    </w:p>
    <w:p w:rsidR="00295B0E" w:rsidRDefault="00295B0E" w:rsidP="00295B0E">
      <w:pPr>
        <w:pStyle w:val="a3"/>
        <w:spacing w:line="400" w:lineRule="exact"/>
        <w:ind w:firstLineChars="0" w:firstLine="0"/>
        <w:jc w:val="center"/>
        <w:rPr>
          <w:szCs w:val="32"/>
        </w:rPr>
      </w:pPr>
    </w:p>
    <w:tbl>
      <w:tblPr>
        <w:tblW w:w="5000" w:type="pct"/>
        <w:jc w:val="center"/>
        <w:tblLook w:val="0000"/>
      </w:tblPr>
      <w:tblGrid>
        <w:gridCol w:w="776"/>
        <w:gridCol w:w="1588"/>
        <w:gridCol w:w="2052"/>
        <w:gridCol w:w="2053"/>
        <w:gridCol w:w="2053"/>
      </w:tblGrid>
      <w:tr w:rsidR="00295B0E" w:rsidTr="00387343">
        <w:trPr>
          <w:trHeight w:val="687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金融机构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普惠型小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微企业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贷款增量目标（亿元）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普惠型小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微企业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信贷获得率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省综合金融服务平台企业信贷</w:t>
            </w:r>
          </w:p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服务覆盖面</w:t>
            </w:r>
          </w:p>
        </w:tc>
      </w:tr>
      <w:tr w:rsidR="00295B0E" w:rsidTr="00387343">
        <w:trPr>
          <w:trHeight w:val="90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工商银行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15.5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农业银行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15.2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中国银行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16.9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建设银行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11.7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交通银行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5.1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江南银行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12.2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江苏银行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8.0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中信银行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招商银行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华夏银行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民生银行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浦发银行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4.0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邮储银行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5.8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兴业银行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3.7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村镇银行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0.3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光大银行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0.5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南京银行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4.7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苏州银行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无锡银行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  <w:tr w:rsidR="00295B0E" w:rsidTr="00387343">
        <w:trPr>
          <w:trHeight w:val="375"/>
          <w:jc w:val="center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全区合计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114.2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≥105%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5B0E" w:rsidRDefault="00295B0E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≥30%</w:t>
            </w:r>
          </w:p>
        </w:tc>
      </w:tr>
    </w:tbl>
    <w:p w:rsidR="00295B0E" w:rsidRDefault="00295B0E" w:rsidP="00295B0E">
      <w:pPr>
        <w:tabs>
          <w:tab w:val="left" w:pos="205"/>
        </w:tabs>
        <w:spacing w:line="320" w:lineRule="exact"/>
        <w:ind w:left="720" w:hangingChars="300" w:hanging="720"/>
        <w:rPr>
          <w:rFonts w:ascii="仿宋_GB2312" w:hint="eastAsia"/>
          <w:sz w:val="24"/>
          <w:szCs w:val="24"/>
          <w:lang/>
        </w:rPr>
      </w:pPr>
      <w:r>
        <w:rPr>
          <w:rFonts w:ascii="仿宋_GB2312" w:hint="eastAsia"/>
          <w:sz w:val="24"/>
          <w:szCs w:val="24"/>
          <w:lang/>
        </w:rPr>
        <w:t>注：1</w:t>
      </w:r>
      <w:r>
        <w:rPr>
          <w:rFonts w:ascii="仿宋_GB2312" w:hint="eastAsia"/>
          <w:bCs/>
          <w:sz w:val="24"/>
          <w:szCs w:val="24"/>
        </w:rPr>
        <w:t>．</w:t>
      </w:r>
      <w:r>
        <w:rPr>
          <w:rFonts w:ascii="仿宋_GB2312" w:hint="eastAsia"/>
          <w:sz w:val="24"/>
          <w:szCs w:val="24"/>
          <w:lang/>
        </w:rPr>
        <w:t>普惠型小微企业信贷获得率=各银行期末普惠性小微企业贷款余额比年初增速÷各项贷款比年初增速×100%。</w:t>
      </w:r>
    </w:p>
    <w:p w:rsidR="00295B0E" w:rsidRDefault="00295B0E" w:rsidP="00295B0E">
      <w:pPr>
        <w:tabs>
          <w:tab w:val="left" w:pos="205"/>
        </w:tabs>
        <w:spacing w:line="320" w:lineRule="exact"/>
        <w:ind w:leftChars="155" w:left="736" w:hangingChars="100" w:hanging="240"/>
        <w:rPr>
          <w:rFonts w:ascii="仿宋_GB2312" w:hint="eastAsia"/>
          <w:sz w:val="24"/>
          <w:szCs w:val="24"/>
          <w:lang/>
        </w:rPr>
      </w:pPr>
      <w:r>
        <w:rPr>
          <w:rFonts w:ascii="仿宋_GB2312" w:hint="eastAsia"/>
          <w:sz w:val="24"/>
          <w:szCs w:val="24"/>
          <w:lang/>
        </w:rPr>
        <w:t>2</w:t>
      </w:r>
      <w:r>
        <w:rPr>
          <w:rFonts w:ascii="仿宋_GB2312" w:hint="eastAsia"/>
          <w:bCs/>
          <w:sz w:val="24"/>
          <w:szCs w:val="24"/>
        </w:rPr>
        <w:t>．</w:t>
      </w:r>
      <w:r>
        <w:rPr>
          <w:rFonts w:ascii="仿宋_GB2312" w:hint="eastAsia"/>
          <w:sz w:val="24"/>
          <w:szCs w:val="24"/>
          <w:lang/>
        </w:rPr>
        <w:t>省综合金融服务平台企业信贷服务覆盖面=各银行子平台普惠</w:t>
      </w:r>
      <w:proofErr w:type="gramStart"/>
      <w:r>
        <w:rPr>
          <w:rFonts w:ascii="仿宋_GB2312" w:hint="eastAsia"/>
          <w:sz w:val="24"/>
          <w:szCs w:val="24"/>
          <w:lang/>
        </w:rPr>
        <w:t>型贷款</w:t>
      </w:r>
      <w:proofErr w:type="gramEnd"/>
      <w:r>
        <w:rPr>
          <w:rFonts w:ascii="仿宋_GB2312" w:hint="eastAsia"/>
          <w:sz w:val="24"/>
          <w:szCs w:val="24"/>
          <w:lang/>
        </w:rPr>
        <w:t>余额÷普惠性小</w:t>
      </w:r>
      <w:proofErr w:type="gramStart"/>
      <w:r>
        <w:rPr>
          <w:rFonts w:ascii="仿宋_GB2312" w:hint="eastAsia"/>
          <w:sz w:val="24"/>
          <w:szCs w:val="24"/>
          <w:lang/>
        </w:rPr>
        <w:t>微企业</w:t>
      </w:r>
      <w:proofErr w:type="gramEnd"/>
      <w:r>
        <w:rPr>
          <w:rFonts w:ascii="仿宋_GB2312" w:hint="eastAsia"/>
          <w:sz w:val="24"/>
          <w:szCs w:val="24"/>
          <w:lang/>
        </w:rPr>
        <w:t>贷款余额×100%。</w:t>
      </w:r>
    </w:p>
    <w:p w:rsidR="00492CB5" w:rsidRPr="00295B0E" w:rsidRDefault="00295B0E" w:rsidP="00295B0E">
      <w:pPr>
        <w:tabs>
          <w:tab w:val="left" w:pos="205"/>
        </w:tabs>
        <w:spacing w:line="320" w:lineRule="exact"/>
        <w:ind w:leftChars="155" w:left="736" w:hangingChars="100" w:hanging="240"/>
        <w:rPr>
          <w:rFonts w:ascii="仿宋_GB2312"/>
          <w:sz w:val="24"/>
          <w:szCs w:val="24"/>
          <w:lang/>
        </w:rPr>
      </w:pPr>
      <w:r>
        <w:rPr>
          <w:rFonts w:ascii="仿宋_GB2312" w:hint="eastAsia"/>
          <w:sz w:val="24"/>
          <w:szCs w:val="24"/>
          <w:lang/>
        </w:rPr>
        <w:t>3．数据来源为国家金融监管总局常州分局及综合金融服务平台。</w:t>
      </w:r>
    </w:p>
    <w:sectPr w:rsidR="00492CB5" w:rsidRPr="00295B0E" w:rsidSect="001F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B0E"/>
    <w:rsid w:val="001F2BBD"/>
    <w:rsid w:val="00295B0E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0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5B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95B0E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Organization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2024-07-11T03:13:00Z</dcterms:created>
  <dcterms:modified xsi:type="dcterms:W3CDTF">2024-07-11T03:13:00Z</dcterms:modified>
</cp:coreProperties>
</file>