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74" w:rsidRPr="00885F74" w:rsidRDefault="00885F74" w:rsidP="00885F74">
      <w:pPr>
        <w:spacing w:line="590" w:lineRule="exact"/>
        <w:rPr>
          <w:rFonts w:ascii="黑体" w:eastAsia="黑体" w:hAnsi="黑体" w:cs="Times New Roman"/>
          <w:sz w:val="32"/>
          <w:szCs w:val="32"/>
        </w:rPr>
      </w:pPr>
      <w:r w:rsidRPr="00885F74">
        <w:rPr>
          <w:rFonts w:ascii="黑体" w:eastAsia="黑体" w:hAnsi="黑体" w:cs="Times New Roman"/>
          <w:sz w:val="32"/>
          <w:szCs w:val="32"/>
        </w:rPr>
        <w:t>附件</w:t>
      </w:r>
    </w:p>
    <w:p w:rsidR="00885F74" w:rsidRPr="00885F74" w:rsidRDefault="00885F74" w:rsidP="00885F74">
      <w:pPr>
        <w:jc w:val="center"/>
        <w:rPr>
          <w:rFonts w:ascii="方正小标宋简体" w:eastAsia="方正小标宋简体" w:hAnsi="Calibri" w:cs="方正小标宋_GBK"/>
          <w:sz w:val="44"/>
          <w:szCs w:val="44"/>
        </w:rPr>
      </w:pPr>
      <w:r w:rsidRPr="00885F74">
        <w:rPr>
          <w:rFonts w:ascii="方正小标宋简体" w:eastAsia="方正小标宋简体" w:hAnsi="Calibri" w:cs="方正小标宋_GBK" w:hint="eastAsia"/>
          <w:sz w:val="44"/>
          <w:szCs w:val="44"/>
        </w:rPr>
        <w:t>常州高新区（新北区）行政备案事项清单（第一版试行）</w:t>
      </w:r>
    </w:p>
    <w:p w:rsidR="00885F74" w:rsidRPr="00885F74" w:rsidRDefault="00885F74" w:rsidP="00885F74">
      <w:pPr>
        <w:rPr>
          <w:rFonts w:ascii="Calibri" w:eastAsia="宋体" w:hAnsi="Calibri" w:cs="Times New Roman"/>
          <w:szCs w:val="24"/>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2996"/>
        <w:gridCol w:w="2851"/>
        <w:gridCol w:w="3165"/>
        <w:gridCol w:w="4322"/>
        <w:gridCol w:w="913"/>
      </w:tblGrid>
      <w:tr w:rsidR="00885F74" w:rsidRPr="00885F74" w:rsidTr="00697DFE">
        <w:trPr>
          <w:trHeight w:val="839"/>
          <w:tblHeader/>
          <w:jc w:val="center"/>
        </w:trPr>
        <w:tc>
          <w:tcPr>
            <w:tcW w:w="273" w:type="pct"/>
            <w:shd w:val="clear" w:color="auto" w:fill="auto"/>
            <w:noWrap/>
            <w:vAlign w:val="center"/>
          </w:tcPr>
          <w:p w:rsidR="00885F74" w:rsidRPr="00885F74" w:rsidRDefault="00885F74" w:rsidP="00885F74">
            <w:pPr>
              <w:widowControl/>
              <w:spacing w:line="400" w:lineRule="exact"/>
              <w:jc w:val="center"/>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序号</w:t>
            </w:r>
          </w:p>
        </w:tc>
        <w:tc>
          <w:tcPr>
            <w:tcW w:w="994" w:type="pct"/>
            <w:shd w:val="clear" w:color="auto" w:fill="auto"/>
            <w:noWrap/>
            <w:vAlign w:val="center"/>
          </w:tcPr>
          <w:p w:rsidR="00885F74" w:rsidRPr="00885F74" w:rsidRDefault="00885F74" w:rsidP="00885F74">
            <w:pPr>
              <w:widowControl/>
              <w:spacing w:line="400" w:lineRule="exact"/>
              <w:jc w:val="center"/>
              <w:textAlignment w:val="center"/>
              <w:rPr>
                <w:rFonts w:ascii="仿宋_GB2312" w:eastAsia="仿宋_GB2312" w:hAnsi="Calibri" w:cs="Times New Roman"/>
                <w:sz w:val="28"/>
                <w:szCs w:val="28"/>
              </w:rPr>
            </w:pPr>
            <w:r w:rsidRPr="00885F74">
              <w:rPr>
                <w:rFonts w:ascii="仿宋_GB2312" w:eastAsia="仿宋_GB2312" w:hAnsi="Calibri" w:cs="Times New Roman" w:hint="eastAsia"/>
                <w:kern w:val="0"/>
                <w:sz w:val="28"/>
                <w:szCs w:val="28"/>
              </w:rPr>
              <w:t>事项名称</w:t>
            </w:r>
          </w:p>
        </w:tc>
        <w:tc>
          <w:tcPr>
            <w:tcW w:w="946" w:type="pct"/>
            <w:shd w:val="clear" w:color="auto" w:fill="auto"/>
            <w:noWrap/>
            <w:vAlign w:val="center"/>
          </w:tcPr>
          <w:p w:rsidR="00885F74" w:rsidRPr="00885F74" w:rsidRDefault="00885F74" w:rsidP="00885F74">
            <w:pPr>
              <w:widowControl/>
              <w:spacing w:line="400" w:lineRule="exact"/>
              <w:jc w:val="center"/>
              <w:textAlignment w:val="center"/>
              <w:rPr>
                <w:rFonts w:ascii="仿宋_GB2312" w:eastAsia="仿宋_GB2312" w:hAnsi="Calibri" w:cs="Times New Roman"/>
                <w:sz w:val="28"/>
                <w:szCs w:val="28"/>
              </w:rPr>
            </w:pPr>
            <w:r w:rsidRPr="00885F74">
              <w:rPr>
                <w:rFonts w:ascii="仿宋_GB2312" w:eastAsia="仿宋_GB2312" w:hAnsi="Calibri" w:cs="Times New Roman" w:hint="eastAsia"/>
                <w:sz w:val="28"/>
                <w:szCs w:val="28"/>
              </w:rPr>
              <w:t>子项名称</w:t>
            </w:r>
          </w:p>
        </w:tc>
        <w:tc>
          <w:tcPr>
            <w:tcW w:w="1050" w:type="pct"/>
            <w:shd w:val="clear" w:color="auto" w:fill="auto"/>
            <w:noWrap/>
            <w:vAlign w:val="center"/>
          </w:tcPr>
          <w:p w:rsidR="00885F74" w:rsidRPr="00885F74" w:rsidRDefault="00885F74" w:rsidP="00885F74">
            <w:pPr>
              <w:widowControl/>
              <w:spacing w:line="400" w:lineRule="exact"/>
              <w:jc w:val="center"/>
              <w:textAlignment w:val="center"/>
              <w:rPr>
                <w:rFonts w:ascii="仿宋_GB2312" w:eastAsia="仿宋_GB2312" w:hAnsi="Calibri" w:cs="Times New Roman"/>
                <w:kern w:val="0"/>
                <w:sz w:val="28"/>
                <w:szCs w:val="28"/>
              </w:rPr>
            </w:pPr>
            <w:r w:rsidRPr="00885F74">
              <w:rPr>
                <w:rFonts w:ascii="仿宋_GB2312" w:eastAsia="仿宋_GB2312" w:hAnsi="Calibri" w:cs="Times New Roman" w:hint="eastAsia"/>
                <w:kern w:val="0"/>
                <w:sz w:val="28"/>
                <w:szCs w:val="28"/>
              </w:rPr>
              <w:t>县级实际机关</w:t>
            </w:r>
          </w:p>
        </w:tc>
        <w:tc>
          <w:tcPr>
            <w:tcW w:w="1433" w:type="pct"/>
            <w:shd w:val="clear" w:color="auto" w:fill="auto"/>
            <w:noWrap/>
            <w:vAlign w:val="center"/>
          </w:tcPr>
          <w:p w:rsidR="00885F74" w:rsidRPr="00885F74" w:rsidRDefault="00885F74" w:rsidP="00885F74">
            <w:pPr>
              <w:widowControl/>
              <w:spacing w:line="400" w:lineRule="exact"/>
              <w:jc w:val="center"/>
              <w:textAlignment w:val="center"/>
              <w:rPr>
                <w:rFonts w:ascii="仿宋_GB2312" w:eastAsia="仿宋_GB2312" w:hAnsi="Calibri" w:cs="Times New Roman"/>
                <w:sz w:val="28"/>
                <w:szCs w:val="28"/>
              </w:rPr>
            </w:pPr>
            <w:r w:rsidRPr="00885F74">
              <w:rPr>
                <w:rFonts w:ascii="仿宋_GB2312" w:eastAsia="仿宋_GB2312" w:hAnsi="Calibri" w:cs="Times New Roman" w:hint="eastAsia"/>
                <w:kern w:val="0"/>
                <w:sz w:val="28"/>
                <w:szCs w:val="28"/>
              </w:rPr>
              <w:t>设定和实施依据</w:t>
            </w:r>
          </w:p>
        </w:tc>
        <w:tc>
          <w:tcPr>
            <w:tcW w:w="302" w:type="pct"/>
            <w:shd w:val="clear" w:color="auto" w:fill="auto"/>
            <w:noWrap/>
            <w:vAlign w:val="center"/>
          </w:tcPr>
          <w:p w:rsidR="00885F74" w:rsidRPr="00885F74" w:rsidRDefault="00885F74" w:rsidP="00885F74">
            <w:pPr>
              <w:widowControl/>
              <w:spacing w:line="400" w:lineRule="exact"/>
              <w:jc w:val="center"/>
              <w:textAlignment w:val="center"/>
              <w:rPr>
                <w:rFonts w:ascii="仿宋_GB2312" w:eastAsia="仿宋_GB2312" w:hAnsi="Calibri" w:cs="Times New Roman"/>
                <w:kern w:val="0"/>
                <w:sz w:val="28"/>
                <w:szCs w:val="28"/>
              </w:rPr>
            </w:pPr>
            <w:r w:rsidRPr="00885F74">
              <w:rPr>
                <w:rFonts w:ascii="仿宋_GB2312" w:eastAsia="仿宋_GB2312" w:hAnsi="Calibri" w:cs="Times New Roman" w:hint="eastAsia"/>
                <w:kern w:val="0"/>
                <w:sz w:val="28"/>
                <w:szCs w:val="28"/>
              </w:rPr>
              <w:t>备注</w:t>
            </w:r>
          </w:p>
        </w:tc>
      </w:tr>
      <w:tr w:rsidR="00885F74" w:rsidRPr="00885F74" w:rsidTr="00697DFE">
        <w:trPr>
          <w:trHeight w:val="680"/>
          <w:jc w:val="center"/>
        </w:trPr>
        <w:tc>
          <w:tcPr>
            <w:tcW w:w="4697" w:type="pct"/>
            <w:gridSpan w:val="5"/>
            <w:shd w:val="clear" w:color="auto" w:fill="auto"/>
            <w:noWrap/>
            <w:vAlign w:val="center"/>
          </w:tcPr>
          <w:p w:rsidR="00885F74" w:rsidRPr="00885F74" w:rsidRDefault="00885F74" w:rsidP="00885F74">
            <w:pPr>
              <w:spacing w:line="400" w:lineRule="exact"/>
              <w:jc w:val="center"/>
              <w:rPr>
                <w:rFonts w:ascii="仿宋_GB2312" w:eastAsia="仿宋_GB2312" w:hAnsi="宋体" w:cs="Times New Roman"/>
                <w:b/>
                <w:snapToGrid w:val="0"/>
                <w:kern w:val="0"/>
                <w:sz w:val="28"/>
                <w:szCs w:val="28"/>
              </w:rPr>
            </w:pPr>
            <w:r w:rsidRPr="00885F74">
              <w:rPr>
                <w:rFonts w:ascii="仿宋_GB2312" w:eastAsia="仿宋_GB2312" w:hAnsi="宋体" w:cs="Times New Roman" w:hint="eastAsia"/>
                <w:b/>
                <w:snapToGrid w:val="0"/>
                <w:kern w:val="0"/>
                <w:sz w:val="28"/>
                <w:szCs w:val="28"/>
              </w:rPr>
              <w:t>区委、区政府部门主管的行政备案事项</w:t>
            </w:r>
          </w:p>
        </w:tc>
        <w:tc>
          <w:tcPr>
            <w:tcW w:w="302" w:type="pct"/>
            <w:shd w:val="clear" w:color="auto" w:fill="auto"/>
            <w:noWrap/>
            <w:vAlign w:val="center"/>
          </w:tcPr>
          <w:p w:rsidR="00885F74" w:rsidRPr="00885F74" w:rsidRDefault="00885F74" w:rsidP="00885F74">
            <w:pPr>
              <w:widowControl/>
              <w:spacing w:line="400" w:lineRule="exact"/>
              <w:jc w:val="center"/>
              <w:textAlignment w:val="center"/>
              <w:rPr>
                <w:rFonts w:ascii="方正黑体_GBK" w:eastAsia="方正黑体_GBK" w:hAnsi="Calibri" w:cs="Times New Roman"/>
                <w:kern w:val="0"/>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重点工程项目档案基本概况备案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区党政办</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《江苏省档案管理条例》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企业、个人从事电影流动放映活动备案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区宣传统战部</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《中华人民共和国电影产业促进法》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1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出版物零售单位终止经营活动备案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区新闻出版局（受市级新闻出版部门委托实施）</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《出版物市场管理规定》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33"/>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出版单位及从事相关业务信息备案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出版物零售单位设立非法人分支机构备案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区新闻出版局（受市级新闻出版部门委托实施）</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《出版物市场管理规定》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606"/>
          <w:jc w:val="center"/>
        </w:trPr>
        <w:tc>
          <w:tcPr>
            <w:tcW w:w="273" w:type="pct"/>
            <w:vMerge/>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出版物零售单位通过互联网等信息网络从事出版物发行业务备案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区新闻出版局（受市级新闻出版部门委托实施）</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《出版物市场管理规定》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出版物发行单位设立临时零售点备案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区新闻出版局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《出版物市场管理规定》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9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单位、个人从事出版物出租业务的备案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区新闻出版局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《出版物市场管理规定》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630"/>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宗教教职人员担任、离任、兼任宗教活动场所主要教职备案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宗教教职人员担任宗教活动场所主要教职备案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《宗教事务条例》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《宗教教职人员管理办法》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8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宗教教职人员离任宗教活动场所主要教职备案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《宗教事务条例》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《宗教教职人员管理办法》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73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宗教教职人员兼任宗教活动场所主要教职备案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区民族宗教事务局审核转报</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《宗教教职人员管理办法》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650"/>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宗教活动场所信息备案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宗教活动场所管理组织成员产生、惩处、调整、提前或者延后换届的备案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8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宗教活动场所涉及重大事项集体讨论的会议记录备案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《宗教事务条例》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8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宗教活动场所宗教教职人员定员数额备案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8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宗教活动场所接收、变更、惩处宗教教职人员情况备案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95"/>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宗教活动场所组织、举行以公益慈善为目的的宗教活动备案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71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宗教活动场所内部财务管理制度、年度预算、单位银行结算账户信息备案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区民族宗教事务局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《宗教活动场所财务管理办法》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公司律师考核结果备案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区司法局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《江苏省公司律师管理实施办法》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基层法律服务工作者和基层法律服务所辅助工作人员信息备案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基层法律服务工作者解除聘用合同或劳动合同备案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区司法局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《基层法律服务工作者管理办法》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基层法律服务所辅助工作人员聘用、变更情况备案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区司法局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《基层法律服务所管理办法》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律师事务所律师辞退和除名备案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区司法局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《律师事务所管理办法》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人民调解委员会设立、变更备案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区司法局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《江苏省人民调解条例》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647"/>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价格备案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《江苏省价格条例》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11"/>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油气管道保护备案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石油天然气输送管道竣工测量图备案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《中华人民共和国石油天然气管道保护法》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61"/>
          <w:jc w:val="center"/>
        </w:trPr>
        <w:tc>
          <w:tcPr>
            <w:tcW w:w="273" w:type="pct"/>
            <w:vMerge/>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停止运行、封存、报废管道防护措施备案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《中华人民共和国石油天然气管道保护法》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26"/>
          <w:jc w:val="center"/>
        </w:trPr>
        <w:tc>
          <w:tcPr>
            <w:tcW w:w="273" w:type="pct"/>
            <w:vMerge/>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管道保护事故应急预案备案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《中华人民共和国石油天然气管道保护法》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粮油仓储单位备案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《粮油仓储管理办法》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641"/>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粮食收购企业备案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《粮食流通管理条例》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601"/>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粮食熏蒸作业备案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《粮油仓储管理办法》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11"/>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人防工程、兼顾人民防空需要的地下工程竣工验收备案（联合验收、统一备案）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《江苏省实施〈中华人民共和国人民防空法〉办法》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11"/>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人防工程平时开发利用登记</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《江苏省实施〈中华人民共和国人民防空法〉办法》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《江苏省人民防空工程维护管理规定》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11"/>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重点用能单位能源岗位聘用能源管理负责人备案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《中华人民共和国节约能源法》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《江苏省节约能源条例》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11"/>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现场使用袋装水泥、现场搅拌混凝土和砂浆的工程建设项目和预拌砂浆生产企业备案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在特殊情形下现场使用袋装水泥、现场搅拌混凝土和砂浆的工程建设项目备案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《江苏省散装水泥促进条例》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11"/>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w:t>
            </w:r>
            <w:proofErr w:type="gramStart"/>
            <w:r w:rsidRPr="00885F74">
              <w:rPr>
                <w:rFonts w:ascii="仿宋_GB2312" w:eastAsia="仿宋_GB2312" w:hAnsi="Times New Roman" w:cs="Times New Roman" w:hint="eastAsia"/>
                <w:sz w:val="28"/>
                <w:szCs w:val="28"/>
              </w:rPr>
              <w:t>爆生产</w:t>
            </w:r>
            <w:proofErr w:type="gramEnd"/>
            <w:r w:rsidRPr="00885F74">
              <w:rPr>
                <w:rFonts w:ascii="仿宋_GB2312" w:eastAsia="仿宋_GB2312" w:hAnsi="Times New Roman" w:cs="Times New Roman" w:hint="eastAsia"/>
                <w:sz w:val="28"/>
                <w:szCs w:val="28"/>
              </w:rPr>
              <w:t>销售企业应急预案备案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区经发局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《中华人民共和国安全生产法》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《生产安全事故应急预案管理办法》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73"/>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民办学校事项备案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民办学校招生简章和广告备案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《中华人民共和国民办教育促进法》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26"/>
          <w:jc w:val="center"/>
        </w:trPr>
        <w:tc>
          <w:tcPr>
            <w:tcW w:w="273" w:type="pct"/>
            <w:vMerge/>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民办学校控股股东和实际控制人变更备案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《中华人民共和国民办教育促进法实施条例》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实施普通高中教育、义务教育的民办学校自主设置的课程备案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《中华人民共和国民办教育促进法实施条例》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博物馆文物藏品档案备案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《中华人民共和国文物保护法》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《中华人民共和国文物保护法实施条例》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《博物馆条例》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国有文物收藏单位之间因举办展览、科学研究等需借用馆藏文物备案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《中华人民共和国文物保护法》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博物馆举办陈列展览备案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《博物馆条例》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非国有不可移动文物转让、抵押或者改变用途备案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《中华人民共和国文物保护法》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利用珍贵文物举办流动展览或者利用文物举办大型活动备案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《江苏省文物保护条例》 </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剧本娱乐经营场所备案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《文化和旅游部公安部住房和城乡建设部应急管理部市场监管总局关于加强剧本娱乐经营场所管理的通知》（</w:t>
            </w:r>
            <w:proofErr w:type="gramStart"/>
            <w:r w:rsidRPr="00885F74">
              <w:rPr>
                <w:rFonts w:ascii="仿宋_GB2312" w:eastAsia="仿宋_GB2312" w:hAnsi="Times New Roman" w:cs="Times New Roman" w:hint="eastAsia"/>
                <w:sz w:val="28"/>
                <w:szCs w:val="28"/>
              </w:rPr>
              <w:t>文旅市场</w:t>
            </w:r>
            <w:proofErr w:type="gramEnd"/>
            <w:r w:rsidRPr="00885F74">
              <w:rPr>
                <w:rFonts w:ascii="仿宋_GB2312" w:eastAsia="仿宋_GB2312" w:hAnsi="Times New Roman" w:cs="Times New Roman" w:hint="eastAsia"/>
                <w:sz w:val="28"/>
                <w:szCs w:val="28"/>
              </w:rPr>
              <w:t>发〔2022〕70号）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从事艺术品经营活动的经营单位备案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《艺术品经营管理办法》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演出场所经营单位以及从事营业性演出的个体演员、个体演出经纪人备案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区教育局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《营业性演出管理条例》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职业技能等级认定评价机构备案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职业技能等级认定评价机构备案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人社局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《中华人民共和国劳动法》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《人力资源社会保障部关于健全完善新时代技能人才职业技能等级制度的意见（试行）》（</w:t>
            </w:r>
            <w:proofErr w:type="gramStart"/>
            <w:r w:rsidRPr="00885F74">
              <w:rPr>
                <w:rFonts w:ascii="仿宋_GB2312" w:eastAsia="仿宋_GB2312" w:hAnsi="Times New Roman" w:cs="Times New Roman" w:hint="eastAsia"/>
                <w:sz w:val="28"/>
                <w:szCs w:val="28"/>
              </w:rPr>
              <w:t>人社部</w:t>
            </w:r>
            <w:proofErr w:type="gramEnd"/>
            <w:r w:rsidRPr="00885F74">
              <w:rPr>
                <w:rFonts w:ascii="仿宋_GB2312" w:eastAsia="仿宋_GB2312" w:hAnsi="Times New Roman" w:cs="Times New Roman" w:hint="eastAsia"/>
                <w:sz w:val="28"/>
                <w:szCs w:val="28"/>
              </w:rPr>
              <w:t>发〔2022〕14号）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《江苏省职业技能等级认定实施办法（试行）》</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职称评审委员会备案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人社局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《关于深化职称制度改革的意见》（中办发（2016）77号）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《职称评审管理暂行规定》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慈善组织公开募捐方案备案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区民政局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《中华人民共和国慈善法》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《江苏省慈善条例》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《慈善组织公开募捐管理办法》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8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慈善信托备案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区民政局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《中华人民共和国慈善法》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《江苏省慈善条例》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慈善组织变更捐赠财产用途备案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区民政局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《中华人民共和国慈善法》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《江苏省慈善条例》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《慈善组织公开募捐管理办法》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慈善组织在登记管辖区域</w:t>
            </w:r>
            <w:proofErr w:type="gramStart"/>
            <w:r w:rsidRPr="00885F74">
              <w:rPr>
                <w:rFonts w:ascii="仿宋_GB2312" w:eastAsia="仿宋_GB2312" w:hAnsi="Times New Roman" w:cs="Times New Roman" w:hint="eastAsia"/>
                <w:sz w:val="28"/>
                <w:szCs w:val="28"/>
              </w:rPr>
              <w:t>外开展</w:t>
            </w:r>
            <w:proofErr w:type="gramEnd"/>
            <w:r w:rsidRPr="00885F74">
              <w:rPr>
                <w:rFonts w:ascii="仿宋_GB2312" w:eastAsia="仿宋_GB2312" w:hAnsi="Times New Roman" w:cs="Times New Roman" w:hint="eastAsia"/>
                <w:sz w:val="28"/>
                <w:szCs w:val="28"/>
              </w:rPr>
              <w:t>的募捐活动备案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区民政局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《中华人民共和国慈善法》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社会团体、基金会和民办非企业单位印章和银行账号备案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区民政局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《基金会管理条例》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《社会团体登记管理条例》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《民办非企业单位登记管理暂行条例》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养老机构备案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区民政局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《中华人民共和国老年人权益保障法》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《江苏省养老服务条例》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《养老机构管理办法》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7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房地产开发项目转让合同备案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《城市房地产开发经营管理条例》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6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《房地产开发项目手册》备案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《城市房地产开发经营管理条例》  </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0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建设单位拆除工程施工的备案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《建设工程安全生产管理条例》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5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物业承接查验备案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《江苏省物业管理条例》 </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业委会</w:t>
            </w:r>
            <w:proofErr w:type="gramEnd"/>
            <w:r w:rsidRPr="00885F74">
              <w:rPr>
                <w:rFonts w:ascii="仿宋_GB2312" w:eastAsia="仿宋_GB2312" w:hAnsi="Times New Roman" w:cs="Times New Roman" w:hint="eastAsia"/>
                <w:sz w:val="28"/>
                <w:szCs w:val="28"/>
              </w:rPr>
              <w:t>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区住建局；街道办事处（乡镇人民政府）</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《江苏省物业管理条例》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9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物业管理区域备案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《江苏省物业管理条例》 </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8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物业服务合同备案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区住建局；街道办事处（乡镇人民政府）</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《江苏省物业管理条例》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前期物业招标和中标备案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《物业管理条例》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《前期物业管理招标投标管理暂行办法》（建住房〔2003〕130号）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2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房屋租赁登记备案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《中华人民共和国城市房地产管理法》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9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建筑起重机械设备安装和拆除情况的备案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《建筑起重机械安全监督管理规定》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工程质量终身责任承诺书备案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《建筑工程五方责任主体项目负责人质量终身责任追究暂行办法》（</w:t>
            </w:r>
            <w:proofErr w:type="gramStart"/>
            <w:r w:rsidRPr="00885F74">
              <w:rPr>
                <w:rFonts w:ascii="仿宋_GB2312" w:eastAsia="仿宋_GB2312" w:hAnsi="Times New Roman" w:cs="Times New Roman" w:hint="eastAsia"/>
                <w:sz w:val="28"/>
                <w:szCs w:val="28"/>
              </w:rPr>
              <w:t>建质〔2014〕</w:t>
            </w:r>
            <w:proofErr w:type="gramEnd"/>
            <w:r w:rsidRPr="00885F74">
              <w:rPr>
                <w:rFonts w:ascii="仿宋_GB2312" w:eastAsia="仿宋_GB2312" w:hAnsi="Times New Roman" w:cs="Times New Roman" w:hint="eastAsia"/>
                <w:sz w:val="28"/>
                <w:szCs w:val="28"/>
              </w:rPr>
              <w:t>124号）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《住房城乡建设部办公厅关于严格落实建筑工程质量终身责任承诺制的通知》（</w:t>
            </w:r>
            <w:proofErr w:type="gramStart"/>
            <w:r w:rsidRPr="00885F74">
              <w:rPr>
                <w:rFonts w:ascii="仿宋_GB2312" w:eastAsia="仿宋_GB2312" w:hAnsi="Times New Roman" w:cs="Times New Roman" w:hint="eastAsia"/>
                <w:sz w:val="28"/>
                <w:szCs w:val="28"/>
              </w:rPr>
              <w:t>建办质〔2014〕</w:t>
            </w:r>
            <w:proofErr w:type="gramEnd"/>
            <w:r w:rsidRPr="00885F74">
              <w:rPr>
                <w:rFonts w:ascii="仿宋_GB2312" w:eastAsia="仿宋_GB2312" w:hAnsi="Times New Roman" w:cs="Times New Roman" w:hint="eastAsia"/>
                <w:sz w:val="28"/>
                <w:szCs w:val="28"/>
              </w:rPr>
              <w:t>44号）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1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因不可抗力需对城市树木进行扶正或者砍伐的备案（报告）</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《城市绿化条例》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《江苏省城市绿化管理条例》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4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公路工程交工验收向交通主管部门备案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《公路工程竣（交）工验收办法》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11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依法必须招标项目自行招标、资格预审文件、招标文件、资格审查报告、招标投标情况书面报告备案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《中华人民共和国招标投标法》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《公路工程建设项目招标投标管理办法》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《水运工程建设项目招标投标管理办法》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780"/>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港口经营与安全生产备案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船舶港口服务、港口设施设备和机械租赁维修以及港口理货业务备案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《港口经营管理规定》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1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变更或者改造港口固定经营设施备案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《港口经营管理规定》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2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港口经营人变更企业法定代表人或者办公地点备案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《港口经营管理规定》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港口危险货物应急预案备案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《港口危险货物安全管理规定》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港口重大事故隐患的排查、处理情况备案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《港口危险货物安全管理规定》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港口危险货物重大危险源安全评价报告、港口重大危险源档案备案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《江苏省水路交通运输条例》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《港口危险货物安全管理规定》</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《港口危险货物重大危险源监督管理办法》（交水</w:t>
            </w:r>
            <w:proofErr w:type="gramStart"/>
            <w:r w:rsidRPr="00885F74">
              <w:rPr>
                <w:rFonts w:ascii="仿宋_GB2312" w:eastAsia="仿宋_GB2312" w:hAnsi="Times New Roman" w:cs="Times New Roman" w:hint="eastAsia"/>
                <w:sz w:val="28"/>
                <w:szCs w:val="28"/>
              </w:rPr>
              <w:t>规</w:t>
            </w:r>
            <w:proofErr w:type="gramEnd"/>
            <w:r w:rsidRPr="00885F74">
              <w:rPr>
                <w:rFonts w:ascii="仿宋_GB2312" w:eastAsia="仿宋_GB2312" w:hAnsi="Times New Roman" w:cs="Times New Roman" w:hint="eastAsia"/>
                <w:sz w:val="28"/>
                <w:szCs w:val="28"/>
              </w:rPr>
              <w:t>〔2021〕6号）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42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道路运输以及相关业务经营者变更名称、地址、法定代表人等备案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《江苏省机动车维修管理条例》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《道路货物运输及站场管理规定》</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《机动车维修管理规定》</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《机动车驾驶员培训管理规定》</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《道路危险货物运输管理规定》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51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道路货物运输站（场）经营、机动车维修经营和机动车驾驶员培训备案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《中华人民共和国道路交通安全法》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《中华人民共和国道路运输条例》                                </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《道路危险货物运输管理规定》 </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《机动车维修管理规定》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道路货物运输经营者设立分公司备案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《道路货物运输及站场管理规定》 </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货运代理（代办）等货物相关服务经营备案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《道路货物运输及站场管理规定》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危险货物事故应急预案、旅客紧急救援疏散预案以及预防自然灾害预案备案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《港口经营管理规定》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剧毒化学品以及储存数量构成重大危险源的其他危险化学品备案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《危险化学品安全管理条例》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《港口危险货物安全管理规定》</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《港口危险货物重大危险源监督管理办法》（交水</w:t>
            </w:r>
            <w:proofErr w:type="gramStart"/>
            <w:r w:rsidRPr="00885F74">
              <w:rPr>
                <w:rFonts w:ascii="仿宋_GB2312" w:eastAsia="仿宋_GB2312" w:hAnsi="Times New Roman" w:cs="Times New Roman" w:hint="eastAsia"/>
                <w:sz w:val="28"/>
                <w:szCs w:val="28"/>
              </w:rPr>
              <w:t>规</w:t>
            </w:r>
            <w:proofErr w:type="gramEnd"/>
            <w:r w:rsidRPr="00885F74">
              <w:rPr>
                <w:rFonts w:ascii="仿宋_GB2312" w:eastAsia="仿宋_GB2312" w:hAnsi="Times New Roman" w:cs="Times New Roman" w:hint="eastAsia"/>
                <w:sz w:val="28"/>
                <w:szCs w:val="28"/>
              </w:rPr>
              <w:t>〔2021〕6号）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危险化学品安全评价报告以及整改方案的落实情况备案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区交通运输局、区应急管理局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《危险化学品安全管理条例》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3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工程施工单位编制建筑垃圾处理方案，采取污染防治措施的备案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区城管局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《中华人民共和国固体废物污染环境防治法》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2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水利工程建设项目招标报告备案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《水利工程建设项目招标投标管理规定》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保证水利工程建设安全生产的措施方案、拆除水利工程或者爆破水利工程施工方案备案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《水利工程建设安全生产管理规定》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生产建设项目水土保持设施验收备案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《生产建设项目水土保持方案管理办法》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河道管理范围内的工程设施施工方案备案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《江苏省河道管理条例》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《河道管理范围内建设项目管理的有关规定》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工程建设方案和防止对地下水产生不利影响的措施方案备案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《地下水管理条例》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6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以监测、勘探为目的的地下水取水工程备案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《地下水管理条例》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保障矿井等地下工程施工安全和生产安全临时应急取（排）水备案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《地下水管理条例》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3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消除对公共安全或者公共利益的危害临时应急取水备案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《取水许可和水资源费征收管理条例》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水利工程开工报告备案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《水利工程建设项目管理规定（试行）》</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6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水利工程建设项目法人验收工作计划备案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《水利工程建设项目验收管理规定》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2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水利工程建设项目法人验收鉴定书备案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《水利工程建设项目验收管理规定》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水利工程建设项目监理单位备案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《水利工程建设监理规定》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7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水利工程建设项目专项验收成果文件备案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《水利工程建设项目验收管理规定》 </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1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水利工程建设项目质量结论备案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《水利工程建设项目验收管理规定》</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《水利工程质量管理规定》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畜禽养殖场备案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《中华人民共和国畜牧法》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7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仅从事食用菌菌种栽培种经营个人和单位备案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《食用菌菌种管理办法》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取得农药经营许可证的农药经营者设立分支机构备案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《农药管理条例》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《农药经营许可管理办法》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添加剂预混合饲料、混合型饲料添加剂产品备案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《饲料和饲料添加剂管理条例》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《国务院关于取消和下放一批行政许可事项的决定》（国发〔2019〕6号）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7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土壤污染农用地修复方案备案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《中华人民共和国土壤污染防治法》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5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乡村兽医备案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《中华人民共和国动物防疫法》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《执业兽医和乡村兽医管理办法》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2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执业兽医从事动物诊疗等经营活动备案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《中华人民共和国动物防疫法》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《执业兽医和乡村兽医管理办法》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5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涉及人身安全、环境保护的农业机械备案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《江苏省农业机械管理条例》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8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从事畜禽运输的单位、个人和车辆备案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《中华人民共和国动物防疫法》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《中华人民共和国农业农村部公告 第531号》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355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在种子生产经营许可证有效区域内设立分支机构的，专门经营不再分装的包装种子的，或者</w:t>
            </w:r>
            <w:proofErr w:type="gramStart"/>
            <w:r w:rsidRPr="00885F74">
              <w:rPr>
                <w:rFonts w:ascii="仿宋_GB2312" w:eastAsia="仿宋_GB2312" w:hAnsi="Times New Roman" w:cs="Times New Roman" w:hint="eastAsia"/>
                <w:sz w:val="28"/>
                <w:szCs w:val="28"/>
              </w:rPr>
              <w:t>受具有</w:t>
            </w:r>
            <w:proofErr w:type="gramEnd"/>
            <w:r w:rsidRPr="00885F74">
              <w:rPr>
                <w:rFonts w:ascii="仿宋_GB2312" w:eastAsia="仿宋_GB2312" w:hAnsi="Times New Roman" w:cs="Times New Roman" w:hint="eastAsia"/>
                <w:sz w:val="28"/>
                <w:szCs w:val="28"/>
              </w:rPr>
              <w:t>种子生产经营许可证的种子生产经营者以书面委托生产、代销其种子备案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区农业农村局、区自然资源和规划分局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《中华人民共和国种子法》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3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汽车供应商、经销商备案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区商务局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《汽车销售管理办法》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二手车市场经营者和二手车经营主体备案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区商务局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《二手车流通管理办法》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《商务部办公厅 公安部办公厅关于完善二手车市场主体备案和车辆交易登记管理的通知》（商办消费函〔2022〕239号）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《省商务厅等17部门关于搞活汽车流通 扩大汽车消费若干举措的通知》（苏商规〔2022〕2号）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0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医疗机构承担非免疫规划疫苗接种备案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《中华人民共和国疫苗管理法》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7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中医诊所备案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《中华人民共和国中医药法》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2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病媒生物预防控制服务机构备案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《江苏省爱国卫生条例》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抗菌药物供应目录和调整、抗菌药物临时采购情况备案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《抗菌药物临床应用管理办法》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5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限制类医疗技术备案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《医疗技术临床应用管理办法》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《国家限制类技术临床应用管理规范》（2022年版）</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7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诊所备案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《中华人民共和国中医药法》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《医疗机构管理条例》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《中医诊所备案管理暂行办法》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7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开展医疗美容项目备案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《医疗美容服务管理办法》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4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医师多执业机构备案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《医师执业注册管理办法》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托</w:t>
            </w:r>
            <w:proofErr w:type="gramStart"/>
            <w:r w:rsidRPr="00885F74">
              <w:rPr>
                <w:rFonts w:ascii="仿宋_GB2312" w:eastAsia="仿宋_GB2312" w:hAnsi="Times New Roman" w:cs="Times New Roman" w:hint="eastAsia"/>
                <w:sz w:val="28"/>
                <w:szCs w:val="28"/>
              </w:rPr>
              <w:t>育机构</w:t>
            </w:r>
            <w:proofErr w:type="gramEnd"/>
            <w:r w:rsidRPr="00885F74">
              <w:rPr>
                <w:rFonts w:ascii="仿宋_GB2312" w:eastAsia="仿宋_GB2312" w:hAnsi="Times New Roman" w:cs="Times New Roman" w:hint="eastAsia"/>
                <w:sz w:val="28"/>
                <w:szCs w:val="28"/>
              </w:rPr>
              <w:t>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卫健局</w:t>
            </w:r>
            <w:proofErr w:type="gramEnd"/>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《中华人民共和国人口与计划生育法》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《关于印发托育机构登记和备案办法（试行）的通知》（国卫</w:t>
            </w:r>
            <w:proofErr w:type="gramStart"/>
            <w:r w:rsidRPr="00885F74">
              <w:rPr>
                <w:rFonts w:ascii="仿宋_GB2312" w:eastAsia="仿宋_GB2312" w:hAnsi="Times New Roman" w:cs="Times New Roman" w:hint="eastAsia"/>
                <w:sz w:val="28"/>
                <w:szCs w:val="28"/>
              </w:rPr>
              <w:t>办人口发</w:t>
            </w:r>
            <w:proofErr w:type="gramEnd"/>
            <w:r w:rsidRPr="00885F74">
              <w:rPr>
                <w:rFonts w:ascii="仿宋_GB2312" w:eastAsia="仿宋_GB2312" w:hAnsi="Times New Roman" w:cs="Times New Roman" w:hint="eastAsia"/>
                <w:sz w:val="28"/>
                <w:szCs w:val="28"/>
              </w:rPr>
              <w:t>〔2019〕25号）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0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非煤矿</w:t>
            </w:r>
            <w:proofErr w:type="gramStart"/>
            <w:r w:rsidRPr="00885F74">
              <w:rPr>
                <w:rFonts w:ascii="仿宋_GB2312" w:eastAsia="仿宋_GB2312" w:hAnsi="Times New Roman" w:cs="Times New Roman" w:hint="eastAsia"/>
                <w:sz w:val="28"/>
                <w:szCs w:val="28"/>
              </w:rPr>
              <w:t>山承包</w:t>
            </w:r>
            <w:proofErr w:type="gramEnd"/>
            <w:r w:rsidRPr="00885F74">
              <w:rPr>
                <w:rFonts w:ascii="仿宋_GB2312" w:eastAsia="仿宋_GB2312" w:hAnsi="Times New Roman" w:cs="Times New Roman" w:hint="eastAsia"/>
                <w:sz w:val="28"/>
                <w:szCs w:val="28"/>
              </w:rPr>
              <w:t>单位跨省施工作业备案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《非煤矿山外包工程安全管理暂行办法》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8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救灾捐赠款物的调拨、分配及备案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《救灾捐赠管理办法》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0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大型救灾捐赠和募捐活动备案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《救灾捐赠管理办法》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302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矿山、金属冶炼和危险化学品生产、经营、储存企业，以及使用危险化学品达到国家规定数量的化工企业、烟花爆竹生产、批发经营企业的应急预案备案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《危险化学品安全管理条例》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《生产安全事故应急预案管理办法》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9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重大危险源备案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《中华人民共和国安全生产法》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《危险化学品重大危险源监督管理暂行规定》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6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经营第三类易制毒化学品备案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《易制毒化学品管理条例》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黑火药、引火线批发企业采购、销售记录备案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《烟花爆竹经营许可实施办法》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309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转产、停产、停业或者解散的生产、储存、使用危险化学品的单位处置其危险化学品生产装置、储存设施以及库存的危险化学品处置方案备案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《危险化学品安全管理条例》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《易制爆危险化学品治安管理办法》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1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有关企事业单位地震应急预案备案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《中华人民共和国防震减灾法》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《江苏省防震减灾条例》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《江苏省人民政府办公厅关于印发江苏省地震应急预案的通知》（苏政办函〔2020〕10号）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0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地震安全性评价项目备案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区应急管理局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《江苏省防震减灾条例》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《江苏省地震安全性评价管理规定》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6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企业投资项目备案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《企业投资项目核准和备案管理条例》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《企业投资项目核准和备案管理办法》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《江苏省人民政府关于印发江苏省企业投资项目核准和备案管理办法的通知》（苏政办发〔2017〕88号）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2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代理记账机构设立分支机构备案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《代理记账管理办法》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1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人力资源服务业务备案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《人力资源市场暂行条例》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《人力资源服务机构管理规定》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建设工程竣工验收备案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《建设工程质量管理条例》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《房屋建筑和市政工程基础设施工程竣工验收备案管理办法》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《城镇排水与污水处理条例》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《城镇燃气管理条例》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《江苏省燃气管理条例》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《江苏省城市绿化管理条例》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商品房现售前房地产开发项目手册及符合商品房现</w:t>
            </w:r>
            <w:proofErr w:type="gramStart"/>
            <w:r w:rsidRPr="00885F74">
              <w:rPr>
                <w:rFonts w:ascii="仿宋_GB2312" w:eastAsia="仿宋_GB2312" w:hAnsi="Times New Roman" w:cs="Times New Roman" w:hint="eastAsia"/>
                <w:sz w:val="28"/>
                <w:szCs w:val="28"/>
              </w:rPr>
              <w:t>售条件</w:t>
            </w:r>
            <w:proofErr w:type="gramEnd"/>
            <w:r w:rsidRPr="00885F74">
              <w:rPr>
                <w:rFonts w:ascii="仿宋_GB2312" w:eastAsia="仿宋_GB2312" w:hAnsi="Times New Roman" w:cs="Times New Roman" w:hint="eastAsia"/>
                <w:sz w:val="28"/>
                <w:szCs w:val="28"/>
              </w:rPr>
              <w:t>的有关证明文件备案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《江苏省城市房地产交易管理条例》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《商品房销售管理办法》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单用途商业预付卡发卡企业备案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《单用途商业预付卡管理办法（试行）》</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《江苏省单用途商业预付卡管理细则》（苏商规〔2022〕1号）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69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市场主体法定事项备案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局、区市场监管局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《中华人民共和国公司法》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《中华人民共和国外商投资法》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《中华人民共和国合伙企业法》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《中华人民共和国个人独资企业法》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《中华人民共和国农民专业合作社法》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《促进个体工商户发展条例》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《市场主体登记管理条例》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0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歇业备案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roofErr w:type="gramStart"/>
            <w:r w:rsidRPr="00885F74">
              <w:rPr>
                <w:rFonts w:ascii="仿宋_GB2312" w:eastAsia="仿宋_GB2312" w:hAnsi="Times New Roman" w:cs="Times New Roman" w:hint="eastAsia"/>
                <w:sz w:val="28"/>
                <w:szCs w:val="28"/>
              </w:rPr>
              <w:t>区数据</w:t>
            </w:r>
            <w:proofErr w:type="gramEnd"/>
            <w:r w:rsidRPr="00885F74">
              <w:rPr>
                <w:rFonts w:ascii="仿宋_GB2312" w:eastAsia="仿宋_GB2312" w:hAnsi="Times New Roman" w:cs="Times New Roman" w:hint="eastAsia"/>
                <w:sz w:val="28"/>
                <w:szCs w:val="28"/>
              </w:rPr>
              <w:t>局、区市场监管局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《市场主体登记管理条例》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7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网络食品交易第三方平台提供者备案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区市场监管局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《网络食品安全违法行为查处办法》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《网络餐饮服务食品安全监督管理办法》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5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仅销售预包装食品备案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区市场监管局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《中华人民共和国食品安全法》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4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使用强制检定的工作计量器具备案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区市场监管局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《中华人民共和国强制检定的工作计量器具检定管理办法》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7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非食品生产经营者从事对温度、湿度等有特殊要求的食品贮存业务备案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区市场监管局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《中华人民共和国食品安全法实施条例》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《市场监管总局关于加强冷藏冷冻食品质量安全管理的公告》</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6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小餐饮备案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区市场监管局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《江苏省人民代表大会常务委员会关于加强小餐饮管理的决定》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40"/>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陆生野生动物及其制品情况备案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人工繁育有重要生态、科学、社会价值的陆生野生动物备案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区自然资源和规划分局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《中华人民共和国野生动物保护法》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575"/>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出售、购买、利用有重要生态、科学、社会价值的陆生野生动物及其制品备案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区自然资源和规划分局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《江苏省野生动物保护条例》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89"/>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治安保卫重点单位信息备案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治安保卫重点单位的治安保卫重要部位备案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《江苏省企业事业单位内部治安保卫条例》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89"/>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治安保卫重点单位治安保卫机构的设置和人员的配备情况备案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《企业事业单位内部治安保卫条例》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《江苏省企业事业单位内部治安保卫条例》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89"/>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治安保卫重点单位的治安突发事件处置预案备案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《江苏省企业事业单位内部治安保卫条例》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99"/>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国际联网备案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《计算机信息网络国际联网安全保护管理办法》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99"/>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爆破作业项目、单位备案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爆破作业项目备案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《民用爆炸物品安全管理条例》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《爆破作业项目管理要求》（GA991—2012）</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99"/>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爆破作业单位备案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《民用爆炸物品安全管理条例》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89"/>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民用爆炸物品信息备案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销售民用爆炸物品备案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《民用爆炸物品安全管理条例》、《民用爆炸物品销售许可实施办法》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89"/>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购买民用爆炸物品备案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《民用爆炸物品安全管理条例》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89"/>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进出口民用爆炸物品备案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《民用爆炸物品安全管理条例》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《民用爆炸物品进出口管理办法》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89"/>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民用爆炸物品生产、销售企业备案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《民用爆炸物品安全管理条例》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易制</w:t>
            </w:r>
            <w:proofErr w:type="gramStart"/>
            <w:r w:rsidRPr="00885F74">
              <w:rPr>
                <w:rFonts w:ascii="仿宋_GB2312" w:eastAsia="仿宋_GB2312" w:hAnsi="Times New Roman" w:cs="Times New Roman" w:hint="eastAsia"/>
                <w:sz w:val="28"/>
                <w:szCs w:val="28"/>
              </w:rPr>
              <w:t>爆</w:t>
            </w:r>
            <w:proofErr w:type="gramEnd"/>
            <w:r w:rsidRPr="00885F74">
              <w:rPr>
                <w:rFonts w:ascii="仿宋_GB2312" w:eastAsia="仿宋_GB2312" w:hAnsi="Times New Roman" w:cs="Times New Roman" w:hint="eastAsia"/>
                <w:sz w:val="28"/>
                <w:szCs w:val="28"/>
              </w:rPr>
              <w:t>危险化学品从业单位治安保卫机构和人员备案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《易制爆危险化学品治安管理办法》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225"/>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剧毒化学品、易制</w:t>
            </w:r>
            <w:proofErr w:type="gramStart"/>
            <w:r w:rsidRPr="00885F74">
              <w:rPr>
                <w:rFonts w:ascii="仿宋_GB2312" w:eastAsia="仿宋_GB2312" w:hAnsi="Times New Roman" w:cs="Times New Roman" w:hint="eastAsia"/>
                <w:sz w:val="28"/>
                <w:szCs w:val="28"/>
              </w:rPr>
              <w:t>爆</w:t>
            </w:r>
            <w:proofErr w:type="gramEnd"/>
            <w:r w:rsidRPr="00885F74">
              <w:rPr>
                <w:rFonts w:ascii="仿宋_GB2312" w:eastAsia="仿宋_GB2312" w:hAnsi="Times New Roman" w:cs="Times New Roman" w:hint="eastAsia"/>
                <w:sz w:val="28"/>
                <w:szCs w:val="28"/>
              </w:rPr>
              <w:t>危险化学品、易制毒化学品情况备案</w:t>
            </w: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单位买卖剧毒化学品、易制</w:t>
            </w:r>
            <w:proofErr w:type="gramStart"/>
            <w:r w:rsidRPr="00885F74">
              <w:rPr>
                <w:rFonts w:ascii="仿宋_GB2312" w:eastAsia="仿宋_GB2312" w:hAnsi="Times New Roman" w:cs="Times New Roman" w:hint="eastAsia"/>
                <w:sz w:val="28"/>
                <w:szCs w:val="28"/>
              </w:rPr>
              <w:t>爆</w:t>
            </w:r>
            <w:proofErr w:type="gramEnd"/>
            <w:r w:rsidRPr="00885F74">
              <w:rPr>
                <w:rFonts w:ascii="仿宋_GB2312" w:eastAsia="仿宋_GB2312" w:hAnsi="Times New Roman" w:cs="Times New Roman" w:hint="eastAsia"/>
                <w:sz w:val="28"/>
                <w:szCs w:val="28"/>
              </w:rPr>
              <w:t>危险化学品备案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《危险化学品安全管理条例》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易制毒化学品销售情况备案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《易制毒化学品管理条例》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82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管制道具制造企业备案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《公安部关于执行〈对部分刀具实行管制的暂行规定〉的通知》（〔83〕</w:t>
            </w:r>
            <w:proofErr w:type="gramStart"/>
            <w:r w:rsidRPr="00885F74">
              <w:rPr>
                <w:rFonts w:ascii="仿宋_GB2312" w:eastAsia="仿宋_GB2312" w:hAnsi="Times New Roman" w:cs="Times New Roman" w:hint="eastAsia"/>
                <w:sz w:val="28"/>
                <w:szCs w:val="28"/>
              </w:rPr>
              <w:t>公发治31号</w:t>
            </w:r>
            <w:proofErr w:type="gramEnd"/>
            <w:r w:rsidRPr="00885F74">
              <w:rPr>
                <w:rFonts w:ascii="仿宋_GB2312" w:eastAsia="仿宋_GB2312" w:hAnsi="Times New Roman" w:cs="Times New Roman" w:hint="eastAsia"/>
                <w:sz w:val="28"/>
                <w:szCs w:val="28"/>
              </w:rPr>
              <w:t>）</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《公安部关于切实加强管制刀具管理工作的通知》（公通字〔2008〕23号）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1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与制式枪支口径不同射钉弹备案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《关于加强射钉器射钉弹管理工作的通知》（公治〔2015〕678号）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0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公章（法人印鉴）刻制备案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《江苏省特种行业治安管理条例》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生产性废旧金属收购业、</w:t>
            </w:r>
            <w:proofErr w:type="gramStart"/>
            <w:r w:rsidRPr="00885F74">
              <w:rPr>
                <w:rFonts w:ascii="仿宋_GB2312" w:eastAsia="仿宋_GB2312" w:hAnsi="Times New Roman" w:cs="Times New Roman" w:hint="eastAsia"/>
                <w:sz w:val="28"/>
                <w:szCs w:val="28"/>
              </w:rPr>
              <w:t>开锁业</w:t>
            </w:r>
            <w:proofErr w:type="gramEnd"/>
            <w:r w:rsidRPr="00885F74">
              <w:rPr>
                <w:rFonts w:ascii="仿宋_GB2312" w:eastAsia="仿宋_GB2312" w:hAnsi="Times New Roman" w:cs="Times New Roman" w:hint="eastAsia"/>
                <w:sz w:val="28"/>
                <w:szCs w:val="28"/>
              </w:rPr>
              <w:t>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《江苏省特种行业治安管理条例》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96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回收生产性废旧金属的再生资源回收企业和回收非生产性废旧金属的再生资源回收经营者备案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《再生资源回收管理办法》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《江苏省特种行业治安管理条例》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0"/>
          <w:jc w:val="center"/>
        </w:trPr>
        <w:tc>
          <w:tcPr>
            <w:tcW w:w="273" w:type="pct"/>
            <w:vMerge w:val="restar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vMerge w:val="restar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娱乐场所和旅馆变更登记备案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娱乐场所备案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《娱乐场所管理条例》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《江苏省公共场所治安管理条例》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50"/>
          <w:jc w:val="center"/>
        </w:trPr>
        <w:tc>
          <w:tcPr>
            <w:tcW w:w="273" w:type="pct"/>
            <w:vMerge/>
            <w:shd w:val="clear" w:color="auto" w:fill="auto"/>
            <w:noWrap/>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94" w:type="pct"/>
            <w:vMerge/>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旅馆变更登记备案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区公安分局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《旅馆业治安管理办法》              </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《江苏省特种行业治安管理条例》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出口退（免）税企业备案信息报告</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《中华人民共和国税收征收管理法》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《国家税务总局关于部分税务行政审批事项取消后有关管理问题的公告》</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《国家税务总局关于调整完善外贸综合服务企业办理出口货物退（免）税有关事项的公告》</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《国家税务总局关于发布〈融资租赁货物出口退税管理办法〉的公告》</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财务会计制度及核算软件备案报告</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《中华人民共和国税收征收管理法》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《中华人民共和国税收征收管理法实施细则》</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境内机构和个人发包工程作业或劳务项目备案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《非居民承包工程作业和提供劳务税收管理暂行办法》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服务贸易等项目对外支付税务备案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《中华人民共和国税收征收管理法》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 国家外汇管理局关于服务贸易等项目对外支付税务备案有关问题的公告》</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 国家外汇管理局 关于服务贸易等项目对外支付税务备案有关问题的补充公告》</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43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货物运输业小规模纳税人异地代开专票备案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《货物运输业小规模纳税人申请代开增值税专用发票管理办法》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非居民企业股权转让适用特殊性税务处理备案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《中华人民共和国税收征收管理法》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《国家税务总局关于非居民企业股权转让适用特殊性税务处理有关问题的公告》</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《财政部国家税务总局关于企业重组业务企业所得税处理若干问题的通知》（财税〔2009〕59号）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税收减免备案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《中华人民共和国税收征收管理法》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《中华人民共和国个人所得税法》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《财政部 税务总局关于创业投资企业和天使投资个人有关税收政策的通知》（财税〔2018〕55号）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《国家税务总局关于创业投资企业和天使投资个人税收政策有关问题的公告》</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《国家税务总局关于扩大境外投资者以分配利润直接投资暂不征收预提所得税政策适用范围有关</w:t>
            </w:r>
            <w:r w:rsidRPr="00885F74">
              <w:rPr>
                <w:rFonts w:ascii="仿宋_GB2312" w:eastAsia="仿宋_GB2312" w:hAnsi="Times New Roman" w:cs="Times New Roman" w:hint="eastAsia"/>
                <w:sz w:val="28"/>
                <w:szCs w:val="28"/>
              </w:rPr>
              <w:lastRenderedPageBreak/>
              <w:t>问题的公告》</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《财政部 税务总局 国家发展改革委 商务部关于扩大境外投资者以分配利润直接投资暂不征收预提所得税政策适用范围的通知》（财税〔2018〕102号）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《江苏省地方税务局关于残疾人等个人所得税减征管理有关规定的公告》（苏地税</w:t>
            </w:r>
            <w:proofErr w:type="gramStart"/>
            <w:r w:rsidRPr="00885F74">
              <w:rPr>
                <w:rFonts w:ascii="仿宋_GB2312" w:eastAsia="仿宋_GB2312" w:hAnsi="Times New Roman" w:cs="Times New Roman" w:hint="eastAsia"/>
                <w:sz w:val="28"/>
                <w:szCs w:val="28"/>
              </w:rPr>
              <w:t>规</w:t>
            </w:r>
            <w:proofErr w:type="gramEnd"/>
            <w:r w:rsidRPr="00885F74">
              <w:rPr>
                <w:rFonts w:ascii="仿宋_GB2312" w:eastAsia="仿宋_GB2312" w:hAnsi="Times New Roman" w:cs="Times New Roman" w:hint="eastAsia"/>
                <w:sz w:val="28"/>
                <w:szCs w:val="28"/>
              </w:rPr>
              <w:t>〔2015〕7号）</w:t>
            </w:r>
          </w:p>
          <w:p w:rsidR="00885F74" w:rsidRPr="00885F74" w:rsidRDefault="00885F74" w:rsidP="00885F74">
            <w:pPr>
              <w:spacing w:line="400" w:lineRule="exact"/>
              <w:rPr>
                <w:rFonts w:ascii="仿宋_GB2312" w:eastAsia="仿宋_GB2312" w:hAnsi="Times New Roman" w:cs="Times New Roman"/>
                <w:sz w:val="28"/>
                <w:szCs w:val="28"/>
              </w:rPr>
            </w:pP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其他出口退（免）税备案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区税务局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《中华人民共和国税收征收管理法》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《国家税务总局关于部分税务行政审批事项取消后有关管理问题的公告》</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危险废物管理计划备案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《中华人民共和国固体废物污染环境防治法》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《江苏省固体废物污染环境防治条例》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建设项目环境影响后评价文件备案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《中华人民共和国环境影响评价法》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《建设项目环境影响后评价管理办法（试行）》</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建设项目环境影响登记表备案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《中华人民共和国环境影响评价法》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《建设项目环境保护管理条例》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47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规模养殖场制定年度畜禽粪污资源化利用计划，包括畜禽养殖品种、规模以及畜禽养殖废弃物的产生、排放和综合利用等情况备案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《畜禽规模养殖污染防治条例》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《农业农村部办公厅生态</w:t>
            </w:r>
            <w:r w:rsidR="003E6B27">
              <w:rPr>
                <w:rFonts w:ascii="仿宋_GB2312" w:eastAsia="仿宋_GB2312" w:hAnsi="Times New Roman" w:cs="Times New Roman" w:hint="eastAsia"/>
                <w:sz w:val="28"/>
                <w:szCs w:val="28"/>
              </w:rPr>
              <w:t>环</w:t>
            </w:r>
            <w:r w:rsidRPr="00885F74">
              <w:rPr>
                <w:rFonts w:ascii="仿宋_GB2312" w:eastAsia="仿宋_GB2312" w:hAnsi="Times New Roman" w:cs="Times New Roman" w:hint="eastAsia"/>
                <w:sz w:val="28"/>
                <w:szCs w:val="28"/>
              </w:rPr>
              <w:t>境部办公厅关于加强畜禽粪污资源化利用计划和台账管理</w:t>
            </w:r>
            <w:bookmarkStart w:id="0" w:name="_GoBack"/>
            <w:bookmarkEnd w:id="0"/>
            <w:r w:rsidRPr="00885F74">
              <w:rPr>
                <w:rFonts w:ascii="仿宋_GB2312" w:eastAsia="仿宋_GB2312" w:hAnsi="Times New Roman" w:cs="Times New Roman" w:hint="eastAsia"/>
                <w:sz w:val="28"/>
                <w:szCs w:val="28"/>
              </w:rPr>
              <w:t>的通知》（农办牧〔2021〕46号）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103"/>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土壤污染重点监管单位生产经营用地的用途变更或者在其土地使用权收回、转让前开展土壤污染状况调查的土壤污染状况调查报告备案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《中华人民共和国土壤污染防治法》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建设用地风险管控、修复效果评估报告备案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《中华人民共和国土壤污染防治法》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61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建设用地土壤污染风险管控和修复名录中需要实施修复地块的修复方案备案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《中华人民共和国土壤污染防治法》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7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企业事业单位突发环境事件应急预案备案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《中华人民共和国环境保护法》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《中华人民共和国固体废物污染环境防治法》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《企业事业单位突发环境事件应急预案备案管理办法（试行）》（环发〔2015〕4号）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《突发环境事件应急管理办法》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81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污染源自动监控设施有关情况备案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《污染源自动监控设施现场监督检查办法》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94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三级、四级病原微生物实验室备案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《中华人民共和国生物安全法》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《病原微生物实验室生物安全管理条例》</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《病原微生物实验室生物安全环境管理办法》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实验室环境污染应急预案备案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《病原微生物实验室生物安全环境管理办法》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02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土壤污染重点监管单位拆除设施、设备或者建筑物、构筑物时制定的土壤污染防治工作方案备案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区生态环境局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《中华人民共和国土壤污染防治法》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基本医疗保险参保人员异地就医备案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w:t>
            </w:r>
            <w:proofErr w:type="gramStart"/>
            <w:r w:rsidRPr="00885F74">
              <w:rPr>
                <w:rFonts w:ascii="仿宋_GB2312" w:eastAsia="仿宋_GB2312" w:hAnsi="Times New Roman" w:cs="Times New Roman" w:hint="eastAsia"/>
                <w:sz w:val="28"/>
                <w:szCs w:val="28"/>
              </w:rPr>
              <w:t>医</w:t>
            </w:r>
            <w:proofErr w:type="gramEnd"/>
            <w:r w:rsidRPr="00885F74">
              <w:rPr>
                <w:rFonts w:ascii="仿宋_GB2312" w:eastAsia="仿宋_GB2312" w:hAnsi="Times New Roman" w:cs="Times New Roman" w:hint="eastAsia"/>
                <w:sz w:val="28"/>
                <w:szCs w:val="28"/>
              </w:rPr>
              <w:t>保局；乡镇（街道）</w:t>
            </w:r>
            <w:proofErr w:type="gramStart"/>
            <w:r w:rsidRPr="00885F74">
              <w:rPr>
                <w:rFonts w:ascii="仿宋_GB2312" w:eastAsia="仿宋_GB2312" w:hAnsi="Times New Roman" w:cs="Times New Roman" w:hint="eastAsia"/>
                <w:sz w:val="28"/>
                <w:szCs w:val="28"/>
              </w:rPr>
              <w:t>医</w:t>
            </w:r>
            <w:proofErr w:type="gramEnd"/>
            <w:r w:rsidRPr="00885F74">
              <w:rPr>
                <w:rFonts w:ascii="仿宋_GB2312" w:eastAsia="仿宋_GB2312" w:hAnsi="Times New Roman" w:cs="Times New Roman" w:hint="eastAsia"/>
                <w:sz w:val="28"/>
                <w:szCs w:val="28"/>
              </w:rPr>
              <w:t>保服务站点</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《中华人民共和国社会保险法》</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《国家医保局 财政部关于进一步做好基本医疗保险跨省异地就医直接结算工作的通知》（</w:t>
            </w:r>
            <w:proofErr w:type="gramStart"/>
            <w:r w:rsidRPr="00885F74">
              <w:rPr>
                <w:rFonts w:ascii="仿宋_GB2312" w:eastAsia="仿宋_GB2312" w:hAnsi="Times New Roman" w:cs="Times New Roman" w:hint="eastAsia"/>
                <w:sz w:val="28"/>
                <w:szCs w:val="28"/>
              </w:rPr>
              <w:t>医</w:t>
            </w:r>
            <w:proofErr w:type="gramEnd"/>
            <w:r w:rsidRPr="00885F74">
              <w:rPr>
                <w:rFonts w:ascii="仿宋_GB2312" w:eastAsia="仿宋_GB2312" w:hAnsi="Times New Roman" w:cs="Times New Roman" w:hint="eastAsia"/>
                <w:sz w:val="28"/>
                <w:szCs w:val="28"/>
              </w:rPr>
              <w:t>保发〔2022〕22号）</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《江苏省医疗保障局 江苏省财政厅关于加强和改进全省基本医疗保险异地就医经办服务工作的通知》（苏</w:t>
            </w:r>
            <w:proofErr w:type="gramStart"/>
            <w:r w:rsidRPr="00885F74">
              <w:rPr>
                <w:rFonts w:ascii="仿宋_GB2312" w:eastAsia="仿宋_GB2312" w:hAnsi="Times New Roman" w:cs="Times New Roman" w:hint="eastAsia"/>
                <w:sz w:val="28"/>
                <w:szCs w:val="28"/>
              </w:rPr>
              <w:t>医</w:t>
            </w:r>
            <w:proofErr w:type="gramEnd"/>
            <w:r w:rsidRPr="00885F74">
              <w:rPr>
                <w:rFonts w:ascii="仿宋_GB2312" w:eastAsia="仿宋_GB2312" w:hAnsi="Times New Roman" w:cs="Times New Roman" w:hint="eastAsia"/>
                <w:sz w:val="28"/>
                <w:szCs w:val="28"/>
              </w:rPr>
              <w:t>保发〔2022〕75号）</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消防安全重点单位及其消防安全责任人、消防安全管理人备案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区消防救援大队</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《机关、团体、企业、事业单位消防安全管理规定》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1355"/>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农村土地经营权流转合同备案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本集体经济组织或发包方</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《全国人民代表大会常务委员会关于修改〈中华人民共和国农村土地承包法〉的决定》</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211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承包方、受让方利用土地经营权融资担保备案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村集体经济组织</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《全国人民代表大会常务委员会关于修改〈中华人民共和国农村土地承包法〉的决定》</w:t>
            </w:r>
          </w:p>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《农村土地经营权流转管理办法》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5000" w:type="pct"/>
            <w:gridSpan w:val="6"/>
            <w:shd w:val="clear" w:color="auto" w:fill="auto"/>
            <w:noWrap/>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r w:rsidRPr="00885F74">
              <w:rPr>
                <w:rFonts w:ascii="仿宋_GB2312" w:eastAsia="仿宋_GB2312" w:hAnsi="宋体" w:cs="Times New Roman" w:hint="eastAsia"/>
                <w:b/>
                <w:snapToGrid w:val="0"/>
                <w:kern w:val="0"/>
                <w:sz w:val="28"/>
                <w:szCs w:val="28"/>
              </w:rPr>
              <w:t>地方性法规设定的行政备案事项</w:t>
            </w:r>
          </w:p>
        </w:tc>
      </w:tr>
      <w:tr w:rsidR="00885F74" w:rsidRPr="00885F74" w:rsidTr="00697DFE">
        <w:trPr>
          <w:trHeight w:val="34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商品房交付使用备案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对具备交付使用基本条件的商品房办理交付使用备案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《常州市商品房交付使用管理办法》</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732"/>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住宅小区物业管理委员会备案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住宅小区物业管理委员会备案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《常州市住宅物业管理条例》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r w:rsidR="00885F74" w:rsidRPr="00885F74" w:rsidTr="00697DFE">
        <w:trPr>
          <w:trHeight w:val="90"/>
          <w:jc w:val="center"/>
        </w:trPr>
        <w:tc>
          <w:tcPr>
            <w:tcW w:w="273" w:type="pct"/>
            <w:shd w:val="clear" w:color="auto" w:fill="auto"/>
            <w:noWrap/>
            <w:vAlign w:val="center"/>
          </w:tcPr>
          <w:p w:rsidR="00885F74" w:rsidRPr="00885F74" w:rsidRDefault="00885F74" w:rsidP="00885F74">
            <w:pPr>
              <w:numPr>
                <w:ilvl w:val="0"/>
                <w:numId w:val="1"/>
              </w:num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 xml:space="preserve">    </w:t>
            </w:r>
          </w:p>
        </w:tc>
        <w:tc>
          <w:tcPr>
            <w:tcW w:w="994"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前期物业服务合同和临时管理规约备案</w:t>
            </w:r>
          </w:p>
        </w:tc>
        <w:tc>
          <w:tcPr>
            <w:tcW w:w="946" w:type="pct"/>
            <w:shd w:val="clear" w:color="auto" w:fill="auto"/>
            <w:vAlign w:val="center"/>
          </w:tcPr>
          <w:p w:rsidR="00885F74" w:rsidRPr="00885F74" w:rsidRDefault="00885F74" w:rsidP="00885F74">
            <w:pPr>
              <w:widowControl/>
              <w:spacing w:line="400" w:lineRule="exact"/>
              <w:textAlignment w:val="center"/>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前期物业服务合同和临时管理规约备案</w:t>
            </w:r>
          </w:p>
        </w:tc>
        <w:tc>
          <w:tcPr>
            <w:tcW w:w="1050"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区住建局</w:t>
            </w:r>
          </w:p>
        </w:tc>
        <w:tc>
          <w:tcPr>
            <w:tcW w:w="1433" w:type="pct"/>
            <w:shd w:val="clear" w:color="auto" w:fill="auto"/>
            <w:vAlign w:val="center"/>
          </w:tcPr>
          <w:p w:rsidR="00885F74" w:rsidRPr="00885F74" w:rsidRDefault="00885F74" w:rsidP="00885F74">
            <w:pPr>
              <w:spacing w:line="400" w:lineRule="exact"/>
              <w:rPr>
                <w:rFonts w:ascii="仿宋_GB2312" w:eastAsia="仿宋_GB2312" w:hAnsi="Times New Roman" w:cs="Times New Roman"/>
                <w:sz w:val="28"/>
                <w:szCs w:val="28"/>
              </w:rPr>
            </w:pPr>
            <w:r w:rsidRPr="00885F74">
              <w:rPr>
                <w:rFonts w:ascii="仿宋_GB2312" w:eastAsia="仿宋_GB2312" w:hAnsi="Times New Roman" w:cs="Times New Roman" w:hint="eastAsia"/>
                <w:sz w:val="28"/>
                <w:szCs w:val="28"/>
              </w:rPr>
              <w:t>《常州市住宅物业管理条例》</w:t>
            </w:r>
          </w:p>
        </w:tc>
        <w:tc>
          <w:tcPr>
            <w:tcW w:w="302" w:type="pct"/>
            <w:shd w:val="clear" w:color="auto" w:fill="auto"/>
            <w:vAlign w:val="center"/>
          </w:tcPr>
          <w:p w:rsidR="00885F74" w:rsidRPr="00885F74" w:rsidRDefault="00885F74" w:rsidP="00885F74">
            <w:pPr>
              <w:widowControl/>
              <w:spacing w:line="400" w:lineRule="exact"/>
              <w:jc w:val="center"/>
              <w:textAlignment w:val="center"/>
              <w:rPr>
                <w:rFonts w:ascii="Times New Roman" w:eastAsia="方正仿宋_GBK" w:hAnsi="Times New Roman" w:cs="Times New Roman"/>
                <w:sz w:val="28"/>
                <w:szCs w:val="28"/>
              </w:rPr>
            </w:pPr>
          </w:p>
        </w:tc>
      </w:tr>
    </w:tbl>
    <w:p w:rsidR="00C375B6" w:rsidRPr="00885F74" w:rsidRDefault="00C375B6"/>
    <w:sectPr w:rsidR="00C375B6" w:rsidRPr="00885F74" w:rsidSect="00885F74">
      <w:pgSz w:w="16838" w:h="11906" w:orient="landscape"/>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361EA"/>
    <w:multiLevelType w:val="multilevel"/>
    <w:tmpl w:val="78E361EA"/>
    <w:lvl w:ilvl="0">
      <w:start w:val="1"/>
      <w:numFmt w:val="decimal"/>
      <w:lvlText w:val="%1"/>
      <w:lvlJc w:val="center"/>
      <w:pPr>
        <w:ind w:left="440" w:hanging="152"/>
      </w:pPr>
      <w:rPr>
        <w:rFonts w:ascii="仿宋_GB2312" w:eastAsia="仿宋_GB2312" w:hAnsi="Times New Roman" w:cs="Times New Roman" w:hint="eastAsia"/>
        <w:sz w:val="28"/>
        <w:szCs w:val="28"/>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74"/>
    <w:rsid w:val="003E6B27"/>
    <w:rsid w:val="00885F74"/>
    <w:rsid w:val="00C3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885F74"/>
  </w:style>
  <w:style w:type="paragraph" w:customStyle="1" w:styleId="10">
    <w:name w:val="批注框文本1"/>
    <w:basedOn w:val="a"/>
    <w:next w:val="a3"/>
    <w:link w:val="Char"/>
    <w:qFormat/>
    <w:rsid w:val="00885F74"/>
    <w:rPr>
      <w:rFonts w:ascii="Calibri" w:eastAsia="宋体" w:hAnsi="Calibri" w:cs="Times New Roman"/>
      <w:sz w:val="18"/>
      <w:szCs w:val="18"/>
    </w:rPr>
  </w:style>
  <w:style w:type="character" w:customStyle="1" w:styleId="Char">
    <w:name w:val="批注框文本 Char"/>
    <w:basedOn w:val="a0"/>
    <w:link w:val="10"/>
    <w:qFormat/>
    <w:rsid w:val="00885F74"/>
    <w:rPr>
      <w:rFonts w:ascii="Calibri" w:eastAsia="宋体" w:hAnsi="Calibri" w:cs="Times New Roman"/>
      <w:kern w:val="2"/>
      <w:sz w:val="18"/>
      <w:szCs w:val="18"/>
    </w:rPr>
  </w:style>
  <w:style w:type="paragraph" w:customStyle="1" w:styleId="11">
    <w:name w:val="页脚1"/>
    <w:basedOn w:val="a"/>
    <w:next w:val="a4"/>
    <w:link w:val="Char0"/>
    <w:uiPriority w:val="99"/>
    <w:qFormat/>
    <w:rsid w:val="00885F7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11"/>
    <w:uiPriority w:val="99"/>
    <w:qFormat/>
    <w:rsid w:val="00885F74"/>
    <w:rPr>
      <w:rFonts w:ascii="Calibri" w:eastAsia="宋体" w:hAnsi="Calibri" w:cs="Times New Roman"/>
      <w:kern w:val="2"/>
      <w:sz w:val="18"/>
      <w:szCs w:val="18"/>
    </w:rPr>
  </w:style>
  <w:style w:type="paragraph" w:customStyle="1" w:styleId="12">
    <w:name w:val="页眉1"/>
    <w:basedOn w:val="a"/>
    <w:next w:val="a5"/>
    <w:link w:val="Char1"/>
    <w:qFormat/>
    <w:rsid w:val="00885F7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12"/>
    <w:qFormat/>
    <w:rsid w:val="00885F74"/>
    <w:rPr>
      <w:rFonts w:ascii="Calibri" w:eastAsia="宋体" w:hAnsi="Calibri" w:cs="Times New Roman"/>
      <w:kern w:val="2"/>
      <w:sz w:val="18"/>
      <w:szCs w:val="18"/>
    </w:rPr>
  </w:style>
  <w:style w:type="paragraph" w:customStyle="1" w:styleId="13">
    <w:name w:val="普通(网站)1"/>
    <w:basedOn w:val="a"/>
    <w:next w:val="a6"/>
    <w:qFormat/>
    <w:rsid w:val="00885F74"/>
    <w:pPr>
      <w:spacing w:beforeAutospacing="1" w:afterAutospacing="1"/>
      <w:jc w:val="left"/>
    </w:pPr>
    <w:rPr>
      <w:rFonts w:cs="Times New Roman"/>
      <w:kern w:val="0"/>
      <w:sz w:val="24"/>
      <w:szCs w:val="24"/>
    </w:rPr>
  </w:style>
  <w:style w:type="table" w:styleId="a7">
    <w:name w:val="Table Grid"/>
    <w:basedOn w:val="a1"/>
    <w:qFormat/>
    <w:rsid w:val="00885F7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next w:val="a7"/>
    <w:qFormat/>
    <w:rsid w:val="00885F7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autoRedefine/>
    <w:semiHidden/>
    <w:unhideWhenUsed/>
    <w:qFormat/>
    <w:rsid w:val="00885F74"/>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8">
    <w:name w:val="page number"/>
    <w:basedOn w:val="a0"/>
    <w:qFormat/>
    <w:rsid w:val="00885F74"/>
  </w:style>
  <w:style w:type="paragraph" w:customStyle="1" w:styleId="15">
    <w:name w:val="列出段落1"/>
    <w:basedOn w:val="a"/>
    <w:next w:val="a9"/>
    <w:autoRedefine/>
    <w:uiPriority w:val="34"/>
    <w:qFormat/>
    <w:rsid w:val="00885F74"/>
    <w:pPr>
      <w:spacing w:line="400" w:lineRule="exact"/>
    </w:pPr>
    <w:rPr>
      <w:rFonts w:ascii="仿宋_GB2312" w:eastAsia="仿宋_GB2312" w:hAnsi="Times New Roman"/>
      <w:sz w:val="28"/>
      <w:szCs w:val="28"/>
    </w:rPr>
  </w:style>
  <w:style w:type="paragraph" w:customStyle="1" w:styleId="2">
    <w:name w:val="列出段落2"/>
    <w:basedOn w:val="a"/>
    <w:next w:val="a9"/>
    <w:uiPriority w:val="99"/>
    <w:unhideWhenUsed/>
    <w:rsid w:val="00885F74"/>
    <w:pPr>
      <w:ind w:firstLineChars="200" w:firstLine="420"/>
    </w:pPr>
    <w:rPr>
      <w:szCs w:val="24"/>
    </w:rPr>
  </w:style>
  <w:style w:type="paragraph" w:styleId="a3">
    <w:name w:val="Balloon Text"/>
    <w:basedOn w:val="a"/>
    <w:link w:val="Char10"/>
    <w:uiPriority w:val="99"/>
    <w:semiHidden/>
    <w:unhideWhenUsed/>
    <w:rsid w:val="00885F74"/>
    <w:rPr>
      <w:sz w:val="18"/>
      <w:szCs w:val="18"/>
    </w:rPr>
  </w:style>
  <w:style w:type="character" w:customStyle="1" w:styleId="Char10">
    <w:name w:val="批注框文本 Char1"/>
    <w:basedOn w:val="a0"/>
    <w:link w:val="a3"/>
    <w:uiPriority w:val="99"/>
    <w:semiHidden/>
    <w:rsid w:val="00885F74"/>
    <w:rPr>
      <w:sz w:val="18"/>
      <w:szCs w:val="18"/>
    </w:rPr>
  </w:style>
  <w:style w:type="paragraph" w:styleId="a4">
    <w:name w:val="footer"/>
    <w:basedOn w:val="a"/>
    <w:link w:val="Char11"/>
    <w:uiPriority w:val="99"/>
    <w:semiHidden/>
    <w:unhideWhenUsed/>
    <w:rsid w:val="00885F74"/>
    <w:pPr>
      <w:tabs>
        <w:tab w:val="center" w:pos="4153"/>
        <w:tab w:val="right" w:pos="8306"/>
      </w:tabs>
      <w:snapToGrid w:val="0"/>
      <w:jc w:val="left"/>
    </w:pPr>
    <w:rPr>
      <w:sz w:val="18"/>
      <w:szCs w:val="18"/>
    </w:rPr>
  </w:style>
  <w:style w:type="character" w:customStyle="1" w:styleId="Char11">
    <w:name w:val="页脚 Char1"/>
    <w:basedOn w:val="a0"/>
    <w:link w:val="a4"/>
    <w:uiPriority w:val="99"/>
    <w:semiHidden/>
    <w:rsid w:val="00885F74"/>
    <w:rPr>
      <w:sz w:val="18"/>
      <w:szCs w:val="18"/>
    </w:rPr>
  </w:style>
  <w:style w:type="paragraph" w:styleId="a5">
    <w:name w:val="header"/>
    <w:basedOn w:val="a"/>
    <w:link w:val="Char12"/>
    <w:uiPriority w:val="99"/>
    <w:semiHidden/>
    <w:unhideWhenUsed/>
    <w:rsid w:val="00885F7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885F74"/>
    <w:rPr>
      <w:sz w:val="18"/>
      <w:szCs w:val="18"/>
    </w:rPr>
  </w:style>
  <w:style w:type="paragraph" w:styleId="a6">
    <w:name w:val="Normal (Web)"/>
    <w:basedOn w:val="a"/>
    <w:uiPriority w:val="99"/>
    <w:semiHidden/>
    <w:unhideWhenUsed/>
    <w:rsid w:val="00885F74"/>
    <w:rPr>
      <w:rFonts w:ascii="Times New Roman" w:hAnsi="Times New Roman" w:cs="Times New Roman"/>
      <w:sz w:val="24"/>
      <w:szCs w:val="24"/>
    </w:rPr>
  </w:style>
  <w:style w:type="paragraph" w:styleId="a9">
    <w:name w:val="List Paragraph"/>
    <w:basedOn w:val="a"/>
    <w:uiPriority w:val="34"/>
    <w:qFormat/>
    <w:rsid w:val="00885F7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885F74"/>
  </w:style>
  <w:style w:type="paragraph" w:customStyle="1" w:styleId="10">
    <w:name w:val="批注框文本1"/>
    <w:basedOn w:val="a"/>
    <w:next w:val="a3"/>
    <w:link w:val="Char"/>
    <w:qFormat/>
    <w:rsid w:val="00885F74"/>
    <w:rPr>
      <w:rFonts w:ascii="Calibri" w:eastAsia="宋体" w:hAnsi="Calibri" w:cs="Times New Roman"/>
      <w:sz w:val="18"/>
      <w:szCs w:val="18"/>
    </w:rPr>
  </w:style>
  <w:style w:type="character" w:customStyle="1" w:styleId="Char">
    <w:name w:val="批注框文本 Char"/>
    <w:basedOn w:val="a0"/>
    <w:link w:val="10"/>
    <w:qFormat/>
    <w:rsid w:val="00885F74"/>
    <w:rPr>
      <w:rFonts w:ascii="Calibri" w:eastAsia="宋体" w:hAnsi="Calibri" w:cs="Times New Roman"/>
      <w:kern w:val="2"/>
      <w:sz w:val="18"/>
      <w:szCs w:val="18"/>
    </w:rPr>
  </w:style>
  <w:style w:type="paragraph" w:customStyle="1" w:styleId="11">
    <w:name w:val="页脚1"/>
    <w:basedOn w:val="a"/>
    <w:next w:val="a4"/>
    <w:link w:val="Char0"/>
    <w:uiPriority w:val="99"/>
    <w:qFormat/>
    <w:rsid w:val="00885F74"/>
    <w:pPr>
      <w:tabs>
        <w:tab w:val="center" w:pos="4153"/>
        <w:tab w:val="right" w:pos="8306"/>
      </w:tabs>
      <w:snapToGrid w:val="0"/>
      <w:jc w:val="left"/>
    </w:pPr>
    <w:rPr>
      <w:rFonts w:ascii="Calibri" w:eastAsia="宋体" w:hAnsi="Calibri" w:cs="Times New Roman"/>
      <w:sz w:val="18"/>
      <w:szCs w:val="18"/>
    </w:rPr>
  </w:style>
  <w:style w:type="character" w:customStyle="1" w:styleId="Char0">
    <w:name w:val="页脚 Char"/>
    <w:basedOn w:val="a0"/>
    <w:link w:val="11"/>
    <w:uiPriority w:val="99"/>
    <w:qFormat/>
    <w:rsid w:val="00885F74"/>
    <w:rPr>
      <w:rFonts w:ascii="Calibri" w:eastAsia="宋体" w:hAnsi="Calibri" w:cs="Times New Roman"/>
      <w:kern w:val="2"/>
      <w:sz w:val="18"/>
      <w:szCs w:val="18"/>
    </w:rPr>
  </w:style>
  <w:style w:type="paragraph" w:customStyle="1" w:styleId="12">
    <w:name w:val="页眉1"/>
    <w:basedOn w:val="a"/>
    <w:next w:val="a5"/>
    <w:link w:val="Char1"/>
    <w:qFormat/>
    <w:rsid w:val="00885F74"/>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12"/>
    <w:qFormat/>
    <w:rsid w:val="00885F74"/>
    <w:rPr>
      <w:rFonts w:ascii="Calibri" w:eastAsia="宋体" w:hAnsi="Calibri" w:cs="Times New Roman"/>
      <w:kern w:val="2"/>
      <w:sz w:val="18"/>
      <w:szCs w:val="18"/>
    </w:rPr>
  </w:style>
  <w:style w:type="paragraph" w:customStyle="1" w:styleId="13">
    <w:name w:val="普通(网站)1"/>
    <w:basedOn w:val="a"/>
    <w:next w:val="a6"/>
    <w:qFormat/>
    <w:rsid w:val="00885F74"/>
    <w:pPr>
      <w:spacing w:beforeAutospacing="1" w:afterAutospacing="1"/>
      <w:jc w:val="left"/>
    </w:pPr>
    <w:rPr>
      <w:rFonts w:cs="Times New Roman"/>
      <w:kern w:val="0"/>
      <w:sz w:val="24"/>
      <w:szCs w:val="24"/>
    </w:rPr>
  </w:style>
  <w:style w:type="table" w:styleId="a7">
    <w:name w:val="Table Grid"/>
    <w:basedOn w:val="a1"/>
    <w:qFormat/>
    <w:rsid w:val="00885F7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next w:val="a7"/>
    <w:qFormat/>
    <w:rsid w:val="00885F74"/>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autoRedefine/>
    <w:semiHidden/>
    <w:unhideWhenUsed/>
    <w:qFormat/>
    <w:rsid w:val="00885F74"/>
    <w:rPr>
      <w:rFonts w:ascii="Times New Roman" w:eastAsia="宋体" w:hAnsi="Times New Roman" w:cs="Times New Roman"/>
      <w:kern w:val="0"/>
      <w:sz w:val="20"/>
      <w:szCs w:val="20"/>
    </w:rPr>
    <w:tblPr>
      <w:tblCellMar>
        <w:top w:w="0" w:type="dxa"/>
        <w:left w:w="0" w:type="dxa"/>
        <w:bottom w:w="0" w:type="dxa"/>
        <w:right w:w="0" w:type="dxa"/>
      </w:tblCellMar>
    </w:tblPr>
  </w:style>
  <w:style w:type="character" w:styleId="a8">
    <w:name w:val="page number"/>
    <w:basedOn w:val="a0"/>
    <w:qFormat/>
    <w:rsid w:val="00885F74"/>
  </w:style>
  <w:style w:type="paragraph" w:customStyle="1" w:styleId="15">
    <w:name w:val="列出段落1"/>
    <w:basedOn w:val="a"/>
    <w:next w:val="a9"/>
    <w:autoRedefine/>
    <w:uiPriority w:val="34"/>
    <w:qFormat/>
    <w:rsid w:val="00885F74"/>
    <w:pPr>
      <w:spacing w:line="400" w:lineRule="exact"/>
    </w:pPr>
    <w:rPr>
      <w:rFonts w:ascii="仿宋_GB2312" w:eastAsia="仿宋_GB2312" w:hAnsi="Times New Roman"/>
      <w:sz w:val="28"/>
      <w:szCs w:val="28"/>
    </w:rPr>
  </w:style>
  <w:style w:type="paragraph" w:customStyle="1" w:styleId="2">
    <w:name w:val="列出段落2"/>
    <w:basedOn w:val="a"/>
    <w:next w:val="a9"/>
    <w:uiPriority w:val="99"/>
    <w:unhideWhenUsed/>
    <w:rsid w:val="00885F74"/>
    <w:pPr>
      <w:ind w:firstLineChars="200" w:firstLine="420"/>
    </w:pPr>
    <w:rPr>
      <w:szCs w:val="24"/>
    </w:rPr>
  </w:style>
  <w:style w:type="paragraph" w:styleId="a3">
    <w:name w:val="Balloon Text"/>
    <w:basedOn w:val="a"/>
    <w:link w:val="Char10"/>
    <w:uiPriority w:val="99"/>
    <w:semiHidden/>
    <w:unhideWhenUsed/>
    <w:rsid w:val="00885F74"/>
    <w:rPr>
      <w:sz w:val="18"/>
      <w:szCs w:val="18"/>
    </w:rPr>
  </w:style>
  <w:style w:type="character" w:customStyle="1" w:styleId="Char10">
    <w:name w:val="批注框文本 Char1"/>
    <w:basedOn w:val="a0"/>
    <w:link w:val="a3"/>
    <w:uiPriority w:val="99"/>
    <w:semiHidden/>
    <w:rsid w:val="00885F74"/>
    <w:rPr>
      <w:sz w:val="18"/>
      <w:szCs w:val="18"/>
    </w:rPr>
  </w:style>
  <w:style w:type="paragraph" w:styleId="a4">
    <w:name w:val="footer"/>
    <w:basedOn w:val="a"/>
    <w:link w:val="Char11"/>
    <w:uiPriority w:val="99"/>
    <w:semiHidden/>
    <w:unhideWhenUsed/>
    <w:rsid w:val="00885F74"/>
    <w:pPr>
      <w:tabs>
        <w:tab w:val="center" w:pos="4153"/>
        <w:tab w:val="right" w:pos="8306"/>
      </w:tabs>
      <w:snapToGrid w:val="0"/>
      <w:jc w:val="left"/>
    </w:pPr>
    <w:rPr>
      <w:sz w:val="18"/>
      <w:szCs w:val="18"/>
    </w:rPr>
  </w:style>
  <w:style w:type="character" w:customStyle="1" w:styleId="Char11">
    <w:name w:val="页脚 Char1"/>
    <w:basedOn w:val="a0"/>
    <w:link w:val="a4"/>
    <w:uiPriority w:val="99"/>
    <w:semiHidden/>
    <w:rsid w:val="00885F74"/>
    <w:rPr>
      <w:sz w:val="18"/>
      <w:szCs w:val="18"/>
    </w:rPr>
  </w:style>
  <w:style w:type="paragraph" w:styleId="a5">
    <w:name w:val="header"/>
    <w:basedOn w:val="a"/>
    <w:link w:val="Char12"/>
    <w:uiPriority w:val="99"/>
    <w:semiHidden/>
    <w:unhideWhenUsed/>
    <w:rsid w:val="00885F7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link w:val="a5"/>
    <w:uiPriority w:val="99"/>
    <w:semiHidden/>
    <w:rsid w:val="00885F74"/>
    <w:rPr>
      <w:sz w:val="18"/>
      <w:szCs w:val="18"/>
    </w:rPr>
  </w:style>
  <w:style w:type="paragraph" w:styleId="a6">
    <w:name w:val="Normal (Web)"/>
    <w:basedOn w:val="a"/>
    <w:uiPriority w:val="99"/>
    <w:semiHidden/>
    <w:unhideWhenUsed/>
    <w:rsid w:val="00885F74"/>
    <w:rPr>
      <w:rFonts w:ascii="Times New Roman" w:hAnsi="Times New Roman" w:cs="Times New Roman"/>
      <w:sz w:val="24"/>
      <w:szCs w:val="24"/>
    </w:rPr>
  </w:style>
  <w:style w:type="paragraph" w:styleId="a9">
    <w:name w:val="List Paragraph"/>
    <w:basedOn w:val="a"/>
    <w:uiPriority w:val="34"/>
    <w:qFormat/>
    <w:rsid w:val="00885F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37</Pages>
  <Words>1741</Words>
  <Characters>9930</Characters>
  <Application>Microsoft Office Word</Application>
  <DocSecurity>0</DocSecurity>
  <Lines>82</Lines>
  <Paragraphs>23</Paragraphs>
  <ScaleCrop>false</ScaleCrop>
  <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QF</dc:creator>
  <cp:lastModifiedBy>QF</cp:lastModifiedBy>
  <cp:revision>2</cp:revision>
  <dcterms:created xsi:type="dcterms:W3CDTF">2024-07-29T06:54:00Z</dcterms:created>
  <dcterms:modified xsi:type="dcterms:W3CDTF">2024-07-29T07:50:00Z</dcterms:modified>
</cp:coreProperties>
</file>