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164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2"/>
          <w:sz w:val="44"/>
          <w:szCs w:val="44"/>
          <w:lang w:val="en-US" w:eastAsia="zh-CN"/>
        </w:rPr>
      </w:pPr>
      <w:r>
        <w:rPr>
          <w:rFonts w:hint="eastAsia" w:ascii="Times New Roman" w:hAnsi="Times New Roman" w:eastAsia="方正小标宋简体" w:cs="Times New Roman"/>
          <w:color w:val="000000"/>
          <w:kern w:val="2"/>
          <w:sz w:val="44"/>
          <w:szCs w:val="44"/>
          <w:lang w:val="en-US" w:eastAsia="zh-CN"/>
        </w:rPr>
        <w:t>2024年新北区</w:t>
      </w:r>
      <w:r>
        <w:rPr>
          <w:rFonts w:hint="eastAsia" w:ascii="Times New Roman" w:eastAsia="方正小标宋简体" w:cs="Times New Roman"/>
          <w:color w:val="000000"/>
          <w:kern w:val="2"/>
          <w:sz w:val="44"/>
          <w:szCs w:val="44"/>
          <w:lang w:val="en-US" w:eastAsia="zh-CN"/>
        </w:rPr>
        <w:t>消防</w:t>
      </w:r>
      <w:r>
        <w:rPr>
          <w:rFonts w:hint="eastAsia" w:ascii="Times New Roman" w:hAnsi="Times New Roman" w:eastAsia="方正小标宋简体" w:cs="Times New Roman"/>
          <w:color w:val="000000"/>
          <w:kern w:val="2"/>
          <w:sz w:val="44"/>
          <w:szCs w:val="44"/>
          <w:lang w:val="en-US" w:eastAsia="zh-CN"/>
        </w:rPr>
        <w:t>产品质量监督抽查分析报告</w:t>
      </w:r>
    </w:p>
    <w:p w14:paraId="1FBB5B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bidi="ar-SA"/>
        </w:rPr>
      </w:pPr>
    </w:p>
    <w:p w14:paraId="099D8E3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一、内容摘要</w:t>
      </w:r>
    </w:p>
    <w:p w14:paraId="7C659F6E">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依据常州国家高新技术产业开发区（新北区）市场监督管理局下达的2024年度产品质量监督检查委托书（编号：常高新市管质抽〔2024〕003号），2024年4月至7月，江苏省产品质量监督检验研究院消防与建设工程检测中心承担了消防产品区级专项监督抽查工作，产品包括手提式干粉灭火器和消防水带，样品来源为常州国家高新技术产业开发区（新北区）内的实体销售企业。本次任务计划抽查7批次，实际抽到7批次，抽到样率100%，无不合格，不合格发现率为0%。</w:t>
      </w:r>
    </w:p>
    <w:p w14:paraId="61A23BCA">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宋体"/>
          <w:sz w:val="32"/>
          <w:szCs w:val="32"/>
        </w:rPr>
      </w:pPr>
      <w:r>
        <w:rPr>
          <w:rFonts w:hint="eastAsia" w:ascii="黑体" w:hAnsi="黑体" w:eastAsia="黑体" w:cs="宋体"/>
          <w:sz w:val="32"/>
          <w:szCs w:val="32"/>
        </w:rPr>
        <w:t>二、产品和产业概况</w:t>
      </w:r>
    </w:p>
    <w:p w14:paraId="27DCA5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（一）产品概况</w:t>
      </w:r>
    </w:p>
    <w:p w14:paraId="56D54983">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1、手提式干粉灭火器</w:t>
      </w:r>
    </w:p>
    <w:p w14:paraId="4F720214">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手提式灭火器是扑救初期火灾的重要消防器材，是一种量大面广的群众性的消防工具。手提式灭火器使用方法简单且应用广泛，在商场、交通工具、民用住宅等各类场所均有配备，发生火灾时它能有效控制初期火灾的发展与蔓延，随着社会防火意识的提高，手提式灭火器已成为单位和家庭必备的灭火器材之一。</w:t>
      </w:r>
    </w:p>
    <w:p w14:paraId="63C68AC9">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手提式灭火器按充装的灭火剂类别分为水基型灭火器、干粉型灭火器、二氧化碳灭火器和洁净气体灭火器。水基型灭火器的灭火剂包括洁净水或带添加剂的水，如润湿剂、增稠剂、阻燃剂或发泡剂等。干粉型灭火器分为普通干粉灭火器和超细干粉灭火器。洁净气体灭火器的灭火剂包括七氟丙烷、六氟丙烷等。不同类型的灭火器适用的场合不同，所适用扑救的火灾类型也不同。火灾类型分为A类火（固体有机物质燃烧的火）、B类火（液体或可熔化固体燃烧的火）、C类火（气体燃烧的火）、D类火（金属燃烧的火，如镁合金）、E类火（燃烧时物质带电的火）和F类火（由易燃的油脂类物质引起的火，如植物油、动物油），灭火器的铭牌上会标有灭火器所适用扑救的火灾类型。目前，市场上流通销售最广泛的也是日常生活中最常见的是手提式干粉灭火器。</w:t>
      </w:r>
    </w:p>
    <w:p w14:paraId="52C732D6">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2、消防水带</w:t>
      </w:r>
    </w:p>
    <w:p w14:paraId="3EF61236">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消防水带是用来输送高压水或泡沫等阻燃液体的软管，通常是指由经纬线编织的筒状织物层和衬里（或覆盖层）通过蒸汽硫化或胶粘剂组合而成的一定长度的柔软可盘卷的圆形或扁平管状体。消防水带基本结构包含织物层、衬里、涂层、覆盖层和胶粘层5个部分，织物层为水带提供耐高压和耐磨性能，保证了水或其他液体能畅通输送，涂层或覆盖层对织物层和衬里起保护作用，胶粘层使织物层、衬里和覆盖层牢牢地组成一个整体。消防水带通过输送水或泡沫等阻燃液体，以达到扑灭初起火灾的作用，是保护人身和国家财产安全的重要消防器具。</w:t>
      </w:r>
    </w:p>
    <w:p w14:paraId="01256C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（二）产业概况</w:t>
      </w:r>
    </w:p>
    <w:p w14:paraId="13C4E2C9">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1、手提式干粉灭火器</w:t>
      </w:r>
    </w:p>
    <w:p w14:paraId="033CF664">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我国目前生产手提式灭火器的企业有407家，分布在全国的28省（自治区、直辖市）中，生产企业数量排名靠前的地区有浙江、江苏、广东、山东、福建、河南。江苏省手提式灭火器生产企业数为47家，其中大部分是主营手提式干粉灭火器的生产企业，有34家，除盐城、无锡、苏州、宿迁四市，其余地市都有分布；常州国家高新技术产业开发区目前尚无手提式干粉灭火器生产企业。</w:t>
      </w:r>
    </w:p>
    <w:p w14:paraId="54C5103D">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2、消防水带</w:t>
      </w:r>
    </w:p>
    <w:p w14:paraId="270CD5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我国消防水带的生产企业约为180家，主要分布在江苏省和福建省，分别约占全国数量的49.4%和18.7%。江苏省共有消防水带生产企业数89家，分布在泰州、扬州、南通、淮安、徐州，其中泰州和扬州是消防水带产品的产业集中地，分别占江苏省数量的48.7%和42.1%。</w:t>
      </w:r>
    </w:p>
    <w:p w14:paraId="283AA79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、检验检测概况</w:t>
      </w:r>
    </w:p>
    <w:p w14:paraId="6D3B94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32"/>
          <w:lang w:val="zh-CN" w:eastAsia="zh-CN"/>
        </w:rPr>
      </w:pPr>
      <w:r>
        <w:rPr>
          <w:rFonts w:hint="eastAsia" w:ascii="楷体" w:hAnsi="楷体" w:eastAsia="楷体" w:cs="楷体"/>
          <w:b w:val="0"/>
          <w:bCs w:val="0"/>
          <w:kern w:val="2"/>
          <w:sz w:val="32"/>
          <w:szCs w:val="32"/>
          <w:lang w:val="zh-CN" w:eastAsia="zh-CN"/>
        </w:rPr>
        <w:t>（一）检验检测项目概况</w:t>
      </w:r>
    </w:p>
    <w:p w14:paraId="21CA8953">
      <w:pPr>
        <w:pStyle w:val="5"/>
        <w:keepNext w:val="0"/>
        <w:keepLines w:val="0"/>
        <w:pageBreakBefore w:val="0"/>
        <w:widowControl w:val="0"/>
        <w:kinsoku/>
        <w:wordWrap/>
        <w:overflowPunct/>
        <w:topLinePunct w:val="0"/>
        <w:bidi w:val="0"/>
        <w:spacing w:line="560" w:lineRule="exact"/>
        <w:ind w:lef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本次消防产品质量监督抽查检验项目及依据详见表1。</w:t>
      </w:r>
    </w:p>
    <w:p w14:paraId="720301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表1 检验检测项目及依据</w:t>
      </w:r>
    </w:p>
    <w:tbl>
      <w:tblPr>
        <w:tblStyle w:val="8"/>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299"/>
        <w:gridCol w:w="1984"/>
        <w:gridCol w:w="1418"/>
        <w:gridCol w:w="1701"/>
        <w:gridCol w:w="1007"/>
      </w:tblGrid>
      <w:tr w14:paraId="500D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074" w:type="dxa"/>
            <w:vAlign w:val="center"/>
          </w:tcPr>
          <w:p w14:paraId="784C4FFF">
            <w:pPr>
              <w:snapToGrid w:val="0"/>
              <w:spacing w:line="360" w:lineRule="auto"/>
              <w:jc w:val="center"/>
              <w:rPr>
                <w:rFonts w:ascii="宋体" w:hAnsi="宋体"/>
                <w:sz w:val="24"/>
              </w:rPr>
            </w:pPr>
            <w:r>
              <w:rPr>
                <w:rFonts w:hint="eastAsia" w:ascii="宋体" w:hAnsi="宋体"/>
                <w:sz w:val="24"/>
              </w:rPr>
              <w:t>产品</w:t>
            </w:r>
          </w:p>
          <w:p w14:paraId="22A5E8A4">
            <w:pPr>
              <w:snapToGrid w:val="0"/>
              <w:spacing w:line="360" w:lineRule="auto"/>
              <w:jc w:val="center"/>
              <w:rPr>
                <w:rFonts w:ascii="宋体" w:hAnsi="宋体"/>
                <w:sz w:val="24"/>
              </w:rPr>
            </w:pPr>
            <w:r>
              <w:rPr>
                <w:rFonts w:hint="eastAsia" w:ascii="宋体" w:hAnsi="宋体"/>
                <w:sz w:val="24"/>
              </w:rPr>
              <w:t>类别</w:t>
            </w:r>
          </w:p>
        </w:tc>
        <w:tc>
          <w:tcPr>
            <w:tcW w:w="3283" w:type="dxa"/>
            <w:gridSpan w:val="2"/>
            <w:vAlign w:val="center"/>
          </w:tcPr>
          <w:p w14:paraId="51DAB0EC">
            <w:pPr>
              <w:snapToGrid w:val="0"/>
              <w:spacing w:line="360" w:lineRule="auto"/>
              <w:jc w:val="center"/>
              <w:rPr>
                <w:rFonts w:ascii="宋体" w:hAnsi="宋体"/>
                <w:sz w:val="24"/>
              </w:rPr>
            </w:pPr>
            <w:r>
              <w:rPr>
                <w:rFonts w:hint="eastAsia" w:ascii="宋体" w:hAnsi="宋体"/>
                <w:sz w:val="24"/>
              </w:rPr>
              <w:t>检验检测项目</w:t>
            </w:r>
          </w:p>
        </w:tc>
        <w:tc>
          <w:tcPr>
            <w:tcW w:w="1418" w:type="dxa"/>
            <w:vAlign w:val="center"/>
          </w:tcPr>
          <w:p w14:paraId="4DC2234D">
            <w:pPr>
              <w:snapToGrid w:val="0"/>
              <w:spacing w:line="360" w:lineRule="auto"/>
              <w:jc w:val="center"/>
              <w:rPr>
                <w:rFonts w:ascii="宋体" w:hAnsi="宋体"/>
                <w:sz w:val="24"/>
              </w:rPr>
            </w:pPr>
            <w:r>
              <w:rPr>
                <w:rFonts w:hint="eastAsia" w:ascii="宋体" w:hAnsi="宋体"/>
                <w:sz w:val="24"/>
              </w:rPr>
              <w:t>检验检测依据</w:t>
            </w:r>
          </w:p>
        </w:tc>
        <w:tc>
          <w:tcPr>
            <w:tcW w:w="1701" w:type="dxa"/>
            <w:vAlign w:val="center"/>
          </w:tcPr>
          <w:p w14:paraId="2BD12B73">
            <w:pPr>
              <w:snapToGrid w:val="0"/>
              <w:spacing w:line="360" w:lineRule="auto"/>
              <w:jc w:val="center"/>
              <w:rPr>
                <w:rFonts w:ascii="宋体" w:hAnsi="宋体"/>
                <w:sz w:val="24"/>
              </w:rPr>
            </w:pPr>
            <w:r>
              <w:rPr>
                <w:rFonts w:hint="eastAsia" w:ascii="宋体" w:hAnsi="宋体"/>
                <w:sz w:val="24"/>
              </w:rPr>
              <w:t>检验检测方法名称</w:t>
            </w:r>
          </w:p>
        </w:tc>
        <w:tc>
          <w:tcPr>
            <w:tcW w:w="1007" w:type="dxa"/>
            <w:vAlign w:val="center"/>
          </w:tcPr>
          <w:p w14:paraId="127C9287">
            <w:pPr>
              <w:snapToGrid w:val="0"/>
              <w:spacing w:line="360" w:lineRule="auto"/>
              <w:jc w:val="center"/>
              <w:rPr>
                <w:rFonts w:ascii="宋体" w:hAnsi="宋体"/>
                <w:sz w:val="24"/>
              </w:rPr>
            </w:pPr>
            <w:r>
              <w:rPr>
                <w:rFonts w:hint="eastAsia" w:ascii="宋体" w:hAnsi="宋体"/>
                <w:sz w:val="24"/>
              </w:rPr>
              <w:t>备注</w:t>
            </w:r>
          </w:p>
        </w:tc>
      </w:tr>
      <w:tr w14:paraId="0E0B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vAlign w:val="center"/>
          </w:tcPr>
          <w:p w14:paraId="43D2CEAD">
            <w:pPr>
              <w:snapToGrid w:val="0"/>
              <w:spacing w:line="360" w:lineRule="auto"/>
              <w:jc w:val="center"/>
              <w:rPr>
                <w:rFonts w:ascii="宋体" w:hAnsi="宋体"/>
                <w:sz w:val="24"/>
              </w:rPr>
            </w:pPr>
            <w:r>
              <w:rPr>
                <w:rFonts w:hint="eastAsia" w:ascii="宋体" w:hAnsi="宋体"/>
                <w:sz w:val="24"/>
              </w:rPr>
              <w:t>手提式干粉灭火器</w:t>
            </w:r>
          </w:p>
        </w:tc>
        <w:tc>
          <w:tcPr>
            <w:tcW w:w="3283" w:type="dxa"/>
            <w:gridSpan w:val="2"/>
            <w:vAlign w:val="center"/>
          </w:tcPr>
          <w:p w14:paraId="094FA66E">
            <w:pPr>
              <w:snapToGrid w:val="0"/>
              <w:spacing w:line="360" w:lineRule="auto"/>
              <w:jc w:val="center"/>
              <w:rPr>
                <w:rFonts w:ascii="宋体" w:hAnsi="宋体"/>
                <w:sz w:val="24"/>
              </w:rPr>
            </w:pPr>
            <w:r>
              <w:rPr>
                <w:rFonts w:hint="eastAsia" w:ascii="宋体" w:hAnsi="宋体"/>
                <w:sz w:val="24"/>
              </w:rPr>
              <w:t>20℃喷射性能</w:t>
            </w:r>
          </w:p>
        </w:tc>
        <w:tc>
          <w:tcPr>
            <w:tcW w:w="1418" w:type="dxa"/>
            <w:vMerge w:val="restart"/>
            <w:vAlign w:val="center"/>
          </w:tcPr>
          <w:p w14:paraId="4FB08CCC">
            <w:pPr>
              <w:snapToGrid w:val="0"/>
              <w:spacing w:line="360" w:lineRule="auto"/>
              <w:jc w:val="center"/>
              <w:rPr>
                <w:rFonts w:ascii="宋体" w:hAnsi="宋体"/>
                <w:sz w:val="24"/>
              </w:rPr>
            </w:pPr>
            <w:r>
              <w:rPr>
                <w:rFonts w:hint="eastAsia" w:ascii="宋体" w:hAnsi="宋体"/>
                <w:sz w:val="24"/>
              </w:rPr>
              <w:t>GB 4351.1 -2005</w:t>
            </w:r>
          </w:p>
        </w:tc>
        <w:tc>
          <w:tcPr>
            <w:tcW w:w="1701" w:type="dxa"/>
            <w:vMerge w:val="restart"/>
            <w:vAlign w:val="center"/>
          </w:tcPr>
          <w:p w14:paraId="431648D9">
            <w:pPr>
              <w:snapToGrid w:val="0"/>
              <w:spacing w:line="360" w:lineRule="auto"/>
              <w:jc w:val="center"/>
              <w:rPr>
                <w:rFonts w:ascii="宋体" w:hAnsi="宋体"/>
                <w:sz w:val="24"/>
              </w:rPr>
            </w:pPr>
            <w:r>
              <w:rPr>
                <w:rFonts w:hint="eastAsia" w:ascii="宋体" w:hAnsi="宋体"/>
                <w:sz w:val="24"/>
              </w:rPr>
              <w:t>GB 4351.1 -2005</w:t>
            </w:r>
          </w:p>
        </w:tc>
        <w:tc>
          <w:tcPr>
            <w:tcW w:w="1007" w:type="dxa"/>
            <w:vAlign w:val="center"/>
          </w:tcPr>
          <w:p w14:paraId="48F58566">
            <w:pPr>
              <w:snapToGrid w:val="0"/>
              <w:spacing w:line="360" w:lineRule="auto"/>
              <w:jc w:val="center"/>
              <w:rPr>
                <w:rFonts w:ascii="宋体" w:hAnsi="宋体"/>
                <w:sz w:val="24"/>
              </w:rPr>
            </w:pPr>
            <w:r>
              <w:rPr>
                <w:rFonts w:hint="eastAsia" w:ascii="宋体" w:hAnsi="宋体"/>
                <w:sz w:val="24"/>
              </w:rPr>
              <w:t>/</w:t>
            </w:r>
          </w:p>
        </w:tc>
      </w:tr>
      <w:tr w14:paraId="5D25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66AF3DC7">
            <w:pPr>
              <w:snapToGrid w:val="0"/>
              <w:spacing w:line="360" w:lineRule="auto"/>
              <w:jc w:val="center"/>
              <w:rPr>
                <w:rFonts w:ascii="宋体" w:hAnsi="宋体"/>
                <w:sz w:val="24"/>
              </w:rPr>
            </w:pPr>
          </w:p>
        </w:tc>
        <w:tc>
          <w:tcPr>
            <w:tcW w:w="3283" w:type="dxa"/>
            <w:gridSpan w:val="2"/>
            <w:vAlign w:val="center"/>
          </w:tcPr>
          <w:p w14:paraId="6BE1E983">
            <w:pPr>
              <w:snapToGrid w:val="0"/>
              <w:spacing w:line="360" w:lineRule="auto"/>
              <w:jc w:val="center"/>
              <w:rPr>
                <w:rFonts w:ascii="宋体" w:hAnsi="宋体"/>
                <w:sz w:val="24"/>
              </w:rPr>
            </w:pPr>
            <w:r>
              <w:rPr>
                <w:rFonts w:hint="eastAsia" w:ascii="宋体" w:hAnsi="宋体"/>
                <w:sz w:val="24"/>
              </w:rPr>
              <w:t>质量</w:t>
            </w:r>
          </w:p>
        </w:tc>
        <w:tc>
          <w:tcPr>
            <w:tcW w:w="1418" w:type="dxa"/>
            <w:vMerge w:val="continue"/>
            <w:vAlign w:val="center"/>
          </w:tcPr>
          <w:p w14:paraId="54C827D9">
            <w:pPr>
              <w:snapToGrid w:val="0"/>
              <w:spacing w:line="360" w:lineRule="auto"/>
              <w:jc w:val="center"/>
              <w:rPr>
                <w:rFonts w:ascii="宋体" w:hAnsi="宋体"/>
                <w:sz w:val="24"/>
              </w:rPr>
            </w:pPr>
          </w:p>
        </w:tc>
        <w:tc>
          <w:tcPr>
            <w:tcW w:w="1701" w:type="dxa"/>
            <w:vMerge w:val="continue"/>
            <w:vAlign w:val="center"/>
          </w:tcPr>
          <w:p w14:paraId="1DAD80FB">
            <w:pPr>
              <w:snapToGrid w:val="0"/>
              <w:spacing w:line="360" w:lineRule="auto"/>
              <w:jc w:val="center"/>
              <w:rPr>
                <w:rFonts w:ascii="宋体" w:hAnsi="宋体"/>
                <w:sz w:val="24"/>
              </w:rPr>
            </w:pPr>
          </w:p>
        </w:tc>
        <w:tc>
          <w:tcPr>
            <w:tcW w:w="1007" w:type="dxa"/>
            <w:vAlign w:val="center"/>
          </w:tcPr>
          <w:p w14:paraId="2439EC29">
            <w:pPr>
              <w:snapToGrid w:val="0"/>
              <w:spacing w:line="360" w:lineRule="auto"/>
              <w:jc w:val="center"/>
              <w:rPr>
                <w:rFonts w:ascii="宋体" w:hAnsi="宋体"/>
                <w:sz w:val="24"/>
              </w:rPr>
            </w:pPr>
            <w:r>
              <w:rPr>
                <w:rFonts w:hint="eastAsia" w:ascii="宋体" w:hAnsi="宋体"/>
                <w:sz w:val="24"/>
              </w:rPr>
              <w:t>/</w:t>
            </w:r>
          </w:p>
        </w:tc>
      </w:tr>
      <w:tr w14:paraId="2B0B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084EF471">
            <w:pPr>
              <w:snapToGrid w:val="0"/>
              <w:spacing w:line="360" w:lineRule="auto"/>
              <w:jc w:val="center"/>
              <w:rPr>
                <w:rFonts w:ascii="宋体" w:hAnsi="宋体"/>
                <w:sz w:val="24"/>
              </w:rPr>
            </w:pPr>
          </w:p>
        </w:tc>
        <w:tc>
          <w:tcPr>
            <w:tcW w:w="3283" w:type="dxa"/>
            <w:gridSpan w:val="2"/>
            <w:vAlign w:val="center"/>
          </w:tcPr>
          <w:p w14:paraId="58045151">
            <w:pPr>
              <w:snapToGrid w:val="0"/>
              <w:spacing w:line="360" w:lineRule="auto"/>
              <w:jc w:val="center"/>
              <w:rPr>
                <w:rFonts w:ascii="宋体" w:hAnsi="宋体"/>
                <w:sz w:val="24"/>
              </w:rPr>
            </w:pPr>
            <w:r>
              <w:rPr>
                <w:rFonts w:hint="eastAsia" w:ascii="宋体" w:hAnsi="宋体"/>
                <w:sz w:val="24"/>
              </w:rPr>
              <w:t>筒体水压试验</w:t>
            </w:r>
          </w:p>
        </w:tc>
        <w:tc>
          <w:tcPr>
            <w:tcW w:w="1418" w:type="dxa"/>
            <w:vMerge w:val="continue"/>
            <w:vAlign w:val="center"/>
          </w:tcPr>
          <w:p w14:paraId="38B06818">
            <w:pPr>
              <w:snapToGrid w:val="0"/>
              <w:spacing w:line="360" w:lineRule="auto"/>
              <w:jc w:val="center"/>
              <w:rPr>
                <w:rFonts w:ascii="宋体" w:hAnsi="宋体"/>
                <w:sz w:val="24"/>
              </w:rPr>
            </w:pPr>
          </w:p>
        </w:tc>
        <w:tc>
          <w:tcPr>
            <w:tcW w:w="1701" w:type="dxa"/>
            <w:vMerge w:val="continue"/>
            <w:vAlign w:val="center"/>
          </w:tcPr>
          <w:p w14:paraId="62962820">
            <w:pPr>
              <w:snapToGrid w:val="0"/>
              <w:spacing w:line="360" w:lineRule="auto"/>
              <w:jc w:val="center"/>
              <w:rPr>
                <w:rFonts w:ascii="宋体" w:hAnsi="宋体"/>
                <w:sz w:val="24"/>
              </w:rPr>
            </w:pPr>
          </w:p>
        </w:tc>
        <w:tc>
          <w:tcPr>
            <w:tcW w:w="1007" w:type="dxa"/>
            <w:vAlign w:val="center"/>
          </w:tcPr>
          <w:p w14:paraId="358E3170">
            <w:pPr>
              <w:snapToGrid w:val="0"/>
              <w:spacing w:line="360" w:lineRule="auto"/>
              <w:jc w:val="center"/>
              <w:rPr>
                <w:rFonts w:ascii="宋体" w:hAnsi="宋体"/>
                <w:sz w:val="24"/>
              </w:rPr>
            </w:pPr>
            <w:r>
              <w:rPr>
                <w:rFonts w:hint="eastAsia" w:ascii="宋体" w:hAnsi="宋体"/>
                <w:sz w:val="24"/>
              </w:rPr>
              <w:t>/</w:t>
            </w:r>
          </w:p>
        </w:tc>
      </w:tr>
      <w:tr w14:paraId="76AC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6D640683">
            <w:pPr>
              <w:snapToGrid w:val="0"/>
              <w:spacing w:line="360" w:lineRule="auto"/>
              <w:jc w:val="center"/>
              <w:rPr>
                <w:rFonts w:ascii="宋体" w:hAnsi="宋体"/>
                <w:sz w:val="24"/>
              </w:rPr>
            </w:pPr>
          </w:p>
        </w:tc>
        <w:tc>
          <w:tcPr>
            <w:tcW w:w="3283" w:type="dxa"/>
            <w:gridSpan w:val="2"/>
            <w:vAlign w:val="center"/>
          </w:tcPr>
          <w:p w14:paraId="315AB1AC">
            <w:pPr>
              <w:snapToGrid w:val="0"/>
              <w:spacing w:line="360" w:lineRule="auto"/>
              <w:jc w:val="center"/>
              <w:rPr>
                <w:rFonts w:ascii="宋体" w:hAnsi="宋体"/>
                <w:sz w:val="24"/>
              </w:rPr>
            </w:pPr>
            <w:r>
              <w:rPr>
                <w:rFonts w:hint="eastAsia" w:ascii="宋体" w:hAnsi="宋体"/>
                <w:sz w:val="24"/>
              </w:rPr>
              <w:t>爆破试验</w:t>
            </w:r>
          </w:p>
        </w:tc>
        <w:tc>
          <w:tcPr>
            <w:tcW w:w="1418" w:type="dxa"/>
            <w:vMerge w:val="continue"/>
            <w:vAlign w:val="center"/>
          </w:tcPr>
          <w:p w14:paraId="7F5EE47A">
            <w:pPr>
              <w:snapToGrid w:val="0"/>
              <w:spacing w:line="360" w:lineRule="auto"/>
              <w:jc w:val="center"/>
              <w:rPr>
                <w:rFonts w:ascii="宋体" w:hAnsi="宋体"/>
                <w:sz w:val="24"/>
              </w:rPr>
            </w:pPr>
          </w:p>
        </w:tc>
        <w:tc>
          <w:tcPr>
            <w:tcW w:w="1701" w:type="dxa"/>
            <w:vMerge w:val="continue"/>
            <w:vAlign w:val="center"/>
          </w:tcPr>
          <w:p w14:paraId="76702A15">
            <w:pPr>
              <w:snapToGrid w:val="0"/>
              <w:spacing w:line="360" w:lineRule="auto"/>
              <w:jc w:val="center"/>
              <w:rPr>
                <w:rFonts w:ascii="宋体" w:hAnsi="宋体"/>
                <w:sz w:val="24"/>
              </w:rPr>
            </w:pPr>
          </w:p>
        </w:tc>
        <w:tc>
          <w:tcPr>
            <w:tcW w:w="1007" w:type="dxa"/>
            <w:vAlign w:val="center"/>
          </w:tcPr>
          <w:p w14:paraId="480B5AF2">
            <w:pPr>
              <w:snapToGrid w:val="0"/>
              <w:spacing w:line="360" w:lineRule="auto"/>
              <w:jc w:val="center"/>
              <w:rPr>
                <w:rFonts w:ascii="宋体" w:hAnsi="宋体"/>
                <w:sz w:val="24"/>
              </w:rPr>
            </w:pPr>
            <w:r>
              <w:rPr>
                <w:rFonts w:hint="eastAsia" w:ascii="宋体" w:hAnsi="宋体"/>
                <w:sz w:val="24"/>
              </w:rPr>
              <w:t>/</w:t>
            </w:r>
          </w:p>
        </w:tc>
      </w:tr>
      <w:tr w14:paraId="45C8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5C100ECA">
            <w:pPr>
              <w:snapToGrid w:val="0"/>
              <w:spacing w:line="360" w:lineRule="auto"/>
              <w:jc w:val="center"/>
              <w:rPr>
                <w:rFonts w:ascii="宋体" w:hAnsi="宋体"/>
                <w:sz w:val="24"/>
              </w:rPr>
            </w:pPr>
          </w:p>
        </w:tc>
        <w:tc>
          <w:tcPr>
            <w:tcW w:w="3283" w:type="dxa"/>
            <w:gridSpan w:val="2"/>
            <w:vAlign w:val="center"/>
          </w:tcPr>
          <w:p w14:paraId="6F1431EC">
            <w:pPr>
              <w:snapToGrid w:val="0"/>
              <w:spacing w:line="360" w:lineRule="auto"/>
              <w:jc w:val="center"/>
              <w:rPr>
                <w:rFonts w:ascii="宋体" w:hAnsi="宋体"/>
                <w:sz w:val="24"/>
              </w:rPr>
            </w:pPr>
            <w:r>
              <w:rPr>
                <w:rFonts w:hint="eastAsia" w:ascii="宋体" w:hAnsi="宋体"/>
                <w:sz w:val="24"/>
              </w:rPr>
              <w:t>干粉灭火剂</w:t>
            </w:r>
          </w:p>
        </w:tc>
        <w:tc>
          <w:tcPr>
            <w:tcW w:w="1418" w:type="dxa"/>
            <w:vMerge w:val="continue"/>
            <w:vAlign w:val="center"/>
          </w:tcPr>
          <w:p w14:paraId="74CC2311">
            <w:pPr>
              <w:snapToGrid w:val="0"/>
              <w:spacing w:line="360" w:lineRule="auto"/>
              <w:jc w:val="center"/>
              <w:rPr>
                <w:rFonts w:ascii="宋体" w:hAnsi="宋体"/>
                <w:sz w:val="24"/>
              </w:rPr>
            </w:pPr>
          </w:p>
        </w:tc>
        <w:tc>
          <w:tcPr>
            <w:tcW w:w="1701" w:type="dxa"/>
            <w:vAlign w:val="center"/>
          </w:tcPr>
          <w:p w14:paraId="566A3896">
            <w:pPr>
              <w:snapToGrid w:val="0"/>
              <w:spacing w:line="360" w:lineRule="auto"/>
              <w:jc w:val="center"/>
              <w:rPr>
                <w:rFonts w:ascii="宋体" w:hAnsi="宋体"/>
                <w:sz w:val="24"/>
              </w:rPr>
            </w:pPr>
            <w:r>
              <w:rPr>
                <w:rFonts w:ascii="宋体" w:hAnsi="宋体"/>
                <w:sz w:val="24"/>
              </w:rPr>
              <w:t>GB4066-2017</w:t>
            </w:r>
          </w:p>
        </w:tc>
        <w:tc>
          <w:tcPr>
            <w:tcW w:w="1007" w:type="dxa"/>
            <w:vAlign w:val="center"/>
          </w:tcPr>
          <w:p w14:paraId="4409C49C">
            <w:pPr>
              <w:snapToGrid w:val="0"/>
              <w:spacing w:line="360" w:lineRule="auto"/>
              <w:jc w:val="center"/>
              <w:rPr>
                <w:rFonts w:ascii="宋体" w:hAnsi="宋体"/>
                <w:sz w:val="24"/>
              </w:rPr>
            </w:pPr>
            <w:r>
              <w:rPr>
                <w:rFonts w:hint="eastAsia" w:ascii="宋体" w:hAnsi="宋体"/>
                <w:sz w:val="24"/>
              </w:rPr>
              <w:t>/</w:t>
            </w:r>
          </w:p>
        </w:tc>
      </w:tr>
      <w:tr w14:paraId="6EF4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vAlign w:val="center"/>
          </w:tcPr>
          <w:p w14:paraId="3330A130">
            <w:pPr>
              <w:snapToGrid w:val="0"/>
              <w:spacing w:line="360" w:lineRule="auto"/>
              <w:jc w:val="center"/>
              <w:rPr>
                <w:rFonts w:ascii="宋体" w:hAnsi="宋体"/>
                <w:sz w:val="24"/>
              </w:rPr>
            </w:pPr>
            <w:r>
              <w:rPr>
                <w:rFonts w:hint="eastAsia" w:ascii="宋体" w:hAnsi="宋体"/>
                <w:sz w:val="24"/>
              </w:rPr>
              <w:t>消防</w:t>
            </w:r>
          </w:p>
          <w:p w14:paraId="6BA482F4">
            <w:pPr>
              <w:snapToGrid w:val="0"/>
              <w:spacing w:line="360" w:lineRule="auto"/>
              <w:jc w:val="center"/>
              <w:rPr>
                <w:rFonts w:ascii="宋体" w:hAnsi="宋体"/>
                <w:sz w:val="24"/>
              </w:rPr>
            </w:pPr>
            <w:r>
              <w:rPr>
                <w:rFonts w:hint="eastAsia" w:ascii="宋体" w:hAnsi="宋体"/>
                <w:sz w:val="24"/>
              </w:rPr>
              <w:t>水带</w:t>
            </w:r>
          </w:p>
        </w:tc>
        <w:tc>
          <w:tcPr>
            <w:tcW w:w="3283" w:type="dxa"/>
            <w:gridSpan w:val="2"/>
            <w:vAlign w:val="center"/>
          </w:tcPr>
          <w:p w14:paraId="2140C6A6">
            <w:pPr>
              <w:snapToGrid w:val="0"/>
              <w:spacing w:line="360" w:lineRule="auto"/>
              <w:jc w:val="center"/>
              <w:rPr>
                <w:rFonts w:ascii="宋体" w:hAnsi="宋体"/>
                <w:sz w:val="24"/>
              </w:rPr>
            </w:pPr>
            <w:r>
              <w:rPr>
                <w:rFonts w:hint="eastAsia" w:ascii="宋体" w:hAnsi="宋体"/>
                <w:sz w:val="24"/>
              </w:rPr>
              <w:t>水压试验</w:t>
            </w:r>
          </w:p>
        </w:tc>
        <w:tc>
          <w:tcPr>
            <w:tcW w:w="1418" w:type="dxa"/>
            <w:vMerge w:val="restart"/>
            <w:vAlign w:val="center"/>
          </w:tcPr>
          <w:p w14:paraId="4D119975">
            <w:pPr>
              <w:snapToGrid w:val="0"/>
              <w:spacing w:line="360" w:lineRule="auto"/>
              <w:jc w:val="center"/>
              <w:rPr>
                <w:rFonts w:ascii="宋体" w:hAnsi="宋体"/>
                <w:sz w:val="24"/>
              </w:rPr>
            </w:pPr>
            <w:r>
              <w:rPr>
                <w:rFonts w:hint="eastAsia" w:ascii="宋体" w:hAnsi="宋体"/>
                <w:sz w:val="24"/>
              </w:rPr>
              <w:t>GB 6246-2011</w:t>
            </w:r>
          </w:p>
        </w:tc>
        <w:tc>
          <w:tcPr>
            <w:tcW w:w="1701" w:type="dxa"/>
            <w:vMerge w:val="restart"/>
            <w:vAlign w:val="center"/>
          </w:tcPr>
          <w:p w14:paraId="3738FE76">
            <w:pPr>
              <w:snapToGrid w:val="0"/>
              <w:spacing w:line="360" w:lineRule="auto"/>
              <w:jc w:val="center"/>
              <w:rPr>
                <w:rFonts w:ascii="宋体" w:hAnsi="宋体"/>
                <w:sz w:val="24"/>
              </w:rPr>
            </w:pPr>
            <w:r>
              <w:rPr>
                <w:rFonts w:hint="eastAsia" w:ascii="宋体" w:hAnsi="宋体"/>
                <w:sz w:val="24"/>
              </w:rPr>
              <w:t>GB 6246-2011</w:t>
            </w:r>
          </w:p>
        </w:tc>
        <w:tc>
          <w:tcPr>
            <w:tcW w:w="1007" w:type="dxa"/>
            <w:vAlign w:val="center"/>
          </w:tcPr>
          <w:p w14:paraId="2086D05B">
            <w:pPr>
              <w:snapToGrid w:val="0"/>
              <w:spacing w:line="360" w:lineRule="auto"/>
              <w:jc w:val="center"/>
              <w:rPr>
                <w:rFonts w:ascii="宋体" w:hAnsi="宋体"/>
                <w:sz w:val="24"/>
              </w:rPr>
            </w:pPr>
            <w:r>
              <w:rPr>
                <w:rFonts w:hint="eastAsia" w:ascii="宋体" w:hAnsi="宋体"/>
                <w:sz w:val="24"/>
              </w:rPr>
              <w:t>/</w:t>
            </w:r>
          </w:p>
        </w:tc>
      </w:tr>
      <w:tr w14:paraId="4CCF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22609395">
            <w:pPr>
              <w:snapToGrid w:val="0"/>
              <w:spacing w:line="360" w:lineRule="auto"/>
              <w:jc w:val="center"/>
              <w:rPr>
                <w:rFonts w:ascii="宋体" w:hAnsi="宋体"/>
                <w:sz w:val="24"/>
              </w:rPr>
            </w:pPr>
          </w:p>
        </w:tc>
        <w:tc>
          <w:tcPr>
            <w:tcW w:w="3283" w:type="dxa"/>
            <w:gridSpan w:val="2"/>
            <w:vAlign w:val="center"/>
          </w:tcPr>
          <w:p w14:paraId="6E0A91AB">
            <w:pPr>
              <w:snapToGrid w:val="0"/>
              <w:spacing w:line="360" w:lineRule="auto"/>
              <w:jc w:val="center"/>
              <w:rPr>
                <w:rFonts w:ascii="宋体" w:hAnsi="宋体"/>
                <w:sz w:val="24"/>
              </w:rPr>
            </w:pPr>
            <w:r>
              <w:rPr>
                <w:rFonts w:hint="eastAsia" w:ascii="宋体" w:hAnsi="宋体"/>
                <w:sz w:val="24"/>
              </w:rPr>
              <w:t>爆破试验</w:t>
            </w:r>
          </w:p>
        </w:tc>
        <w:tc>
          <w:tcPr>
            <w:tcW w:w="1418" w:type="dxa"/>
            <w:vMerge w:val="continue"/>
            <w:vAlign w:val="center"/>
          </w:tcPr>
          <w:p w14:paraId="26834575">
            <w:pPr>
              <w:snapToGrid w:val="0"/>
              <w:spacing w:line="360" w:lineRule="auto"/>
              <w:jc w:val="center"/>
              <w:rPr>
                <w:rFonts w:ascii="宋体" w:hAnsi="宋体"/>
                <w:sz w:val="24"/>
              </w:rPr>
            </w:pPr>
          </w:p>
        </w:tc>
        <w:tc>
          <w:tcPr>
            <w:tcW w:w="1701" w:type="dxa"/>
            <w:vMerge w:val="continue"/>
            <w:vAlign w:val="center"/>
          </w:tcPr>
          <w:p w14:paraId="150C688E">
            <w:pPr>
              <w:snapToGrid w:val="0"/>
              <w:spacing w:line="360" w:lineRule="auto"/>
              <w:jc w:val="center"/>
              <w:rPr>
                <w:rFonts w:ascii="宋体" w:hAnsi="宋体"/>
                <w:sz w:val="24"/>
              </w:rPr>
            </w:pPr>
          </w:p>
        </w:tc>
        <w:tc>
          <w:tcPr>
            <w:tcW w:w="1007" w:type="dxa"/>
            <w:vAlign w:val="center"/>
          </w:tcPr>
          <w:p w14:paraId="1813DB44">
            <w:pPr>
              <w:snapToGrid w:val="0"/>
              <w:spacing w:line="360" w:lineRule="auto"/>
              <w:jc w:val="center"/>
              <w:rPr>
                <w:rFonts w:ascii="宋体" w:hAnsi="宋体"/>
                <w:sz w:val="24"/>
              </w:rPr>
            </w:pPr>
            <w:r>
              <w:rPr>
                <w:rFonts w:hint="eastAsia" w:ascii="宋体" w:hAnsi="宋体"/>
                <w:sz w:val="24"/>
              </w:rPr>
              <w:t>/</w:t>
            </w:r>
          </w:p>
        </w:tc>
      </w:tr>
      <w:tr w14:paraId="1615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50231F1F">
            <w:pPr>
              <w:snapToGrid w:val="0"/>
              <w:spacing w:line="360" w:lineRule="auto"/>
              <w:jc w:val="center"/>
              <w:rPr>
                <w:rFonts w:ascii="宋体" w:hAnsi="宋体"/>
                <w:sz w:val="24"/>
              </w:rPr>
            </w:pPr>
          </w:p>
        </w:tc>
        <w:tc>
          <w:tcPr>
            <w:tcW w:w="3283" w:type="dxa"/>
            <w:gridSpan w:val="2"/>
            <w:vAlign w:val="center"/>
          </w:tcPr>
          <w:p w14:paraId="6E6DBC67">
            <w:pPr>
              <w:snapToGrid w:val="0"/>
              <w:spacing w:line="360" w:lineRule="auto"/>
              <w:jc w:val="center"/>
              <w:rPr>
                <w:rFonts w:ascii="宋体" w:hAnsi="宋体"/>
                <w:sz w:val="24"/>
              </w:rPr>
            </w:pPr>
            <w:r>
              <w:rPr>
                <w:rFonts w:hint="eastAsia" w:ascii="宋体" w:hAnsi="宋体"/>
                <w:sz w:val="24"/>
              </w:rPr>
              <w:t>延伸率和膨胀率及扭转方向</w:t>
            </w:r>
          </w:p>
        </w:tc>
        <w:tc>
          <w:tcPr>
            <w:tcW w:w="1418" w:type="dxa"/>
            <w:vMerge w:val="continue"/>
            <w:vAlign w:val="center"/>
          </w:tcPr>
          <w:p w14:paraId="02E1BAF3">
            <w:pPr>
              <w:snapToGrid w:val="0"/>
              <w:spacing w:line="360" w:lineRule="auto"/>
              <w:jc w:val="center"/>
              <w:rPr>
                <w:rFonts w:ascii="宋体" w:hAnsi="宋体"/>
                <w:sz w:val="24"/>
              </w:rPr>
            </w:pPr>
          </w:p>
        </w:tc>
        <w:tc>
          <w:tcPr>
            <w:tcW w:w="1701" w:type="dxa"/>
            <w:vMerge w:val="continue"/>
            <w:vAlign w:val="center"/>
          </w:tcPr>
          <w:p w14:paraId="28CDB5C0">
            <w:pPr>
              <w:snapToGrid w:val="0"/>
              <w:spacing w:line="360" w:lineRule="auto"/>
              <w:jc w:val="center"/>
              <w:rPr>
                <w:rFonts w:ascii="宋体" w:hAnsi="宋体"/>
                <w:sz w:val="24"/>
              </w:rPr>
            </w:pPr>
          </w:p>
        </w:tc>
        <w:tc>
          <w:tcPr>
            <w:tcW w:w="1007" w:type="dxa"/>
            <w:vAlign w:val="center"/>
          </w:tcPr>
          <w:p w14:paraId="76C24670">
            <w:pPr>
              <w:snapToGrid w:val="0"/>
              <w:spacing w:line="360" w:lineRule="auto"/>
              <w:jc w:val="center"/>
              <w:rPr>
                <w:rFonts w:ascii="宋体" w:hAnsi="宋体"/>
                <w:sz w:val="24"/>
              </w:rPr>
            </w:pPr>
          </w:p>
        </w:tc>
      </w:tr>
      <w:tr w14:paraId="41FA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46DEFAE3">
            <w:pPr>
              <w:snapToGrid w:val="0"/>
              <w:spacing w:line="360" w:lineRule="auto"/>
              <w:jc w:val="center"/>
              <w:rPr>
                <w:rFonts w:ascii="宋体" w:hAnsi="宋体"/>
                <w:sz w:val="24"/>
              </w:rPr>
            </w:pPr>
          </w:p>
        </w:tc>
        <w:tc>
          <w:tcPr>
            <w:tcW w:w="3283" w:type="dxa"/>
            <w:gridSpan w:val="2"/>
            <w:vAlign w:val="center"/>
          </w:tcPr>
          <w:p w14:paraId="734BBC37">
            <w:pPr>
              <w:snapToGrid w:val="0"/>
              <w:spacing w:line="360" w:lineRule="auto"/>
              <w:jc w:val="center"/>
              <w:rPr>
                <w:rFonts w:ascii="宋体" w:hAnsi="宋体"/>
                <w:sz w:val="24"/>
              </w:rPr>
            </w:pPr>
            <w:r>
              <w:rPr>
                <w:rFonts w:hint="eastAsia" w:ascii="宋体" w:hAnsi="宋体"/>
                <w:sz w:val="24"/>
              </w:rPr>
              <w:t>黏附性</w:t>
            </w:r>
          </w:p>
        </w:tc>
        <w:tc>
          <w:tcPr>
            <w:tcW w:w="1418" w:type="dxa"/>
            <w:vMerge w:val="continue"/>
            <w:vAlign w:val="center"/>
          </w:tcPr>
          <w:p w14:paraId="3B807D72">
            <w:pPr>
              <w:snapToGrid w:val="0"/>
              <w:spacing w:line="360" w:lineRule="auto"/>
              <w:jc w:val="center"/>
              <w:rPr>
                <w:rFonts w:ascii="宋体" w:hAnsi="宋体"/>
                <w:sz w:val="24"/>
              </w:rPr>
            </w:pPr>
          </w:p>
        </w:tc>
        <w:tc>
          <w:tcPr>
            <w:tcW w:w="1701" w:type="dxa"/>
            <w:vMerge w:val="continue"/>
            <w:vAlign w:val="center"/>
          </w:tcPr>
          <w:p w14:paraId="4B5954CE">
            <w:pPr>
              <w:snapToGrid w:val="0"/>
              <w:spacing w:line="360" w:lineRule="auto"/>
              <w:jc w:val="center"/>
              <w:rPr>
                <w:rFonts w:ascii="宋体" w:hAnsi="宋体"/>
                <w:sz w:val="24"/>
              </w:rPr>
            </w:pPr>
          </w:p>
        </w:tc>
        <w:tc>
          <w:tcPr>
            <w:tcW w:w="1007" w:type="dxa"/>
            <w:vAlign w:val="center"/>
          </w:tcPr>
          <w:p w14:paraId="3D174D3C">
            <w:pPr>
              <w:snapToGrid w:val="0"/>
              <w:spacing w:line="360" w:lineRule="auto"/>
              <w:jc w:val="center"/>
              <w:rPr>
                <w:rFonts w:ascii="宋体" w:hAnsi="宋体"/>
                <w:sz w:val="24"/>
              </w:rPr>
            </w:pPr>
          </w:p>
        </w:tc>
      </w:tr>
      <w:tr w14:paraId="6099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4DBB538B">
            <w:pPr>
              <w:snapToGrid w:val="0"/>
              <w:spacing w:line="360" w:lineRule="auto"/>
              <w:jc w:val="center"/>
              <w:rPr>
                <w:rFonts w:ascii="宋体" w:hAnsi="宋体"/>
                <w:sz w:val="24"/>
              </w:rPr>
            </w:pPr>
          </w:p>
        </w:tc>
        <w:tc>
          <w:tcPr>
            <w:tcW w:w="3283" w:type="dxa"/>
            <w:gridSpan w:val="2"/>
            <w:vAlign w:val="center"/>
          </w:tcPr>
          <w:p w14:paraId="2680CFCB">
            <w:pPr>
              <w:snapToGrid w:val="0"/>
              <w:spacing w:line="360" w:lineRule="auto"/>
              <w:jc w:val="center"/>
              <w:rPr>
                <w:rFonts w:ascii="宋体" w:hAnsi="宋体"/>
                <w:sz w:val="24"/>
              </w:rPr>
            </w:pPr>
            <w:r>
              <w:rPr>
                <w:rFonts w:hint="eastAsia" w:ascii="宋体" w:hAnsi="宋体"/>
                <w:sz w:val="24"/>
              </w:rPr>
              <w:t>附着强度</w:t>
            </w:r>
          </w:p>
        </w:tc>
        <w:tc>
          <w:tcPr>
            <w:tcW w:w="1418" w:type="dxa"/>
            <w:vMerge w:val="continue"/>
            <w:vAlign w:val="center"/>
          </w:tcPr>
          <w:p w14:paraId="36B05F7C">
            <w:pPr>
              <w:snapToGrid w:val="0"/>
              <w:spacing w:line="360" w:lineRule="auto"/>
              <w:jc w:val="center"/>
              <w:rPr>
                <w:rFonts w:ascii="宋体" w:hAnsi="宋体"/>
                <w:sz w:val="24"/>
              </w:rPr>
            </w:pPr>
          </w:p>
        </w:tc>
        <w:tc>
          <w:tcPr>
            <w:tcW w:w="1701" w:type="dxa"/>
            <w:vMerge w:val="continue"/>
            <w:vAlign w:val="center"/>
          </w:tcPr>
          <w:p w14:paraId="274BEF7D">
            <w:pPr>
              <w:snapToGrid w:val="0"/>
              <w:spacing w:line="360" w:lineRule="auto"/>
              <w:jc w:val="center"/>
              <w:rPr>
                <w:rFonts w:ascii="宋体" w:hAnsi="宋体"/>
                <w:sz w:val="24"/>
              </w:rPr>
            </w:pPr>
          </w:p>
        </w:tc>
        <w:tc>
          <w:tcPr>
            <w:tcW w:w="1007" w:type="dxa"/>
            <w:vAlign w:val="center"/>
          </w:tcPr>
          <w:p w14:paraId="272F6747">
            <w:pPr>
              <w:snapToGrid w:val="0"/>
              <w:spacing w:line="360" w:lineRule="auto"/>
              <w:jc w:val="center"/>
              <w:rPr>
                <w:rFonts w:ascii="宋体" w:hAnsi="宋体"/>
                <w:sz w:val="24"/>
              </w:rPr>
            </w:pPr>
            <w:r>
              <w:rPr>
                <w:rFonts w:hint="eastAsia" w:ascii="宋体" w:hAnsi="宋体"/>
                <w:sz w:val="24"/>
              </w:rPr>
              <w:t>/</w:t>
            </w:r>
          </w:p>
        </w:tc>
      </w:tr>
      <w:tr w14:paraId="4D37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0831468D">
            <w:pPr>
              <w:snapToGrid w:val="0"/>
              <w:spacing w:line="360" w:lineRule="auto"/>
              <w:jc w:val="center"/>
              <w:rPr>
                <w:rFonts w:ascii="宋体" w:hAnsi="宋体"/>
                <w:sz w:val="24"/>
              </w:rPr>
            </w:pPr>
          </w:p>
        </w:tc>
        <w:tc>
          <w:tcPr>
            <w:tcW w:w="1299" w:type="dxa"/>
            <w:vMerge w:val="restart"/>
            <w:vAlign w:val="center"/>
          </w:tcPr>
          <w:p w14:paraId="656C3236">
            <w:pPr>
              <w:snapToGrid w:val="0"/>
              <w:spacing w:line="360" w:lineRule="auto"/>
              <w:jc w:val="center"/>
              <w:rPr>
                <w:rFonts w:ascii="宋体" w:hAnsi="宋体"/>
                <w:sz w:val="24"/>
              </w:rPr>
            </w:pPr>
            <w:r>
              <w:rPr>
                <w:rFonts w:hint="eastAsia" w:ascii="宋体" w:hAnsi="宋体"/>
                <w:sz w:val="24"/>
              </w:rPr>
              <w:t>衬里物理力学性能</w:t>
            </w:r>
          </w:p>
        </w:tc>
        <w:tc>
          <w:tcPr>
            <w:tcW w:w="1984" w:type="dxa"/>
            <w:vAlign w:val="center"/>
          </w:tcPr>
          <w:p w14:paraId="02CF3B28">
            <w:pPr>
              <w:snapToGrid w:val="0"/>
              <w:spacing w:line="360" w:lineRule="auto"/>
              <w:jc w:val="center"/>
              <w:rPr>
                <w:rFonts w:ascii="宋体" w:hAnsi="宋体"/>
                <w:sz w:val="24"/>
              </w:rPr>
            </w:pPr>
            <w:r>
              <w:rPr>
                <w:rFonts w:hint="eastAsia" w:ascii="宋体" w:hAnsi="宋体"/>
                <w:sz w:val="24"/>
              </w:rPr>
              <w:t>附着强度</w:t>
            </w:r>
          </w:p>
        </w:tc>
        <w:tc>
          <w:tcPr>
            <w:tcW w:w="1418" w:type="dxa"/>
            <w:vMerge w:val="continue"/>
            <w:vAlign w:val="center"/>
          </w:tcPr>
          <w:p w14:paraId="631D1278">
            <w:pPr>
              <w:snapToGrid w:val="0"/>
              <w:spacing w:line="360" w:lineRule="auto"/>
              <w:jc w:val="center"/>
              <w:rPr>
                <w:rFonts w:ascii="宋体" w:hAnsi="宋体"/>
                <w:sz w:val="24"/>
              </w:rPr>
            </w:pPr>
          </w:p>
        </w:tc>
        <w:tc>
          <w:tcPr>
            <w:tcW w:w="1701" w:type="dxa"/>
            <w:vMerge w:val="restart"/>
            <w:vAlign w:val="center"/>
          </w:tcPr>
          <w:p w14:paraId="6D5A747D">
            <w:pPr>
              <w:snapToGrid w:val="0"/>
              <w:spacing w:line="360" w:lineRule="auto"/>
              <w:jc w:val="center"/>
              <w:rPr>
                <w:rFonts w:ascii="宋体" w:hAnsi="宋体"/>
                <w:sz w:val="24"/>
              </w:rPr>
            </w:pPr>
            <w:r>
              <w:rPr>
                <w:rFonts w:hint="eastAsia" w:ascii="宋体" w:hAnsi="宋体"/>
                <w:sz w:val="24"/>
              </w:rPr>
              <w:t>GB 6246-2011</w:t>
            </w:r>
          </w:p>
          <w:p w14:paraId="4233C9A9">
            <w:pPr>
              <w:snapToGrid w:val="0"/>
              <w:spacing w:line="360" w:lineRule="auto"/>
              <w:jc w:val="center"/>
              <w:rPr>
                <w:rFonts w:ascii="宋体" w:hAnsi="宋体"/>
                <w:sz w:val="24"/>
              </w:rPr>
            </w:pPr>
            <w:r>
              <w:rPr>
                <w:rFonts w:hint="eastAsia" w:ascii="宋体" w:hAnsi="宋体"/>
                <w:sz w:val="24"/>
              </w:rPr>
              <w:t>GB/T 532-2008</w:t>
            </w:r>
          </w:p>
        </w:tc>
        <w:tc>
          <w:tcPr>
            <w:tcW w:w="1007" w:type="dxa"/>
            <w:vAlign w:val="center"/>
          </w:tcPr>
          <w:p w14:paraId="57CC21C0">
            <w:pPr>
              <w:snapToGrid w:val="0"/>
              <w:spacing w:line="360" w:lineRule="auto"/>
              <w:jc w:val="center"/>
              <w:rPr>
                <w:rFonts w:ascii="宋体" w:hAnsi="宋体"/>
                <w:sz w:val="24"/>
              </w:rPr>
            </w:pPr>
            <w:r>
              <w:rPr>
                <w:rFonts w:hint="eastAsia" w:ascii="宋体" w:hAnsi="宋体"/>
                <w:sz w:val="24"/>
              </w:rPr>
              <w:t>/</w:t>
            </w:r>
          </w:p>
        </w:tc>
      </w:tr>
      <w:tr w14:paraId="3E2B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14:paraId="687F4A09">
            <w:pPr>
              <w:snapToGrid w:val="0"/>
              <w:spacing w:line="360" w:lineRule="auto"/>
              <w:jc w:val="center"/>
              <w:rPr>
                <w:rFonts w:ascii="宋体" w:hAnsi="宋体"/>
                <w:sz w:val="24"/>
              </w:rPr>
            </w:pPr>
          </w:p>
        </w:tc>
        <w:tc>
          <w:tcPr>
            <w:tcW w:w="1299" w:type="dxa"/>
            <w:vMerge w:val="continue"/>
            <w:vAlign w:val="center"/>
          </w:tcPr>
          <w:p w14:paraId="76482A29">
            <w:pPr>
              <w:snapToGrid w:val="0"/>
              <w:spacing w:line="360" w:lineRule="auto"/>
              <w:jc w:val="center"/>
              <w:rPr>
                <w:rFonts w:ascii="宋体" w:hAnsi="宋体"/>
                <w:sz w:val="24"/>
              </w:rPr>
            </w:pPr>
          </w:p>
        </w:tc>
        <w:tc>
          <w:tcPr>
            <w:tcW w:w="1984" w:type="dxa"/>
            <w:vAlign w:val="center"/>
          </w:tcPr>
          <w:p w14:paraId="49866081">
            <w:pPr>
              <w:snapToGrid w:val="0"/>
              <w:spacing w:line="360" w:lineRule="auto"/>
              <w:jc w:val="center"/>
              <w:rPr>
                <w:rFonts w:ascii="宋体" w:hAnsi="宋体"/>
                <w:sz w:val="24"/>
              </w:rPr>
            </w:pPr>
            <w:r>
              <w:rPr>
                <w:rFonts w:hint="eastAsia" w:ascii="宋体" w:hAnsi="宋体"/>
                <w:sz w:val="24"/>
              </w:rPr>
              <w:t>热空气老化性能</w:t>
            </w:r>
          </w:p>
        </w:tc>
        <w:tc>
          <w:tcPr>
            <w:tcW w:w="1418" w:type="dxa"/>
            <w:vMerge w:val="continue"/>
            <w:vAlign w:val="center"/>
          </w:tcPr>
          <w:p w14:paraId="43310736">
            <w:pPr>
              <w:snapToGrid w:val="0"/>
              <w:spacing w:line="360" w:lineRule="auto"/>
              <w:jc w:val="center"/>
              <w:rPr>
                <w:rFonts w:ascii="宋体" w:hAnsi="宋体"/>
                <w:sz w:val="24"/>
              </w:rPr>
            </w:pPr>
          </w:p>
        </w:tc>
        <w:tc>
          <w:tcPr>
            <w:tcW w:w="1701" w:type="dxa"/>
            <w:vMerge w:val="continue"/>
            <w:vAlign w:val="center"/>
          </w:tcPr>
          <w:p w14:paraId="4AEE6DFF">
            <w:pPr>
              <w:snapToGrid w:val="0"/>
              <w:spacing w:line="360" w:lineRule="auto"/>
              <w:jc w:val="center"/>
              <w:rPr>
                <w:rFonts w:ascii="宋体" w:hAnsi="宋体"/>
                <w:sz w:val="24"/>
              </w:rPr>
            </w:pPr>
          </w:p>
        </w:tc>
        <w:tc>
          <w:tcPr>
            <w:tcW w:w="1007" w:type="dxa"/>
            <w:vAlign w:val="center"/>
          </w:tcPr>
          <w:p w14:paraId="37FE9F23">
            <w:pPr>
              <w:snapToGrid w:val="0"/>
              <w:spacing w:line="360" w:lineRule="auto"/>
              <w:jc w:val="center"/>
              <w:rPr>
                <w:rFonts w:ascii="宋体" w:hAnsi="宋体"/>
                <w:sz w:val="24"/>
              </w:rPr>
            </w:pPr>
            <w:r>
              <w:rPr>
                <w:rFonts w:hint="eastAsia" w:ascii="宋体" w:hAnsi="宋体"/>
                <w:sz w:val="24"/>
              </w:rPr>
              <w:t>/</w:t>
            </w:r>
          </w:p>
        </w:tc>
      </w:tr>
    </w:tbl>
    <w:p w14:paraId="31F79AC1">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宋体"/>
          <w:sz w:val="32"/>
          <w:szCs w:val="32"/>
        </w:rPr>
      </w:pPr>
      <w:r>
        <w:rPr>
          <w:rFonts w:hint="eastAsia" w:ascii="黑体" w:hAnsi="黑体" w:eastAsia="黑体" w:cs="宋体"/>
          <w:sz w:val="32"/>
          <w:szCs w:val="32"/>
        </w:rPr>
        <w:t>三、监督抽查结果分析</w:t>
      </w:r>
    </w:p>
    <w:p w14:paraId="02F89F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32"/>
          <w:lang w:val="zh-CN" w:eastAsia="zh-CN"/>
        </w:rPr>
      </w:pPr>
      <w:r>
        <w:rPr>
          <w:rFonts w:hint="eastAsia" w:ascii="楷体" w:hAnsi="楷体" w:eastAsia="楷体" w:cs="楷体"/>
          <w:b w:val="0"/>
          <w:bCs w:val="0"/>
          <w:kern w:val="2"/>
          <w:sz w:val="32"/>
          <w:szCs w:val="32"/>
          <w:lang w:val="zh-CN" w:eastAsia="zh-CN"/>
        </w:rPr>
        <w:t>（一）综合分析</w:t>
      </w:r>
    </w:p>
    <w:p w14:paraId="16F8A861">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本次消防产品质量监督抽查在实体店共抽查7批次，其中合格7批次，不合格发现率为0%。</w:t>
      </w:r>
    </w:p>
    <w:p w14:paraId="5C6061DD">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样品信息详见表2和图1所示。</w:t>
      </w:r>
    </w:p>
    <w:p w14:paraId="789736D8">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0" w:name="_GoBack"/>
      <w:bookmarkEnd w:id="0"/>
    </w:p>
    <w:p w14:paraId="5C1FFB52">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表2 不同样品类别统计表</w:t>
      </w:r>
    </w:p>
    <w:tbl>
      <w:tblPr>
        <w:tblStyle w:val="8"/>
        <w:tblW w:w="74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0"/>
        <w:gridCol w:w="1417"/>
        <w:gridCol w:w="1276"/>
        <w:gridCol w:w="2480"/>
      </w:tblGrid>
      <w:tr w14:paraId="7CDF5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300" w:type="dxa"/>
            <w:vAlign w:val="center"/>
          </w:tcPr>
          <w:p w14:paraId="51F9668F">
            <w:pPr>
              <w:pStyle w:val="10"/>
              <w:spacing w:before="0" w:line="360" w:lineRule="auto"/>
              <w:rPr>
                <w:rFonts w:ascii="Times New Roman" w:hAnsi="Times New Roman" w:cs="Times New Roman"/>
                <w:sz w:val="24"/>
                <w:szCs w:val="28"/>
              </w:rPr>
            </w:pPr>
            <w:r>
              <w:rPr>
                <w:rFonts w:hint="eastAsia" w:ascii="Times New Roman" w:hAnsi="Times New Roman" w:cs="Times New Roman"/>
                <w:sz w:val="24"/>
                <w:szCs w:val="28"/>
              </w:rPr>
              <w:t>产品名称</w:t>
            </w:r>
          </w:p>
        </w:tc>
        <w:tc>
          <w:tcPr>
            <w:tcW w:w="1417" w:type="dxa"/>
            <w:vAlign w:val="center"/>
          </w:tcPr>
          <w:p w14:paraId="67E059C2">
            <w:pPr>
              <w:pStyle w:val="10"/>
              <w:spacing w:before="0" w:line="360" w:lineRule="auto"/>
              <w:rPr>
                <w:rFonts w:ascii="Times New Roman" w:hAnsi="Times New Roman" w:cs="Times New Roman"/>
                <w:sz w:val="24"/>
                <w:szCs w:val="28"/>
              </w:rPr>
            </w:pPr>
            <w:r>
              <w:rPr>
                <w:rFonts w:ascii="Times New Roman" w:hAnsi="Times New Roman" w:cs="Times New Roman"/>
                <w:sz w:val="24"/>
                <w:szCs w:val="28"/>
              </w:rPr>
              <w:t>抽样批次</w:t>
            </w:r>
          </w:p>
        </w:tc>
        <w:tc>
          <w:tcPr>
            <w:tcW w:w="1276" w:type="dxa"/>
            <w:vAlign w:val="center"/>
          </w:tcPr>
          <w:p w14:paraId="24E05134">
            <w:pPr>
              <w:pStyle w:val="10"/>
              <w:spacing w:before="0" w:line="360" w:lineRule="auto"/>
              <w:rPr>
                <w:rFonts w:ascii="Times New Roman" w:hAnsi="Times New Roman" w:cs="Times New Roman"/>
                <w:sz w:val="24"/>
                <w:szCs w:val="28"/>
              </w:rPr>
            </w:pPr>
            <w:r>
              <w:rPr>
                <w:rFonts w:ascii="Times New Roman" w:hAnsi="Times New Roman" w:cs="Times New Roman"/>
                <w:sz w:val="24"/>
                <w:szCs w:val="28"/>
              </w:rPr>
              <w:t>合格批次</w:t>
            </w:r>
          </w:p>
        </w:tc>
        <w:tc>
          <w:tcPr>
            <w:tcW w:w="2480" w:type="dxa"/>
            <w:vAlign w:val="center"/>
          </w:tcPr>
          <w:p w14:paraId="4C97F6AE">
            <w:pPr>
              <w:pStyle w:val="10"/>
              <w:spacing w:before="0" w:line="360" w:lineRule="auto"/>
              <w:rPr>
                <w:rFonts w:ascii="Times New Roman" w:hAnsi="Times New Roman" w:cs="Times New Roman"/>
                <w:sz w:val="24"/>
                <w:szCs w:val="28"/>
              </w:rPr>
            </w:pPr>
            <w:r>
              <w:rPr>
                <w:rFonts w:hint="eastAsia" w:ascii="Times New Roman" w:hAnsi="Times New Roman" w:cs="Times New Roman"/>
                <w:sz w:val="24"/>
                <w:szCs w:val="28"/>
                <w:lang w:val="en-US"/>
              </w:rPr>
              <w:t>不合格发现率</w:t>
            </w:r>
            <w:r>
              <w:rPr>
                <w:rFonts w:ascii="Times New Roman" w:hAnsi="Times New Roman" w:cs="Times New Roman"/>
                <w:sz w:val="24"/>
                <w:szCs w:val="28"/>
              </w:rPr>
              <w:t>（%）</w:t>
            </w:r>
          </w:p>
        </w:tc>
      </w:tr>
      <w:tr w14:paraId="5EF8B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300" w:type="dxa"/>
            <w:vAlign w:val="center"/>
          </w:tcPr>
          <w:p w14:paraId="1E8B352C">
            <w:pPr>
              <w:pStyle w:val="10"/>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手提式干粉灭火器</w:t>
            </w:r>
          </w:p>
        </w:tc>
        <w:tc>
          <w:tcPr>
            <w:tcW w:w="1417" w:type="dxa"/>
            <w:vAlign w:val="center"/>
          </w:tcPr>
          <w:p w14:paraId="5D83930D">
            <w:pPr>
              <w:pStyle w:val="10"/>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5</w:t>
            </w:r>
          </w:p>
        </w:tc>
        <w:tc>
          <w:tcPr>
            <w:tcW w:w="1276" w:type="dxa"/>
            <w:vAlign w:val="center"/>
          </w:tcPr>
          <w:p w14:paraId="1BAD5129">
            <w:pPr>
              <w:pStyle w:val="10"/>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5</w:t>
            </w:r>
          </w:p>
        </w:tc>
        <w:tc>
          <w:tcPr>
            <w:tcW w:w="2480" w:type="dxa"/>
            <w:vAlign w:val="center"/>
          </w:tcPr>
          <w:p w14:paraId="630F59E6">
            <w:pPr>
              <w:pStyle w:val="10"/>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0</w:t>
            </w:r>
          </w:p>
        </w:tc>
      </w:tr>
      <w:tr w14:paraId="3B3EA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300" w:type="dxa"/>
            <w:vAlign w:val="center"/>
          </w:tcPr>
          <w:p w14:paraId="07477D82">
            <w:pPr>
              <w:pStyle w:val="10"/>
              <w:spacing w:before="0" w:line="360" w:lineRule="auto"/>
              <w:rPr>
                <w:rFonts w:ascii="Times New Roman" w:hAnsi="Times New Roman" w:cs="Times New Roman"/>
                <w:sz w:val="24"/>
                <w:szCs w:val="28"/>
              </w:rPr>
            </w:pPr>
            <w:r>
              <w:rPr>
                <w:rFonts w:hint="eastAsia" w:ascii="Times New Roman" w:hAnsi="Times New Roman" w:cs="Times New Roman"/>
                <w:sz w:val="24"/>
                <w:szCs w:val="28"/>
              </w:rPr>
              <w:t>消防水带</w:t>
            </w:r>
          </w:p>
        </w:tc>
        <w:tc>
          <w:tcPr>
            <w:tcW w:w="1417" w:type="dxa"/>
            <w:vAlign w:val="center"/>
          </w:tcPr>
          <w:p w14:paraId="5CA6A603">
            <w:pPr>
              <w:pStyle w:val="10"/>
              <w:spacing w:before="0" w:line="360" w:lineRule="auto"/>
              <w:rPr>
                <w:rFonts w:ascii="Times New Roman" w:hAnsi="Times New Roman" w:cs="Times New Roman"/>
                <w:sz w:val="24"/>
                <w:szCs w:val="28"/>
              </w:rPr>
            </w:pPr>
            <w:r>
              <w:rPr>
                <w:rFonts w:hint="eastAsia" w:ascii="Times New Roman" w:hAnsi="Times New Roman" w:cs="Times New Roman"/>
                <w:sz w:val="24"/>
                <w:szCs w:val="28"/>
              </w:rPr>
              <w:t>2</w:t>
            </w:r>
          </w:p>
        </w:tc>
        <w:tc>
          <w:tcPr>
            <w:tcW w:w="1276" w:type="dxa"/>
            <w:vAlign w:val="center"/>
          </w:tcPr>
          <w:p w14:paraId="003BAD5E">
            <w:pPr>
              <w:pStyle w:val="10"/>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2</w:t>
            </w:r>
          </w:p>
        </w:tc>
        <w:tc>
          <w:tcPr>
            <w:tcW w:w="2480" w:type="dxa"/>
            <w:vAlign w:val="center"/>
          </w:tcPr>
          <w:p w14:paraId="0C768E52">
            <w:pPr>
              <w:pStyle w:val="10"/>
              <w:spacing w:before="0" w:line="360" w:lineRule="auto"/>
              <w:rPr>
                <w:rFonts w:ascii="Times New Roman" w:hAnsi="Times New Roman" w:cs="Times New Roman"/>
                <w:sz w:val="24"/>
                <w:szCs w:val="28"/>
              </w:rPr>
            </w:pPr>
            <w:r>
              <w:rPr>
                <w:rFonts w:hint="eastAsia" w:ascii="Times New Roman" w:hAnsi="Times New Roman" w:cs="Times New Roman"/>
                <w:sz w:val="24"/>
                <w:szCs w:val="28"/>
              </w:rPr>
              <w:t>0</w:t>
            </w:r>
          </w:p>
        </w:tc>
      </w:tr>
    </w:tbl>
    <w:p w14:paraId="6DE05281">
      <w:pPr>
        <w:adjustRightInd w:val="0"/>
        <w:snapToGrid w:val="0"/>
        <w:spacing w:line="360" w:lineRule="auto"/>
        <w:jc w:val="center"/>
        <w:rPr>
          <w:sz w:val="28"/>
          <w:szCs w:val="28"/>
        </w:rPr>
      </w:pPr>
      <w:r>
        <w:rPr>
          <w:sz w:val="28"/>
          <w:szCs w:val="28"/>
        </w:rPr>
        <w:drawing>
          <wp:inline distT="0" distB="0" distL="0" distR="0">
            <wp:extent cx="4015105" cy="2583815"/>
            <wp:effectExtent l="0" t="0" r="4445"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1CA0CEF">
      <w:pPr>
        <w:adjustRightInd w:val="0"/>
        <w:snapToGrid w:val="0"/>
        <w:spacing w:line="360" w:lineRule="auto"/>
        <w:jc w:val="center"/>
        <w:rPr>
          <w:rFonts w:ascii="宋体" w:hAnsi="宋体" w:cs="宋体"/>
          <w:sz w:val="24"/>
          <w:szCs w:val="28"/>
        </w:rPr>
      </w:pPr>
      <w:r>
        <w:rPr>
          <w:rFonts w:hint="eastAsia" w:ascii="宋体" w:hAnsi="宋体" w:cs="宋体"/>
          <w:sz w:val="24"/>
          <w:szCs w:val="28"/>
        </w:rPr>
        <w:t>图1 抽样</w:t>
      </w:r>
      <w:r>
        <w:rPr>
          <w:rFonts w:hint="eastAsia"/>
          <w:sz w:val="24"/>
          <w:szCs w:val="28"/>
        </w:rPr>
        <w:t>不同样品占比</w:t>
      </w:r>
    </w:p>
    <w:p w14:paraId="4F5F0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32"/>
          <w:lang w:val="zh-CN" w:eastAsia="zh-CN"/>
        </w:rPr>
      </w:pPr>
      <w:r>
        <w:rPr>
          <w:rFonts w:hint="eastAsia" w:ascii="楷体" w:hAnsi="楷体" w:eastAsia="楷体" w:cs="楷体"/>
          <w:b w:val="0"/>
          <w:bCs w:val="0"/>
          <w:kern w:val="2"/>
          <w:sz w:val="32"/>
          <w:szCs w:val="32"/>
          <w:lang w:val="zh-CN" w:eastAsia="zh-CN"/>
        </w:rPr>
        <w:t>（二）检验检测项目分析</w:t>
      </w:r>
    </w:p>
    <w:p w14:paraId="0A98448E">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1、手提式干粉灭火器</w:t>
      </w:r>
    </w:p>
    <w:p w14:paraId="0E8AB7C2">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次监督抽查共抽查5批次，合格率为100%。近几年市场监管、应急管理等多部门对消防产品尤其是灭火器产品质量实施重点监管，多部门对生产销售使用假冒伪劣灭火器产品行为开展了严厉打击，灭火器产品质量水平有明显提高，产品质量形势良好。</w:t>
      </w:r>
    </w:p>
    <w:p w14:paraId="3BC73079">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该产品较易出现不合格的项目主要是干粉灭火剂主要组分含量（磷酸二氢铵）。干粉灭火剂的采购或生产成本占手提式干粉灭火器产品整体生产成本的近一半，使用价格低廉的不达标干粉灭火剂是违法企业获取非法利润的主要手段之一。2024年“3.15”晚会曝光的灭火器质量问题事件中也证实了这一现象，该项目也是灭火器产品监督抽查的“重灾区”。</w:t>
      </w:r>
    </w:p>
    <w:p w14:paraId="57A3596F">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通常情况下，出现灭火剂含量不合格的原因主要有两方面：一是生产企业为了提高利润，偷工减料，在生产过程中掺杂其他廉价成分粉剂，降低磷酸二氢铵的含量；二是干粉灭火剂厂家供应含量不达标的粉剂给灭火器厂家，灭火器厂家未进行严格的进货检验，导致使用的粉剂成分与标称不符。</w:t>
      </w:r>
    </w:p>
    <w:p w14:paraId="30AACA92">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2、消防水带</w:t>
      </w:r>
    </w:p>
    <w:p w14:paraId="232A1550">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本次监督抽查共抽查2批次消防水带，合格率100%，从以往的抽查结果看，该产品的合格率仍然不高，建议后续持续关注。</w:t>
      </w:r>
    </w:p>
    <w:p w14:paraId="20806279">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消防水带产品最易出现不合格的项目是附着强度。附着强度项目主要是考核消防水带的编织层和衬里之间的附着力，附着强度项目不合格，会导致消防水带的承压能力不足，影响实际火灾救援工作。</w:t>
      </w:r>
    </w:p>
    <w:p w14:paraId="784E8F93">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着强度出现不合格的原因主要是水带编织层和衬里之间附着力不足，而影响附着力不足的因素一般包括：a）编织层与衬里材料结合在一起时，采用的温度多为170℃～200℃。企业生产线简陋，设备陈旧，缺少必须的计量检测器具，对温度以及粘合所用胶类控制能力差；b）生产企业对施胶过程控制不严，如施胶不均匀或施胶量不符合要求、胶水类别或型号不正确、胶水质量不合格等；d）消防水带胶粘过程控制不能达到工艺要求，如胶粘时间不够、粘合温度或压力达不到工艺要求等。</w:t>
      </w:r>
    </w:p>
    <w:p w14:paraId="78E6EF83">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目前该产品主要衬里材质为聚氨酯，该材质经过多年的市场验证，证明其质量的稳定性和可靠性，并且生产厂家通过多年的经验累积，已经掌握了稳定可靠的生产加工技艺，并且形成质量手册以持续控制。而近两年可以见到消防水带衬里材质越来越多厂家使用了“合成橡胶”这个新材料，产品的更新往往需要经过多次长久的验证，生产工艺的逐渐更新以匹配新材料的化学性能，对于“合成橡胶”型的水带产品质量还仍需持续关注，本次消防水带的衬里材质就均为合成橡胶。</w:t>
      </w:r>
    </w:p>
    <w:p w14:paraId="09317BBA">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、消费提示</w:t>
      </w:r>
    </w:p>
    <w:p w14:paraId="4A6443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kern w:val="2"/>
          <w:sz w:val="32"/>
          <w:szCs w:val="32"/>
          <w:lang w:val="zh-CN" w:eastAsia="zh-CN"/>
        </w:rPr>
      </w:pPr>
      <w:r>
        <w:rPr>
          <w:rFonts w:hint="eastAsia" w:ascii="楷体" w:hAnsi="楷体" w:eastAsia="楷体" w:cs="楷体"/>
          <w:b w:val="0"/>
          <w:bCs w:val="0"/>
          <w:kern w:val="2"/>
          <w:sz w:val="32"/>
          <w:szCs w:val="32"/>
          <w:lang w:val="zh-CN" w:eastAsia="zh-CN"/>
        </w:rPr>
        <w:t>（一）手提式干粉灭火器</w:t>
      </w:r>
    </w:p>
    <w:p w14:paraId="039154AC">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1、购买时的常识</w:t>
      </w:r>
    </w:p>
    <w:p w14:paraId="796A0573">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灭火器瓶上的标识应清晰可见，且灭火器的生产日期应在2018年7月1日之后，灭火器上应贴有红色的身份证信息标签，通过手机扫描身份证信息标签上的二维码可进入到消防产品合格评定中心的官网，查看该样品的相关信息，注意识别二维码网站的真伪；</w:t>
      </w:r>
    </w:p>
    <w:p w14:paraId="73600B1B">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（2）查看灭火器瓶体是否光滑无撞击痕迹，查看灭火器的压力指示器是否在绿色工作区域；</w:t>
      </w:r>
    </w:p>
    <w:p w14:paraId="4696EE3D">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（3）通过消防产品合格评定中心官网，查询灭火器生产企业是否通过CCC认证，未通过CCC认证，则属于无证生产，此外应注意CCC认证证书的状态是否有效；</w:t>
      </w:r>
    </w:p>
    <w:p w14:paraId="273E7580">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（4）优先选择正规的灭火器专卖店，购买生产日期较近的灭火器产品，尽量不要选择价格明显低于市场正常价格水平的灭火器产品。</w:t>
      </w:r>
    </w:p>
    <w:p w14:paraId="222E7316">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2、使用时的常识</w:t>
      </w:r>
    </w:p>
    <w:p w14:paraId="6B01E6AF">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（1）使用手提式干粉灭火器时，应手提灭火器的提把，迅速赶到着火处；</w:t>
      </w:r>
    </w:p>
    <w:p w14:paraId="42FBC3A8">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（2）使用前，可先把灭火器上下颠倒几次，使筒内干粉松动；</w:t>
      </w:r>
    </w:p>
    <w:p w14:paraId="4F8DD614">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（3）喷射时站在上风口位置，距离起火点1.2—1.8米处，先拔下保险销，一只手握住喷嘴，另一只手用力压下压把，干粉便会从喷嘴喷射出来；</w:t>
      </w:r>
    </w:p>
    <w:p w14:paraId="0F5A9323">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（4）用干粉灭火器扑救流散液体火灾时，应从火焰侧面，对准火焰根部喷射，并由近而远，左右扫射，快速推进，直至把火焰全部扑灭；</w:t>
      </w:r>
    </w:p>
    <w:p w14:paraId="20CB5F56">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用干粉灭火器扑救容器内可燃液体火灾时，亦应从火焰侧面对准火焰根部，左右扫射。当火焰被赶出容器时，应迅速向前，将余火全部扑灭。灭火时应注意不要把喷嘴直接对准液面喷射，以防干粉气流的冲击力使油液飞溅，引起火势扩大，造成灭火困难；</w:t>
      </w:r>
    </w:p>
    <w:p w14:paraId="351533DE">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（6）用干粉灭火器扑救固体物质火灾时，应使灭火器嘴对准燃烧最猛烈处，左右扫射，并应尽量使干粉灭火剂均匀地喷洒在燃烧物的表面，直至把火全部扑灭；</w:t>
      </w:r>
    </w:p>
    <w:p w14:paraId="0973AC62">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使用干粉灭火器应注意灭火过程中灭火器应始终保持直立状态，不得横卧或颠倒使用，否则不能喷粉；同时注意灭火后要防止复燃，因为干粉灭火器的冷却作用甚微，在着火点存在着炽热物的条件下，灭火后易产生复燃。</w:t>
      </w:r>
    </w:p>
    <w:p w14:paraId="35A8F22F">
      <w:pPr>
        <w:keepNext w:val="0"/>
        <w:keepLines w:val="0"/>
        <w:pageBreakBefore w:val="0"/>
        <w:widowControl w:val="0"/>
        <w:kinsoku/>
        <w:wordWrap/>
        <w:overflowPunct/>
        <w:topLinePunct w:val="0"/>
        <w:bidi w:val="0"/>
        <w:adjustRightInd w:val="0"/>
        <w:snapToGrid w:val="0"/>
        <w:spacing w:line="560" w:lineRule="exact"/>
        <w:ind w:firstLine="562" w:firstLineChars="200"/>
        <w:jc w:val="both"/>
        <w:textAlignment w:val="auto"/>
        <w:rPr>
          <w:rFonts w:ascii="宋体" w:hAnsi="宋体" w:cs="宋体"/>
          <w:b/>
          <w:sz w:val="28"/>
          <w:szCs w:val="28"/>
        </w:rPr>
      </w:pPr>
      <w:r>
        <w:rPr>
          <w:rFonts w:hint="eastAsia" w:ascii="宋体" w:hAnsi="宋体" w:cs="宋体"/>
          <w:b/>
          <w:sz w:val="28"/>
          <w:szCs w:val="28"/>
        </w:rPr>
        <w:t>（二）消防水带</w:t>
      </w:r>
    </w:p>
    <w:p w14:paraId="2D5FD2F6">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1、购买时的常识</w:t>
      </w:r>
    </w:p>
    <w:p w14:paraId="502CF1B2">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（1）消防水带产品上的标识应清晰可见；</w:t>
      </w:r>
    </w:p>
    <w:p w14:paraId="67411AB2">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（2）查看消防水带表面编织层是否均匀整洁，无瑕疵；触摸消防水带，感受水带的厚度，厚度过小则质量可能较差；</w:t>
      </w:r>
    </w:p>
    <w:p w14:paraId="47AA011F">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（3）优先选择正规的消防水带专卖店，购买生产日期较近的消防水带产品。</w:t>
      </w:r>
    </w:p>
    <w:p w14:paraId="5FF9CFA9">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2、使用时的常识</w:t>
      </w:r>
    </w:p>
    <w:p w14:paraId="0DA07897">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（1）使用工作压力范围应在消防水带型号指定范围之内，使用时严禁在锋利物上拖拉；</w:t>
      </w:r>
    </w:p>
    <w:p w14:paraId="603EE570">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（2）使用结束后，将消防水带放在阴凉处晾干，盘卷好后，放置原处。</w:t>
      </w:r>
    </w:p>
    <w:p w14:paraId="5670FEE6">
      <w:pPr>
        <w:adjustRightInd w:val="0"/>
        <w:snapToGrid w:val="0"/>
        <w:spacing w:line="360" w:lineRule="auto"/>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p>
    <w:sectPr>
      <w:footerReference r:id="rId3" w:type="default"/>
      <w:pgSz w:w="11906" w:h="16838"/>
      <w:pgMar w:top="2154" w:right="1361" w:bottom="1928" w:left="1474" w:header="851" w:footer="1134" w:gutter="0"/>
      <w:pgNumType w:fmt="decimal" w:start="1"/>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FCC4">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2565400</wp:posOffset>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F2BB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pt;margin-top:-27.75pt;height:144pt;width:144pt;mso-position-horizontal-relative:margin;mso-wrap-style:none;z-index:251659264;mso-width-relative:page;mso-height-relative:page;" filled="f" stroked="f" coordsize="21600,21600" o:gfxdata="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fMAd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68FF2BB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jMwMmMxZTZhNjI1OTQ2NjM1ZGU0MzU4NTgxZmYifQ=="/>
  </w:docVars>
  <w:rsids>
    <w:rsidRoot w:val="00000000"/>
    <w:rsid w:val="040A4AA1"/>
    <w:rsid w:val="075D1A4D"/>
    <w:rsid w:val="0C580AA0"/>
    <w:rsid w:val="0D465BE4"/>
    <w:rsid w:val="0F694D72"/>
    <w:rsid w:val="12B97DBE"/>
    <w:rsid w:val="13655850"/>
    <w:rsid w:val="146B158C"/>
    <w:rsid w:val="15325C06"/>
    <w:rsid w:val="183D0B4A"/>
    <w:rsid w:val="197C1B46"/>
    <w:rsid w:val="26B91CE3"/>
    <w:rsid w:val="2A7C3754"/>
    <w:rsid w:val="2A9C3DF6"/>
    <w:rsid w:val="307F7AFA"/>
    <w:rsid w:val="351153E0"/>
    <w:rsid w:val="358D4A67"/>
    <w:rsid w:val="37CE746E"/>
    <w:rsid w:val="3870241E"/>
    <w:rsid w:val="3E8E35FE"/>
    <w:rsid w:val="48D83DF3"/>
    <w:rsid w:val="492E6109"/>
    <w:rsid w:val="4CC34DBA"/>
    <w:rsid w:val="4EB64BD7"/>
    <w:rsid w:val="4F7C7BCE"/>
    <w:rsid w:val="5281374D"/>
    <w:rsid w:val="53F65A75"/>
    <w:rsid w:val="589917F1"/>
    <w:rsid w:val="5A20384C"/>
    <w:rsid w:val="5DD706C5"/>
    <w:rsid w:val="611B6B1B"/>
    <w:rsid w:val="6200643D"/>
    <w:rsid w:val="6E625D89"/>
    <w:rsid w:val="6FEF189F"/>
    <w:rsid w:val="71AD50A1"/>
    <w:rsid w:val="71FE226D"/>
    <w:rsid w:val="72563E57"/>
    <w:rsid w:val="72987FCC"/>
    <w:rsid w:val="75D752AF"/>
    <w:rsid w:val="7761738C"/>
    <w:rsid w:val="79F144F9"/>
    <w:rsid w:val="7E413C0D"/>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3">
    <w:name w:val="heading 4"/>
    <w:next w:val="1"/>
    <w:qFormat/>
    <w:uiPriority w:val="9"/>
    <w:pPr>
      <w:keepNext/>
      <w:keepLines/>
      <w:widowControl w:val="0"/>
      <w:spacing w:before="280" w:after="290" w:line="376" w:lineRule="auto"/>
      <w:jc w:val="both"/>
      <w:outlineLvl w:val="3"/>
    </w:pPr>
    <w:rPr>
      <w:rFonts w:ascii="Calibri Light" w:hAnsi="Calibri Light" w:eastAsia="宋体" w:cs="Times New Roman"/>
      <w:b/>
      <w:bCs/>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qFormat/>
    <w:uiPriority w:val="0"/>
    <w:pPr>
      <w:adjustRightInd/>
      <w:snapToGrid/>
      <w:spacing w:line="240" w:lineRule="auto"/>
      <w:ind w:firstLine="420"/>
    </w:pPr>
    <w:rPr>
      <w:sz w:val="21"/>
    </w:rPr>
  </w:style>
  <w:style w:type="paragraph" w:styleId="5">
    <w:name w:val="Body Text"/>
    <w:basedOn w:val="1"/>
    <w:unhideWhenUsed/>
    <w:qFormat/>
    <w:uiPriority w:val="1"/>
    <w:pPr>
      <w:autoSpaceDE w:val="0"/>
      <w:autoSpaceDN w:val="0"/>
      <w:ind w:left="140" w:firstLine="419"/>
      <w:jc w:val="left"/>
    </w:pPr>
    <w:rPr>
      <w:rFonts w:ascii="宋体" w:hAnsi="宋体" w:cs="宋体" w:eastAsiaTheme="minorEastAsia"/>
      <w:szCs w:val="21"/>
      <w:lang w:val="zh-CN" w:bidi="zh-CN"/>
    </w:rPr>
  </w:style>
  <w:style w:type="paragraph" w:styleId="6">
    <w:name w:val="Plain Text"/>
    <w:basedOn w:val="1"/>
    <w:qFormat/>
    <w:uiPriority w:val="0"/>
    <w:pPr>
      <w:adjustRightInd/>
      <w:snapToGrid/>
      <w:spacing w:line="240" w:lineRule="auto"/>
      <w:ind w:firstLine="0" w:firstLineChars="0"/>
    </w:pPr>
    <w:rPr>
      <w:rFonts w:ascii="宋体" w:hAnsi="Courier New" w:cs="Courier New"/>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Table Paragraph"/>
    <w:basedOn w:val="1"/>
    <w:qFormat/>
    <w:uiPriority w:val="1"/>
    <w:pPr>
      <w:autoSpaceDE w:val="0"/>
      <w:autoSpaceDN w:val="0"/>
      <w:spacing w:before="100"/>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手提式干粉灭火器</c:v>
                </c:pt>
                <c:pt idx="1">
                  <c:v>消防水带</c:v>
                </c:pt>
              </c:strCache>
            </c:strRef>
          </c:cat>
          <c:val>
            <c:numRef>
              <c:f>Sheet1!$B$2:$B$3</c:f>
              <c:numCache>
                <c:formatCode>General</c:formatCode>
                <c:ptCount val="2"/>
                <c:pt idx="0">
                  <c:v>5</c:v>
                </c:pt>
                <c:pt idx="1">
                  <c:v>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3567</Words>
  <Characters>3707</Characters>
  <Lines>0</Lines>
  <Paragraphs>0</Paragraphs>
  <TotalTime>23</TotalTime>
  <ScaleCrop>false</ScaleCrop>
  <LinksUpToDate>false</LinksUpToDate>
  <CharactersWithSpaces>3718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2024-06-11T02:46:00Z</dcterms:created>
  <dc:creator>SDB</dc:creator>
  <cp:lastModifiedBy>盛</cp:lastModifiedBy>
  <dcterms:modified xsi:type="dcterms:W3CDTF">2024-08-01T01:21:18Z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CEFB21BCDEF34FF7B17E29F7E9725B81_12</vt:lpwstr>
  </property>
</Properties>
</file>