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highlight w:val="none"/>
          <w:lang w:eastAsia="zh-CN"/>
        </w:rPr>
      </w:pPr>
      <w:r>
        <w:rPr>
          <w:rFonts w:hint="eastAsia"/>
          <w:highlight w:val="none"/>
          <w:lang w:eastAsia="zh-CN"/>
        </w:rPr>
        <w:t>小黄山废弃采石宕口地质灾害隐患点治理项目施工项目控制价编制说明</w:t>
      </w:r>
    </w:p>
    <w:p>
      <w:pPr>
        <w:bidi w:val="0"/>
        <w:rPr>
          <w:rFonts w:hint="default"/>
          <w:sz w:val="21"/>
          <w:szCs w:val="21"/>
          <w:highlight w:val="none"/>
          <w:lang w:val="en-US" w:eastAsia="zh-CN"/>
        </w:rPr>
      </w:pPr>
      <w:r>
        <w:rPr>
          <w:rFonts w:hint="eastAsia"/>
          <w:b/>
          <w:bCs/>
          <w:highlight w:val="none"/>
          <w:lang w:eastAsia="zh-CN"/>
        </w:rPr>
        <w:t>工程名称：</w:t>
      </w:r>
      <w:r>
        <w:rPr>
          <w:rFonts w:hint="eastAsia"/>
          <w:b w:val="0"/>
          <w:bCs w:val="0"/>
          <w:highlight w:val="none"/>
          <w:lang w:eastAsia="zh-CN"/>
        </w:rPr>
        <w:t>小黄山废弃采石宕口地质灾害隐患点治理项目施工</w:t>
      </w:r>
      <w:r>
        <w:rPr>
          <w:rFonts w:hint="eastAsia"/>
          <w:sz w:val="21"/>
          <w:szCs w:val="21"/>
          <w:highlight w:val="none"/>
          <w:lang w:val="en-US" w:eastAsia="zh-CN"/>
        </w:rPr>
        <w:t>项目</w:t>
      </w:r>
    </w:p>
    <w:p>
      <w:pPr>
        <w:keepNext w:val="0"/>
        <w:keepLines w:val="0"/>
        <w:widowControl/>
        <w:suppressLineNumbers w:val="0"/>
        <w:jc w:val="left"/>
        <w:rPr>
          <w:highlight w:val="none"/>
          <w:lang w:eastAsia="zh-CN"/>
        </w:rPr>
      </w:pPr>
      <w:r>
        <w:rPr>
          <w:rFonts w:hint="eastAsia"/>
          <w:b/>
          <w:bCs/>
          <w:highlight w:val="none"/>
          <w:lang w:eastAsia="zh-CN"/>
        </w:rPr>
        <w:t>工程概况：</w:t>
      </w:r>
      <w:r>
        <w:rPr>
          <w:rFonts w:hint="eastAsia"/>
          <w:highlight w:val="none"/>
          <w:lang w:eastAsia="zh-CN"/>
        </w:rPr>
        <w:t>本工程位于常州市</w:t>
      </w:r>
    </w:p>
    <w:p>
      <w:pPr>
        <w:pStyle w:val="3"/>
        <w:bidi w:val="0"/>
        <w:rPr>
          <w:highlight w:val="none"/>
          <w:lang w:eastAsia="zh-CN"/>
        </w:rPr>
      </w:pPr>
      <w:r>
        <w:rPr>
          <w:rFonts w:hint="eastAsia"/>
          <w:highlight w:val="none"/>
          <w:lang w:eastAsia="zh-CN"/>
        </w:rPr>
        <w:t>编制范围：</w:t>
      </w:r>
    </w:p>
    <w:p>
      <w:pPr>
        <w:pStyle w:val="4"/>
        <w:bidi w:val="0"/>
        <w:rPr>
          <w:rFonts w:hint="eastAsia"/>
          <w:highlight w:val="none"/>
          <w:lang w:eastAsia="zh-CN"/>
        </w:rPr>
      </w:pPr>
      <w:r>
        <w:rPr>
          <w:rFonts w:hint="eastAsia"/>
          <w:highlight w:val="none"/>
          <w:lang w:val="en-US" w:eastAsia="zh-CN"/>
        </w:rPr>
        <w:t>编制范围及界面：</w:t>
      </w:r>
    </w:p>
    <w:p>
      <w:pPr>
        <w:keepNext w:val="0"/>
        <w:keepLines w:val="0"/>
        <w:pageBreakBefore w:val="0"/>
        <w:widowControl/>
        <w:numPr>
          <w:ilvl w:val="0"/>
          <w:numId w:val="3"/>
        </w:numPr>
        <w:kinsoku/>
        <w:wordWrap/>
        <w:overflowPunct/>
        <w:topLinePunct w:val="0"/>
        <w:autoSpaceDE/>
        <w:autoSpaceDN/>
        <w:bidi w:val="0"/>
        <w:adjustRightInd/>
        <w:snapToGrid/>
        <w:ind w:left="0" w:leftChars="0" w:firstLine="420" w:firstLineChars="200"/>
        <w:textAlignment w:val="auto"/>
        <w:rPr>
          <w:rFonts w:hint="eastAsia"/>
          <w:highlight w:val="none"/>
          <w:lang w:val="en-US" w:eastAsia="zh-CN"/>
        </w:rPr>
      </w:pPr>
      <w:r>
        <w:rPr>
          <w:rFonts w:hint="eastAsia"/>
          <w:highlight w:val="none"/>
          <w:lang w:val="en-US" w:eastAsia="zh-CN"/>
        </w:rPr>
        <w:t>削坡</w:t>
      </w:r>
    </w:p>
    <w:p>
      <w:pPr>
        <w:keepNext w:val="0"/>
        <w:keepLines w:val="0"/>
        <w:pageBreakBefore w:val="0"/>
        <w:widowControl/>
        <w:numPr>
          <w:ilvl w:val="0"/>
          <w:numId w:val="3"/>
        </w:numPr>
        <w:kinsoku/>
        <w:wordWrap/>
        <w:overflowPunct/>
        <w:topLinePunct w:val="0"/>
        <w:autoSpaceDE/>
        <w:autoSpaceDN/>
        <w:bidi w:val="0"/>
        <w:adjustRightInd/>
        <w:snapToGrid/>
        <w:ind w:left="0" w:leftChars="0" w:firstLine="420" w:firstLineChars="200"/>
        <w:textAlignment w:val="auto"/>
        <w:rPr>
          <w:rFonts w:hint="eastAsia"/>
          <w:highlight w:val="none"/>
          <w:lang w:val="en-US" w:eastAsia="zh-CN"/>
        </w:rPr>
      </w:pPr>
      <w:r>
        <w:rPr>
          <w:rFonts w:hint="eastAsia"/>
          <w:highlight w:val="none"/>
          <w:lang w:val="en-US" w:eastAsia="zh-CN"/>
        </w:rPr>
        <w:t>清坡 ；</w:t>
      </w:r>
    </w:p>
    <w:p>
      <w:pPr>
        <w:keepNext w:val="0"/>
        <w:keepLines w:val="0"/>
        <w:pageBreakBefore w:val="0"/>
        <w:widowControl/>
        <w:numPr>
          <w:ilvl w:val="0"/>
          <w:numId w:val="3"/>
        </w:numPr>
        <w:kinsoku/>
        <w:wordWrap/>
        <w:overflowPunct/>
        <w:topLinePunct w:val="0"/>
        <w:autoSpaceDE/>
        <w:autoSpaceDN/>
        <w:bidi w:val="0"/>
        <w:adjustRightInd/>
        <w:snapToGrid/>
        <w:ind w:left="0" w:leftChars="0" w:firstLine="420" w:firstLineChars="200"/>
        <w:textAlignment w:val="auto"/>
        <w:rPr>
          <w:rFonts w:hint="eastAsia"/>
          <w:highlight w:val="none"/>
          <w:lang w:val="en-US" w:eastAsia="zh-CN"/>
        </w:rPr>
      </w:pPr>
      <w:r>
        <w:rPr>
          <w:rFonts w:hint="eastAsia"/>
          <w:highlight w:val="none"/>
          <w:lang w:val="en-US" w:eastAsia="zh-CN"/>
        </w:rPr>
        <w:t>铺设防护网等；</w:t>
      </w:r>
    </w:p>
    <w:p>
      <w:pPr>
        <w:pStyle w:val="3"/>
        <w:bidi w:val="0"/>
        <w:rPr>
          <w:highlight w:val="none"/>
          <w:lang w:eastAsia="zh-CN"/>
        </w:rPr>
      </w:pPr>
      <w:r>
        <w:rPr>
          <w:highlight w:val="none"/>
          <w:lang w:eastAsia="zh-CN"/>
        </w:rPr>
        <w:t>工程量清单及控制价编制依据</w:t>
      </w:r>
    </w:p>
    <w:p>
      <w:pPr>
        <w:numPr>
          <w:ilvl w:val="0"/>
          <w:numId w:val="4"/>
        </w:numPr>
        <w:bidi w:val="0"/>
        <w:ind w:left="0" w:leftChars="0" w:firstLine="420" w:firstLineChars="200"/>
        <w:rPr>
          <w:rFonts w:hint="eastAsia"/>
          <w:highlight w:val="none"/>
          <w:lang w:eastAsia="zh-CN"/>
        </w:rPr>
      </w:pPr>
      <w:r>
        <w:rPr>
          <w:rFonts w:hint="eastAsia"/>
          <w:highlight w:val="none"/>
          <w:lang w:eastAsia="zh-CN"/>
        </w:rPr>
        <w:t>《建设工程工程量清单计价规范》GB50500-2013；《市政工程工程量计算规则》(GB50857-2013)等专业工程工程量计算规则。</w:t>
      </w:r>
    </w:p>
    <w:p>
      <w:pPr>
        <w:numPr>
          <w:ilvl w:val="0"/>
          <w:numId w:val="4"/>
        </w:numPr>
        <w:bidi w:val="0"/>
        <w:ind w:left="0" w:leftChars="0" w:firstLine="420" w:firstLineChars="200"/>
        <w:rPr>
          <w:rFonts w:hint="eastAsia"/>
          <w:highlight w:val="none"/>
          <w:lang w:eastAsia="zh-CN"/>
        </w:rPr>
      </w:pPr>
      <w:r>
        <w:rPr>
          <w:rFonts w:hint="eastAsia"/>
          <w:highlight w:val="none"/>
          <w:lang w:val="en-US" w:eastAsia="zh-CN"/>
        </w:rPr>
        <w:t>江苏省常州地质工程勘察院提供的设计方案</w:t>
      </w:r>
    </w:p>
    <w:p>
      <w:pPr>
        <w:pStyle w:val="3"/>
        <w:bidi w:val="0"/>
        <w:rPr>
          <w:rFonts w:hint="eastAsia"/>
          <w:highlight w:val="none"/>
          <w:lang w:eastAsia="zh-CN"/>
        </w:rPr>
      </w:pPr>
      <w:r>
        <w:rPr>
          <w:rFonts w:hint="eastAsia"/>
          <w:highlight w:val="none"/>
          <w:lang w:eastAsia="zh-CN"/>
        </w:rPr>
        <w:t>招标控制价编制说明</w:t>
      </w:r>
    </w:p>
    <w:p>
      <w:pPr>
        <w:numPr>
          <w:ilvl w:val="0"/>
          <w:numId w:val="5"/>
        </w:numPr>
        <w:bidi w:val="0"/>
        <w:ind w:left="0" w:leftChars="0" w:firstLine="420" w:firstLineChars="200"/>
        <w:rPr>
          <w:highlight w:val="none"/>
          <w:lang w:eastAsia="zh-CN"/>
        </w:rPr>
      </w:pPr>
      <w:r>
        <w:rPr>
          <w:rFonts w:hint="eastAsia"/>
          <w:highlight w:val="none"/>
          <w:lang w:eastAsia="zh-CN"/>
        </w:rPr>
        <w:t>人工工资单价按苏建函价〔2024〕83号。</w:t>
      </w:r>
    </w:p>
    <w:p>
      <w:pPr>
        <w:numPr>
          <w:ilvl w:val="0"/>
          <w:numId w:val="5"/>
        </w:numPr>
        <w:bidi w:val="0"/>
        <w:ind w:left="0" w:leftChars="0" w:firstLine="420" w:firstLineChars="200"/>
        <w:rPr>
          <w:highlight w:val="none"/>
          <w:lang w:eastAsia="zh-CN"/>
        </w:rPr>
      </w:pPr>
      <w:r>
        <w:rPr>
          <w:rFonts w:hint="eastAsia"/>
          <w:highlight w:val="none"/>
          <w:lang w:eastAsia="zh-CN"/>
        </w:rPr>
        <w:t>材料价格按照《常州工程造价信息》202</w:t>
      </w:r>
      <w:r>
        <w:rPr>
          <w:rFonts w:hint="eastAsia"/>
          <w:highlight w:val="none"/>
          <w:lang w:val="en-US" w:eastAsia="zh-CN"/>
        </w:rPr>
        <w:t>4</w:t>
      </w:r>
      <w:r>
        <w:rPr>
          <w:rFonts w:hint="eastAsia"/>
          <w:highlight w:val="none"/>
          <w:lang w:eastAsia="zh-CN"/>
        </w:rPr>
        <w:t>年</w:t>
      </w:r>
      <w:r>
        <w:rPr>
          <w:rFonts w:hint="eastAsia"/>
          <w:highlight w:val="none"/>
          <w:lang w:val="en-US" w:eastAsia="zh-CN"/>
        </w:rPr>
        <w:t>6</w:t>
      </w:r>
      <w:r>
        <w:rPr>
          <w:rFonts w:hint="eastAsia"/>
          <w:highlight w:val="none"/>
          <w:lang w:eastAsia="zh-CN"/>
        </w:rPr>
        <w:t>月除税价</w:t>
      </w:r>
      <w:r>
        <w:rPr>
          <w:highlight w:val="none"/>
          <w:lang w:eastAsia="zh-CN"/>
        </w:rPr>
        <w:t>格计入，</w:t>
      </w:r>
      <w:r>
        <w:rPr>
          <w:rFonts w:hint="eastAsia"/>
          <w:highlight w:val="none"/>
          <w:lang w:eastAsia="zh-CN"/>
        </w:rPr>
        <w:t>本</w:t>
      </w:r>
      <w:r>
        <w:rPr>
          <w:highlight w:val="none"/>
          <w:lang w:eastAsia="zh-CN"/>
        </w:rPr>
        <w:t>月份没有的逐月前推，信息价没有的材料价格按市场询价计入</w:t>
      </w:r>
      <w:r>
        <w:rPr>
          <w:rFonts w:hint="eastAsia"/>
          <w:highlight w:val="none"/>
          <w:lang w:eastAsia="zh-CN"/>
        </w:rPr>
        <w:t>。</w:t>
      </w:r>
    </w:p>
    <w:p>
      <w:pPr>
        <w:numPr>
          <w:ilvl w:val="0"/>
          <w:numId w:val="5"/>
        </w:numPr>
        <w:bidi w:val="0"/>
        <w:ind w:left="0" w:leftChars="0" w:firstLine="420" w:firstLineChars="200"/>
        <w:rPr>
          <w:rFonts w:hint="default"/>
          <w:lang w:val="en-US" w:eastAsia="zh-CN"/>
        </w:rPr>
      </w:pPr>
      <w:r>
        <w:rPr>
          <w:rFonts w:hint="eastAsia"/>
          <w:highlight w:val="none"/>
          <w:lang w:val="en-US" w:eastAsia="zh-CN"/>
        </w:rPr>
        <w:t>总价措施费计算</w:t>
      </w:r>
      <w:r>
        <w:rPr>
          <w:rFonts w:hint="eastAsia"/>
          <w:highlight w:val="none"/>
          <w:lang w:eastAsia="zh-CN"/>
        </w:rPr>
        <w:t>安全文明施工措施费，计取基本费</w:t>
      </w:r>
      <w:r>
        <w:rPr>
          <w:rFonts w:hint="eastAsia"/>
          <w:highlight w:val="none"/>
          <w:lang w:val="en-US" w:eastAsia="zh-CN"/>
        </w:rPr>
        <w:t>、</w:t>
      </w:r>
      <w:r>
        <w:rPr>
          <w:rFonts w:hint="eastAsia"/>
          <w:highlight w:val="none"/>
          <w:lang w:eastAsia="zh-CN"/>
        </w:rPr>
        <w:t>扬尘污染防治增加费，</w:t>
      </w:r>
      <w:r>
        <w:rPr>
          <w:rFonts w:hint="eastAsia"/>
          <w:highlight w:val="none"/>
          <w:lang w:val="en-US" w:eastAsia="zh-CN"/>
        </w:rPr>
        <w:t>夜间施工费，冬雨季施工增加费</w:t>
      </w:r>
      <w:r>
        <w:rPr>
          <w:rFonts w:hint="eastAsia"/>
          <w:highlight w:val="none"/>
          <w:lang w:eastAsia="zh-CN"/>
        </w:rPr>
        <w:t>，</w:t>
      </w:r>
      <w:r>
        <w:rPr>
          <w:rFonts w:hint="eastAsia"/>
          <w:highlight w:val="none"/>
          <w:lang w:val="en-US" w:eastAsia="zh-CN"/>
        </w:rPr>
        <w:t>临时设施费其他费用不计取。</w:t>
      </w:r>
    </w:p>
    <w:p>
      <w:pPr>
        <w:numPr>
          <w:ilvl w:val="0"/>
          <w:numId w:val="5"/>
        </w:numPr>
        <w:bidi w:val="0"/>
        <w:ind w:left="0" w:leftChars="0" w:firstLine="420" w:firstLineChars="200"/>
        <w:rPr>
          <w:rFonts w:hint="default"/>
          <w:lang w:val="en-US" w:eastAsia="zh-CN"/>
        </w:rPr>
      </w:pPr>
      <w:r>
        <w:rPr>
          <w:rFonts w:hint="eastAsia"/>
          <w:highlight w:val="none"/>
          <w:lang w:val="en-US" w:eastAsia="zh-CN"/>
        </w:rPr>
        <w:t>暂列金按分部分项10%记取</w:t>
      </w:r>
    </w:p>
    <w:p>
      <w:pPr>
        <w:numPr>
          <w:ilvl w:val="0"/>
          <w:numId w:val="5"/>
        </w:numPr>
        <w:bidi w:val="0"/>
        <w:ind w:left="0" w:leftChars="0" w:firstLine="420" w:firstLineChars="200"/>
        <w:rPr>
          <w:rFonts w:hint="default"/>
          <w:lang w:val="en-US" w:eastAsia="zh-CN"/>
        </w:rPr>
      </w:pPr>
      <w:r>
        <w:rPr>
          <w:rFonts w:hint="eastAsia"/>
          <w:lang w:val="en-US" w:eastAsia="zh-CN"/>
        </w:rPr>
        <w:t>清坡由于地形规则按投影面积计算工程量</w:t>
      </w:r>
    </w:p>
    <w:p>
      <w:pPr>
        <w:numPr>
          <w:ilvl w:val="0"/>
          <w:numId w:val="5"/>
        </w:numPr>
        <w:bidi w:val="0"/>
        <w:ind w:left="0" w:leftChars="0" w:firstLine="420" w:firstLineChars="200"/>
        <w:rPr>
          <w:rFonts w:hint="default"/>
          <w:lang w:val="en-US" w:eastAsia="zh-CN"/>
        </w:rPr>
      </w:pPr>
      <w:r>
        <w:rPr>
          <w:rFonts w:hint="default"/>
          <w:lang w:val="en-US" w:eastAsia="zh-CN"/>
        </w:rPr>
        <w:t>回填压脚</w:t>
      </w:r>
      <w:r>
        <w:rPr>
          <w:rFonts w:hint="eastAsia"/>
          <w:lang w:val="en-US" w:eastAsia="zh-CN"/>
        </w:rPr>
        <w:t>投标单位综合考虑运距</w:t>
      </w:r>
    </w:p>
    <w:p>
      <w:pPr>
        <w:numPr>
          <w:ilvl w:val="0"/>
          <w:numId w:val="5"/>
        </w:numPr>
        <w:bidi w:val="0"/>
        <w:ind w:left="0" w:leftChars="0" w:firstLine="420" w:firstLineChars="200"/>
        <w:rPr>
          <w:rFonts w:hint="default"/>
          <w:lang w:val="en-US" w:eastAsia="zh-CN"/>
        </w:rPr>
      </w:pPr>
      <w:r>
        <w:rPr>
          <w:rFonts w:hint="eastAsia"/>
          <w:lang w:val="en-US" w:eastAsia="zh-CN"/>
        </w:rPr>
        <w:t>脚手架按暂估量计算，若发生按空间体积计算工程量</w:t>
      </w:r>
    </w:p>
    <w:p>
      <w:pPr>
        <w:numPr>
          <w:ilvl w:val="0"/>
          <w:numId w:val="5"/>
        </w:numPr>
        <w:bidi w:val="0"/>
        <w:ind w:left="0" w:leftChars="0" w:firstLine="420" w:firstLineChars="200"/>
        <w:rPr>
          <w:rFonts w:hint="default"/>
          <w:lang w:val="en-US" w:eastAsia="zh-CN"/>
        </w:rPr>
      </w:pPr>
      <w:r>
        <w:rPr>
          <w:rFonts w:hint="default"/>
          <w:lang w:val="en-US" w:eastAsia="zh-CN"/>
        </w:rPr>
        <w:t>承包人需根据设计文件要求以及国家规范要求对需要进行材料复检的施工材料委托有资质的机构检测并出具检测报告，合格后方可用于本工程，因上述事项产生的费用已考虑在投标总价中，不另计费用</w:t>
      </w:r>
      <w:bookmarkStart w:id="0" w:name="_GoBack"/>
      <w:bookmarkEnd w:id="0"/>
      <w:r>
        <w:rPr>
          <w:rFonts w:hint="default"/>
          <w:lang w:val="en-US" w:eastAsia="zh-CN"/>
        </w:rPr>
        <w:t>。</w:t>
      </w:r>
    </w:p>
    <w:p>
      <w:pPr>
        <w:pStyle w:val="3"/>
        <w:bidi w:val="0"/>
        <w:rPr>
          <w:highlight w:val="none"/>
          <w:lang w:eastAsia="zh-CN"/>
        </w:rPr>
      </w:pPr>
      <w:r>
        <w:rPr>
          <w:rFonts w:hint="eastAsia"/>
          <w:highlight w:val="none"/>
          <w:lang w:val="en-US" w:eastAsia="zh-CN"/>
        </w:rPr>
        <w:t>投标报价要求</w:t>
      </w:r>
      <w:r>
        <w:rPr>
          <w:rFonts w:hint="eastAsia"/>
          <w:highlight w:val="none"/>
          <w:lang w:eastAsia="zh-CN"/>
        </w:rPr>
        <w:t>：</w:t>
      </w:r>
    </w:p>
    <w:p>
      <w:pPr>
        <w:numPr>
          <w:ilvl w:val="0"/>
          <w:numId w:val="6"/>
        </w:numPr>
        <w:bidi w:val="0"/>
        <w:ind w:left="0" w:leftChars="0" w:firstLine="420" w:firstLineChars="200"/>
        <w:rPr>
          <w:rFonts w:hint="eastAsia"/>
          <w:highlight w:val="none"/>
        </w:rPr>
      </w:pPr>
      <w:r>
        <w:rPr>
          <w:rFonts w:hint="eastAsia"/>
          <w:highlight w:val="none"/>
          <w:lang w:eastAsia="zh-CN"/>
        </w:rPr>
        <w:t>本清单所列工程数量是根据图纸或现行情况暂定的，仅作为投标的共同基础，不能作为最终结算与支付的依据。结算与支付应以监理工程师审核并报业主现场代表认可的、按图纸和规范要求实际完成的合格工程数量为依据。</w:t>
      </w:r>
    </w:p>
    <w:p>
      <w:pPr>
        <w:numPr>
          <w:ilvl w:val="0"/>
          <w:numId w:val="6"/>
        </w:numPr>
        <w:bidi w:val="0"/>
        <w:ind w:left="0" w:leftChars="0" w:firstLine="420" w:firstLineChars="200"/>
        <w:rPr>
          <w:rFonts w:hint="eastAsia"/>
          <w:highlight w:val="none"/>
        </w:rPr>
      </w:pPr>
      <w:r>
        <w:rPr>
          <w:rFonts w:hint="eastAsia"/>
          <w:highlight w:val="none"/>
          <w:lang w:eastAsia="zh-CN"/>
        </w:rPr>
        <w:t>所有按“项”为单位设置的分部分项清单和单价措施清单，投标人</w:t>
      </w:r>
      <w:r>
        <w:rPr>
          <w:rFonts w:hint="eastAsia"/>
          <w:highlight w:val="none"/>
        </w:rPr>
        <w:t>需认真勘察现场并结合自身情况</w:t>
      </w:r>
      <w:r>
        <w:rPr>
          <w:rFonts w:hint="eastAsia"/>
          <w:highlight w:val="none"/>
          <w:lang w:eastAsia="zh-CN"/>
        </w:rPr>
        <w:t>，考虑本项目的施工组织设计和施工方案，现场根据</w:t>
      </w:r>
      <w:r>
        <w:rPr>
          <w:rFonts w:hint="eastAsia"/>
          <w:highlight w:val="none"/>
          <w:lang w:val="en-US" w:eastAsia="zh-CN"/>
        </w:rPr>
        <w:t>建设方</w:t>
      </w:r>
      <w:r>
        <w:rPr>
          <w:rFonts w:hint="eastAsia"/>
          <w:highlight w:val="none"/>
          <w:lang w:eastAsia="zh-CN"/>
        </w:rPr>
        <w:t>要求及相关政策法规实施，在报价中予以综合考虑</w:t>
      </w:r>
      <w:r>
        <w:rPr>
          <w:rFonts w:hint="eastAsia"/>
          <w:highlight w:val="none"/>
        </w:rPr>
        <w:t>造价风险</w:t>
      </w:r>
      <w:r>
        <w:rPr>
          <w:rFonts w:hint="eastAsia"/>
          <w:highlight w:val="none"/>
          <w:lang w:eastAsia="zh-CN"/>
        </w:rPr>
        <w:t>，综合单价包含图纸及相关要求的一切施工费用，</w:t>
      </w:r>
      <w:r>
        <w:rPr>
          <w:rFonts w:hint="eastAsia"/>
          <w:highlight w:val="none"/>
        </w:rPr>
        <w:t>以项为单位的均为包干价，结算时不做调整。</w:t>
      </w:r>
    </w:p>
    <w:p>
      <w:pPr>
        <w:numPr>
          <w:ilvl w:val="0"/>
          <w:numId w:val="0"/>
        </w:numPr>
        <w:bidi w:val="0"/>
        <w:ind w:leftChars="200"/>
        <w:rPr>
          <w:rFonts w:hint="eastAsia"/>
          <w:highlight w:val="none"/>
        </w:rPr>
      </w:pPr>
    </w:p>
    <w:p>
      <w:pPr>
        <w:pStyle w:val="5"/>
        <w:rPr>
          <w:rFonts w:hint="eastAsia"/>
          <w:highlight w:val="none"/>
          <w:lang w:val="en-US" w:eastAsia="zh-CN"/>
        </w:rPr>
      </w:pPr>
      <w:r>
        <w:rPr>
          <w:rFonts w:hint="eastAsia"/>
          <w:highlight w:val="none"/>
          <w:lang w:val="en-US" w:eastAsia="zh-CN"/>
        </w:rPr>
        <w:t xml:space="preserve">                                               </w:t>
      </w:r>
    </w:p>
    <w:p>
      <w:pPr>
        <w:pStyle w:val="5"/>
        <w:ind w:firstLine="4830" w:firstLineChars="2300"/>
        <w:rPr>
          <w:rFonts w:hint="eastAsia"/>
          <w:b w:val="0"/>
          <w:bCs w:val="0"/>
          <w:highlight w:val="none"/>
          <w:lang w:val="en-US" w:eastAsia="zh-CN"/>
        </w:rPr>
      </w:pPr>
      <w:r>
        <w:rPr>
          <w:rFonts w:hint="eastAsia"/>
          <w:b w:val="0"/>
          <w:bCs w:val="0"/>
          <w:highlight w:val="none"/>
          <w:lang w:val="en-US" w:eastAsia="zh-CN"/>
        </w:rPr>
        <w:t xml:space="preserve"> 江苏开天工程咨询有限公司</w:t>
      </w:r>
    </w:p>
    <w:p>
      <w:pPr>
        <w:rPr>
          <w:rFonts w:hint="default"/>
          <w:lang w:val="en-US" w:eastAsia="zh-CN"/>
        </w:rPr>
      </w:pPr>
      <w:r>
        <w:rPr>
          <w:rFonts w:hint="eastAsia"/>
          <w:highlight w:val="none"/>
          <w:lang w:val="en-US" w:eastAsia="zh-CN"/>
        </w:rPr>
        <w:t xml:space="preserve">                                                    2024.07.29</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9B621"/>
    <w:multiLevelType w:val="singleLevel"/>
    <w:tmpl w:val="9689B621"/>
    <w:lvl w:ilvl="0" w:tentative="0">
      <w:start w:val="1"/>
      <w:numFmt w:val="decimal"/>
      <w:suff w:val="space"/>
      <w:lvlText w:val="(%1)"/>
      <w:lvlJc w:val="left"/>
      <w:pPr>
        <w:ind w:left="0" w:firstLine="0"/>
      </w:pPr>
      <w:rPr>
        <w:rFonts w:hint="default"/>
      </w:rPr>
    </w:lvl>
  </w:abstractNum>
  <w:abstractNum w:abstractNumId="1">
    <w:nsid w:val="AA0E22DC"/>
    <w:multiLevelType w:val="singleLevel"/>
    <w:tmpl w:val="AA0E22DC"/>
    <w:lvl w:ilvl="0" w:tentative="0">
      <w:start w:val="1"/>
      <w:numFmt w:val="decimal"/>
      <w:pStyle w:val="4"/>
      <w:suff w:val="nothing"/>
      <w:lvlText w:val="%1．"/>
      <w:lvlJc w:val="left"/>
      <w:pPr>
        <w:ind w:left="0" w:firstLine="0"/>
      </w:pPr>
      <w:rPr>
        <w:rFonts w:hint="default"/>
      </w:rPr>
    </w:lvl>
  </w:abstractNum>
  <w:abstractNum w:abstractNumId="2">
    <w:nsid w:val="AFF69DCF"/>
    <w:multiLevelType w:val="singleLevel"/>
    <w:tmpl w:val="AFF69DCF"/>
    <w:lvl w:ilvl="0" w:tentative="0">
      <w:start w:val="1"/>
      <w:numFmt w:val="chineseCounting"/>
      <w:pStyle w:val="3"/>
      <w:suff w:val="nothing"/>
      <w:lvlText w:val="%1、"/>
      <w:lvlJc w:val="left"/>
      <w:pPr>
        <w:ind w:left="0" w:firstLine="0"/>
      </w:pPr>
      <w:rPr>
        <w:rFonts w:hint="eastAsia"/>
      </w:rPr>
    </w:lvl>
  </w:abstractNum>
  <w:abstractNum w:abstractNumId="3">
    <w:nsid w:val="FFDF36B7"/>
    <w:multiLevelType w:val="singleLevel"/>
    <w:tmpl w:val="FFDF36B7"/>
    <w:lvl w:ilvl="0" w:tentative="0">
      <w:start w:val="1"/>
      <w:numFmt w:val="decimal"/>
      <w:suff w:val="nothing"/>
      <w:lvlText w:val="%1．"/>
      <w:lvlJc w:val="left"/>
      <w:pPr>
        <w:ind w:left="0" w:firstLine="400"/>
      </w:pPr>
      <w:rPr>
        <w:rFonts w:hint="default"/>
      </w:rPr>
    </w:lvl>
  </w:abstractNum>
  <w:abstractNum w:abstractNumId="4">
    <w:nsid w:val="2544A670"/>
    <w:multiLevelType w:val="singleLevel"/>
    <w:tmpl w:val="2544A670"/>
    <w:lvl w:ilvl="0" w:tentative="0">
      <w:start w:val="1"/>
      <w:numFmt w:val="decimal"/>
      <w:suff w:val="nothing"/>
      <w:lvlText w:val="%1．"/>
      <w:lvlJc w:val="left"/>
      <w:pPr>
        <w:ind w:left="0" w:firstLine="400"/>
      </w:pPr>
      <w:rPr>
        <w:rFonts w:hint="default"/>
      </w:rPr>
    </w:lvl>
  </w:abstractNum>
  <w:abstractNum w:abstractNumId="5">
    <w:nsid w:val="261F6FCB"/>
    <w:multiLevelType w:val="singleLevel"/>
    <w:tmpl w:val="261F6FCB"/>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zNjQ2NWYxZjM5MDA4MzNlODRmN2IxY2ZmM2IwM2YifQ=="/>
  </w:docVars>
  <w:rsids>
    <w:rsidRoot w:val="44EE28E5"/>
    <w:rsid w:val="026C1508"/>
    <w:rsid w:val="25162D02"/>
    <w:rsid w:val="2FB52027"/>
    <w:rsid w:val="44EE28E5"/>
    <w:rsid w:val="5B374E43"/>
    <w:rsid w:val="6972710B"/>
    <w:rsid w:val="7062776E"/>
    <w:rsid w:val="70CA5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pPr>
    <w:rPr>
      <w:rFonts w:ascii="宋体" w:hAnsi="宋体" w:eastAsia="宋体" w:cs="Times New Roman"/>
      <w:sz w:val="21"/>
      <w:szCs w:val="22"/>
      <w:lang w:val="en-US" w:eastAsia="en-US" w:bidi="en-US"/>
    </w:rPr>
  </w:style>
  <w:style w:type="paragraph" w:styleId="2">
    <w:name w:val="heading 1"/>
    <w:basedOn w:val="1"/>
    <w:next w:val="1"/>
    <w:autoRedefine/>
    <w:qFormat/>
    <w:uiPriority w:val="9"/>
    <w:pPr>
      <w:keepNext/>
      <w:keepLines/>
      <w:spacing w:beforeLines="0" w:beforeAutospacing="0" w:after="400" w:afterLines="0" w:afterAutospacing="0" w:line="400" w:lineRule="exact"/>
      <w:jc w:val="center"/>
      <w:outlineLvl w:val="0"/>
    </w:pPr>
    <w:rPr>
      <w:rFonts w:ascii="Calibri" w:hAnsi="Calibri" w:eastAsia="宋体"/>
      <w:b/>
      <w:kern w:val="44"/>
      <w:sz w:val="32"/>
    </w:rPr>
  </w:style>
  <w:style w:type="paragraph" w:styleId="3">
    <w:name w:val="heading 2"/>
    <w:basedOn w:val="1"/>
    <w:next w:val="1"/>
    <w:autoRedefine/>
    <w:unhideWhenUsed/>
    <w:qFormat/>
    <w:uiPriority w:val="9"/>
    <w:pPr>
      <w:keepNext/>
      <w:keepLines/>
      <w:numPr>
        <w:ilvl w:val="0"/>
        <w:numId w:val="1"/>
      </w:numPr>
      <w:spacing w:before="50" w:beforeLines="50" w:beforeAutospacing="0" w:afterAutospacing="0" w:line="360" w:lineRule="auto"/>
      <w:ind w:firstLine="0" w:firstLineChars="0"/>
      <w:outlineLvl w:val="1"/>
    </w:pPr>
    <w:rPr>
      <w:rFonts w:ascii="Arial" w:hAnsi="Arial"/>
      <w:b/>
    </w:rPr>
  </w:style>
  <w:style w:type="paragraph" w:styleId="4">
    <w:name w:val="heading 3"/>
    <w:basedOn w:val="1"/>
    <w:next w:val="1"/>
    <w:autoRedefine/>
    <w:unhideWhenUsed/>
    <w:qFormat/>
    <w:uiPriority w:val="9"/>
    <w:pPr>
      <w:keepNext/>
      <w:keepLines/>
      <w:numPr>
        <w:ilvl w:val="0"/>
        <w:numId w:val="2"/>
      </w:numPr>
      <w:snapToGrid w:val="0"/>
      <w:spacing w:beforeLines="0" w:beforeAutospacing="0" w:afterLines="0" w:afterAutospacing="0" w:line="360" w:lineRule="auto"/>
      <w:ind w:firstLine="0" w:firstLineChars="0"/>
      <w:outlineLvl w:val="2"/>
    </w:pPr>
    <w:rPr>
      <w:b/>
      <w:sz w:val="21"/>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w:basedOn w:val="1"/>
    <w:autoRedefine/>
    <w:unhideWhenUsed/>
    <w:qFormat/>
    <w:uiPriority w:val="99"/>
  </w:style>
  <w:style w:type="paragraph" w:customStyle="1" w:styleId="8">
    <w:name w:val="正文_3"/>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2024-04-10T02:13:00Z</dcterms:created>
  <dc:creator>晴天. . .那一刻 </dc:creator>
  <cp:lastModifiedBy>晴天. . .那一刻 </cp:lastModifiedBy>
  <dcterms:modified xsi:type="dcterms:W3CDTF">2024-08-06T01:14:08Z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216F81B761124C2D94B7F24EB94167A1_13</vt:lpwstr>
  </property>
</Properties>
</file>