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48A4B7">
      <w:pPr>
        <w:ind w:firstLine="2520" w:firstLineChars="700"/>
        <w:rPr>
          <w:rFonts w:hint="eastAsia"/>
          <w:sz w:val="36"/>
          <w:szCs w:val="36"/>
        </w:rPr>
      </w:pPr>
    </w:p>
    <w:p w14:paraId="45721A5F">
      <w:pPr>
        <w:ind w:firstLine="2520" w:firstLineChars="700"/>
        <w:rPr>
          <w:sz w:val="36"/>
          <w:szCs w:val="36"/>
        </w:rPr>
      </w:pPr>
    </w:p>
    <w:p w14:paraId="76611686">
      <w:pPr>
        <w:spacing w:line="720" w:lineRule="auto"/>
        <w:ind w:firstLine="522" w:firstLineChars="100"/>
        <w:rPr>
          <w:rFonts w:ascii="黑体" w:eastAsia="黑体"/>
          <w:b/>
          <w:sz w:val="52"/>
          <w:szCs w:val="52"/>
        </w:rPr>
      </w:pPr>
      <w:r>
        <w:rPr>
          <w:rFonts w:ascii="黑体" w:eastAsia="黑体"/>
          <w:b/>
          <w:sz w:val="52"/>
          <w:szCs w:val="52"/>
        </w:rPr>
        <w:pict>
          <v:shape id="_x0000_i1025" o:spt="136" type="#_x0000_t136" style="height:36pt;width:360pt;" fillcolor="#0000FF" filled="t" stroked="t" coordsize="21600,21600">
            <v:path/>
            <v:fill on="t" focussize="0,0"/>
            <v:stroke color="#0000FF"/>
            <v:imagedata o:title=""/>
            <o:lock v:ext="edit"/>
            <v:textpath on="t" fitshape="t" fitpath="t" trim="t" xscale="f" string="常州市新北区三井街道" style="font-family:宋体;font-size:36pt;v-text-align:center;"/>
            <w10:wrap type="none"/>
            <w10:anchorlock/>
          </v:shape>
        </w:pict>
      </w:r>
    </w:p>
    <w:p w14:paraId="051A8A11">
      <w:pPr>
        <w:spacing w:line="720" w:lineRule="auto"/>
        <w:ind w:left="2703" w:hanging="2703" w:hangingChars="612"/>
        <w:rPr>
          <w:rFonts w:ascii="黑体" w:eastAsia="黑体"/>
          <w:b/>
          <w:sz w:val="32"/>
          <w:szCs w:val="32"/>
        </w:rPr>
      </w:pPr>
      <w:r>
        <w:rPr>
          <w:rFonts w:ascii="黑体" w:eastAsia="黑体"/>
          <w:b/>
          <w:sz w:val="44"/>
          <w:szCs w:val="44"/>
        </w:rPr>
        <w:pict>
          <v:shape id="_x0000_i1026" o:spt="136" type="#_x0000_t136" style="height:23.3pt;width:420.35pt;" fillcolor="#0000FF" filled="t" stroked="t" coordsize="21600,21600">
            <v:path/>
            <v:fill on="t" focussize="0,0"/>
            <v:stroke color="#0000FF"/>
            <v:imagedata o:title=""/>
            <o:lock v:ext="edit"/>
            <v:textpath on="t" fitshape="t" fitpath="t" trim="t" xscale="f" string="国民经济和社会发展第十三个五年规划研究" style="font-family:宋体;font-size:36pt;v-text-align:center;"/>
            <w10:wrap type="none"/>
            <w10:anchorlock/>
          </v:shape>
        </w:pict>
      </w:r>
      <w:r>
        <w:rPr>
          <w:rFonts w:ascii="黑体" w:eastAsia="黑体"/>
          <w:b/>
          <w:sz w:val="32"/>
          <w:szCs w:val="32"/>
        </w:rPr>
        <w:pict>
          <v:shape id="_x0000_i1027" o:spt="136" type="#_x0000_t136" style="height:24.35pt;width:155.65pt;" fillcolor="#0000FF" filled="t" stroked="t" coordsize="21600,21600" adj=",10800">
            <v:path/>
            <v:fill on="t" focussize="0,0"/>
            <v:stroke color="#0000FF"/>
            <v:imagedata o:title=""/>
            <o:lock v:ext="edit"/>
            <v:textpath on="t" fitshape="t" fitpath="t" trim="t" xscale="f" string="（2016-2020）" style="font-family:宋体;font-size:24pt;v-text-align:center;"/>
            <w10:wrap type="none"/>
            <w10:anchorlock/>
          </v:shape>
        </w:pict>
      </w:r>
    </w:p>
    <w:p w14:paraId="186687A2">
      <w:pPr>
        <w:spacing w:line="480" w:lineRule="auto"/>
        <w:ind w:left="2939" w:hanging="2939" w:hangingChars="563"/>
        <w:rPr>
          <w:rFonts w:ascii="黑体" w:eastAsia="黑体"/>
          <w:b/>
          <w:sz w:val="52"/>
          <w:szCs w:val="52"/>
        </w:rPr>
      </w:pPr>
    </w:p>
    <w:p w14:paraId="0760BCC8">
      <w:pPr>
        <w:spacing w:line="480" w:lineRule="auto"/>
        <w:ind w:firstLine="1104" w:firstLineChars="250"/>
        <w:rPr>
          <w:rFonts w:ascii="宋体" w:hAnsi="宋体"/>
          <w:b/>
          <w:bCs/>
          <w:color w:val="FF0000"/>
          <w:sz w:val="44"/>
        </w:rPr>
      </w:pPr>
      <w:r>
        <w:rPr>
          <w:rFonts w:ascii="宋体" w:hAnsi="宋体"/>
          <w:b/>
          <w:color w:val="FF0000"/>
          <w:sz w:val="44"/>
        </w:rPr>
        <w:drawing>
          <wp:inline distT="0" distB="0" distL="0" distR="0">
            <wp:extent cx="3571875" cy="2857500"/>
            <wp:effectExtent l="19050" t="0" r="9525" b="0"/>
            <wp:docPr id="68" name="图片 2"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 descr="0"/>
                    <pic:cNvPicPr>
                      <a:picLocks noChangeAspect="1" noChangeArrowheads="1"/>
                    </pic:cNvPicPr>
                  </pic:nvPicPr>
                  <pic:blipFill>
                    <a:blip r:embed="rId7" cstate="print"/>
                    <a:srcRect/>
                    <a:stretch>
                      <a:fillRect/>
                    </a:stretch>
                  </pic:blipFill>
                  <pic:spPr>
                    <a:xfrm>
                      <a:off x="0" y="0"/>
                      <a:ext cx="3571875" cy="2857500"/>
                    </a:xfrm>
                    <a:prstGeom prst="rect">
                      <a:avLst/>
                    </a:prstGeom>
                    <a:solidFill>
                      <a:srgbClr val="0000FF"/>
                    </a:solidFill>
                    <a:ln w="9525">
                      <a:noFill/>
                      <a:miter lim="800000"/>
                      <a:headEnd/>
                      <a:tailEnd/>
                    </a:ln>
                  </pic:spPr>
                </pic:pic>
              </a:graphicData>
            </a:graphic>
          </wp:inline>
        </w:drawing>
      </w:r>
    </w:p>
    <w:p w14:paraId="6C64CC0E">
      <w:pPr>
        <w:spacing w:line="480" w:lineRule="auto"/>
        <w:ind w:left="2413" w:leftChars="535" w:hanging="1290" w:hangingChars="292"/>
        <w:rPr>
          <w:rFonts w:ascii="宋体" w:hAnsi="宋体"/>
          <w:b/>
          <w:bCs/>
          <w:color w:val="FF0000"/>
          <w:sz w:val="44"/>
        </w:rPr>
      </w:pPr>
    </w:p>
    <w:p w14:paraId="77512BD6">
      <w:pPr>
        <w:spacing w:line="480" w:lineRule="auto"/>
        <w:ind w:left="2110" w:leftChars="1005"/>
        <w:rPr>
          <w:rFonts w:ascii="黑体" w:hAnsi="宋体" w:eastAsia="黑体"/>
          <w:b/>
          <w:bCs/>
          <w:color w:val="0000FF"/>
          <w:sz w:val="44"/>
        </w:rPr>
      </w:pPr>
      <w:r>
        <w:rPr>
          <w:rFonts w:hint="eastAsia" w:ascii="黑体" w:hAnsi="宋体" w:eastAsia="黑体"/>
          <w:b/>
          <w:bCs/>
          <w:color w:val="0000FF"/>
          <w:sz w:val="44"/>
        </w:rPr>
        <w:t>江苏省常州市三井街道</w:t>
      </w:r>
    </w:p>
    <w:p w14:paraId="62367A69">
      <w:pPr>
        <w:spacing w:line="480" w:lineRule="auto"/>
        <w:ind w:left="2394" w:leftChars="955" w:hanging="389" w:hangingChars="88"/>
        <w:rPr>
          <w:rFonts w:ascii="黑体" w:hAnsi="宋体" w:eastAsia="黑体"/>
          <w:b/>
          <w:bCs/>
          <w:color w:val="0000FF"/>
          <w:sz w:val="44"/>
        </w:rPr>
      </w:pPr>
      <w:r>
        <w:rPr>
          <w:rFonts w:hint="eastAsia" w:ascii="黑体" w:hAnsi="宋体" w:eastAsia="黑体"/>
          <w:b/>
          <w:bCs/>
          <w:color w:val="0000FF"/>
          <w:sz w:val="44"/>
        </w:rPr>
        <w:t>北京比尔特经济咨询中心</w:t>
      </w:r>
    </w:p>
    <w:p w14:paraId="113800C9">
      <w:pPr>
        <w:spacing w:line="480" w:lineRule="auto"/>
        <w:ind w:left="2394" w:leftChars="1140" w:firstLine="964" w:firstLineChars="300"/>
        <w:rPr>
          <w:rFonts w:ascii="黑体" w:hAnsi="宋体" w:eastAsia="黑体"/>
          <w:b/>
          <w:bCs/>
          <w:color w:val="0000FF"/>
          <w:sz w:val="32"/>
          <w:szCs w:val="32"/>
        </w:rPr>
      </w:pPr>
      <w:r>
        <w:rPr>
          <w:rFonts w:hint="eastAsia" w:ascii="黑体" w:hAnsi="宋体" w:eastAsia="黑体"/>
          <w:b/>
          <w:bCs/>
          <w:color w:val="0000FF"/>
          <w:sz w:val="32"/>
          <w:szCs w:val="32"/>
        </w:rPr>
        <w:t>2015年12月</w:t>
      </w:r>
    </w:p>
    <w:p w14:paraId="40AC0570">
      <w:pPr>
        <w:rPr>
          <w:rFonts w:ascii="黑体" w:hAnsi="宋体" w:eastAsia="黑体"/>
          <w:b/>
          <w:bCs/>
          <w:color w:val="000000"/>
          <w:sz w:val="44"/>
        </w:rPr>
      </w:pPr>
      <w:r>
        <w:rPr>
          <w:rFonts w:ascii="黑体" w:hAnsi="宋体" w:eastAsia="黑体"/>
          <w:b/>
          <w:bCs/>
          <w:color w:val="000000"/>
          <w:sz w:val="44"/>
        </w:rPr>
        <w:br w:type="page"/>
      </w:r>
    </w:p>
    <w:p w14:paraId="1B19AEA8">
      <w:pPr>
        <w:rPr>
          <w:rFonts w:ascii="宋体" w:hAnsi="宋体" w:cs="宋体"/>
          <w:bCs/>
          <w:kern w:val="0"/>
          <w:sz w:val="28"/>
          <w:szCs w:val="28"/>
          <w:lang w:val="zh-CN"/>
        </w:rPr>
      </w:pPr>
      <w:r>
        <w:rPr>
          <w:rFonts w:hint="eastAsia" w:ascii="宋体" w:hAnsi="宋体" w:cs="宋体"/>
          <w:bCs/>
          <w:kern w:val="0"/>
          <w:sz w:val="28"/>
          <w:szCs w:val="28"/>
          <w:lang w:val="zh-CN"/>
        </w:rPr>
        <w:t xml:space="preserve">                        </w:t>
      </w:r>
    </w:p>
    <w:p w14:paraId="13AA8987">
      <w:pPr>
        <w:rPr>
          <w:rFonts w:ascii="黑体" w:hAnsi="宋体" w:eastAsia="黑体" w:cs="宋体"/>
          <w:b/>
          <w:bCs/>
          <w:kern w:val="0"/>
          <w:sz w:val="44"/>
          <w:szCs w:val="44"/>
          <w:lang w:val="zh-CN"/>
        </w:rPr>
      </w:pPr>
      <w:r>
        <w:rPr>
          <w:rFonts w:hint="eastAsia" w:ascii="宋体" w:hAnsi="宋体" w:cs="宋体"/>
          <w:bCs/>
          <w:kern w:val="0"/>
          <w:sz w:val="28"/>
          <w:szCs w:val="28"/>
          <w:lang w:val="zh-CN"/>
        </w:rPr>
        <w:t xml:space="preserve">                       </w:t>
      </w:r>
      <w:r>
        <w:rPr>
          <w:rFonts w:hint="eastAsia" w:ascii="黑体" w:hAnsi="宋体" w:eastAsia="黑体" w:cs="宋体"/>
          <w:b/>
          <w:bCs/>
          <w:kern w:val="0"/>
          <w:sz w:val="44"/>
          <w:szCs w:val="44"/>
          <w:lang w:val="zh-CN"/>
        </w:rPr>
        <w:t>内容提要</w:t>
      </w:r>
    </w:p>
    <w:p w14:paraId="6334F034">
      <w:pPr>
        <w:rPr>
          <w:rFonts w:ascii="黑体" w:hAnsi="宋体" w:eastAsia="黑体" w:cs="宋体"/>
          <w:b/>
          <w:bCs/>
          <w:kern w:val="0"/>
          <w:sz w:val="44"/>
          <w:szCs w:val="44"/>
          <w:lang w:val="zh-CN"/>
        </w:rPr>
      </w:pPr>
    </w:p>
    <w:p w14:paraId="7EBDC6F9">
      <w:pPr>
        <w:spacing w:line="480" w:lineRule="auto"/>
        <w:ind w:firstLine="640" w:firstLineChars="200"/>
        <w:rPr>
          <w:rFonts w:ascii="华文隶书" w:hAnsi="宋体" w:eastAsia="华文隶书" w:cs="宋体"/>
          <w:bCs/>
          <w:kern w:val="0"/>
          <w:sz w:val="32"/>
          <w:szCs w:val="32"/>
          <w:lang w:val="zh-CN"/>
        </w:rPr>
      </w:pPr>
      <w:r>
        <w:rPr>
          <w:rFonts w:hint="eastAsia" w:ascii="华文隶书" w:hAnsi="宋体" w:eastAsia="华文隶书" w:cs="宋体"/>
          <w:bCs/>
          <w:kern w:val="0"/>
          <w:sz w:val="32"/>
          <w:szCs w:val="32"/>
          <w:lang w:val="zh-CN"/>
        </w:rPr>
        <w:t>发展是主题，转型是主线。转型发展考验着所有人的智慧和胆略，谁能在新一轮的经济“洗牌”中超前谋划，谁就能占得先机；谁能在新一轮的产业革命中率先转型，谁就能获得主动。</w:t>
      </w:r>
      <w:r>
        <w:rPr>
          <w:rFonts w:hint="eastAsia" w:ascii="华文隶书" w:hAnsi="宋体" w:eastAsia="华文隶书"/>
          <w:color w:val="000000"/>
          <w:sz w:val="32"/>
          <w:szCs w:val="32"/>
        </w:rPr>
        <w:t>2020年是党的十八大确定的两个“中国梦”之一——全面建成小康社会实现时间，也是党的十八届三中全会确定在重要领域和关键环节改革上取得决定性成果时间。对于常州市三井街道而言，“十三五”（2016-2020）是“二次创业”关键时期，如何谋定而后动，谋划三井街道“十三五”发展规划，关系到三井街道在未来发展中能否抢得先机，能否获得主动。</w:t>
      </w:r>
    </w:p>
    <w:p w14:paraId="739B91C5">
      <w:pPr>
        <w:spacing w:line="480" w:lineRule="auto"/>
        <w:ind w:firstLine="640" w:firstLineChars="200"/>
        <w:rPr>
          <w:rFonts w:ascii="华文隶书" w:hAnsi="宋体" w:eastAsia="华文隶书"/>
          <w:color w:val="000000"/>
          <w:sz w:val="32"/>
          <w:szCs w:val="32"/>
        </w:rPr>
      </w:pPr>
      <w:r>
        <w:rPr>
          <w:rFonts w:hint="eastAsia" w:ascii="华文隶书" w:hAnsi="宋体" w:eastAsia="华文隶书"/>
          <w:color w:val="000000"/>
          <w:sz w:val="32"/>
          <w:szCs w:val="32"/>
        </w:rPr>
        <w:t>在社会经济格局大调整背景下，编制三井街道“十三五”发展规划，既需要智慧，又需要胆略；既需要有宏观上的高度和广度，又需要微观上精度和深度。三井街道“十三五”国民经济和社会发展研究，遵循“形势判断——精准定位——目标确定——问题剖析——路径选择——措施建议……”内在思维逻辑，破解三井街道社会经济转型升级之题。</w:t>
      </w:r>
    </w:p>
    <w:p w14:paraId="79C7E4E0">
      <w:pPr>
        <w:widowControl/>
        <w:jc w:val="left"/>
        <w:rPr>
          <w:rFonts w:ascii="黑体" w:hAnsi="宋体" w:eastAsia="黑体"/>
          <w:b/>
          <w:bCs/>
          <w:color w:val="000000"/>
          <w:sz w:val="44"/>
          <w:szCs w:val="44"/>
        </w:rPr>
      </w:pPr>
    </w:p>
    <w:p w14:paraId="1EF7099B">
      <w:pPr>
        <w:widowControl/>
        <w:jc w:val="left"/>
        <w:rPr>
          <w:rFonts w:ascii="黑体" w:hAnsi="宋体" w:eastAsia="黑体"/>
          <w:b/>
          <w:bCs/>
          <w:color w:val="000000"/>
          <w:sz w:val="44"/>
          <w:szCs w:val="44"/>
        </w:rPr>
      </w:pPr>
    </w:p>
    <w:p w14:paraId="6A983F65">
      <w:pPr>
        <w:ind w:firstLine="2580" w:firstLineChars="584"/>
        <w:rPr>
          <w:rFonts w:ascii="黑体" w:hAnsi="宋体" w:eastAsia="黑体"/>
          <w:b/>
          <w:bCs/>
          <w:color w:val="000000"/>
          <w:sz w:val="44"/>
          <w:szCs w:val="44"/>
        </w:rPr>
      </w:pPr>
    </w:p>
    <w:p w14:paraId="12DFF178">
      <w:pPr>
        <w:ind w:firstLine="2580" w:firstLineChars="584"/>
        <w:rPr>
          <w:rFonts w:ascii="黑体" w:hAnsi="宋体" w:eastAsia="黑体"/>
          <w:b/>
          <w:bCs/>
          <w:color w:val="000000"/>
          <w:sz w:val="44"/>
          <w:szCs w:val="44"/>
        </w:rPr>
      </w:pPr>
    </w:p>
    <w:p w14:paraId="0D3E4C3E">
      <w:pPr>
        <w:ind w:firstLine="2580" w:firstLineChars="584"/>
        <w:rPr>
          <w:rFonts w:ascii="黑体" w:hAnsi="宋体" w:eastAsia="黑体"/>
          <w:b/>
          <w:bCs/>
          <w:color w:val="000000" w:themeColor="text1"/>
          <w:sz w:val="44"/>
          <w:szCs w:val="44"/>
          <w14:textFill>
            <w14:solidFill>
              <w14:schemeClr w14:val="tx1"/>
            </w14:solidFill>
          </w14:textFill>
        </w:rPr>
      </w:pPr>
      <w:r>
        <w:rPr>
          <w:rFonts w:hint="eastAsia" w:ascii="黑体" w:hAnsi="宋体" w:eastAsia="黑体"/>
          <w:b/>
          <w:bCs/>
          <w:color w:val="000000" w:themeColor="text1"/>
          <w:sz w:val="44"/>
          <w:szCs w:val="44"/>
          <w14:textFill>
            <w14:solidFill>
              <w14:schemeClr w14:val="tx1"/>
            </w14:solidFill>
          </w14:textFill>
        </w:rPr>
        <w:t>目     录</w:t>
      </w:r>
    </w:p>
    <w:p w14:paraId="37BC394B">
      <w:pPr>
        <w:spacing w:line="480" w:lineRule="auto"/>
        <w:rPr>
          <w:rFonts w:ascii="华文楷体" w:hAnsi="华文楷体" w:eastAsia="华文楷体"/>
          <w:b/>
          <w:bCs/>
          <w:color w:val="000000" w:themeColor="text1"/>
          <w:sz w:val="28"/>
          <w:szCs w:val="28"/>
          <w14:textFill>
            <w14:solidFill>
              <w14:schemeClr w14:val="tx1"/>
            </w14:solidFill>
          </w14:textFill>
        </w:rPr>
      </w:pPr>
      <w:r>
        <w:rPr>
          <w:rFonts w:hint="eastAsia" w:ascii="华文楷体" w:hAnsi="华文楷体" w:eastAsia="华文楷体"/>
          <w:b/>
          <w:bCs/>
          <w:color w:val="000000" w:themeColor="text1"/>
          <w:sz w:val="28"/>
          <w:szCs w:val="28"/>
          <w14:textFill>
            <w14:solidFill>
              <w14:schemeClr w14:val="tx1"/>
            </w14:solidFill>
          </w14:textFill>
        </w:rPr>
        <w:t>引    言</w:t>
      </w:r>
      <w:r>
        <w:rPr>
          <w:rFonts w:ascii="华文楷体" w:hAnsi="华文楷体" w:eastAsia="华文楷体"/>
          <w:b/>
          <w:bCs/>
          <w:color w:val="000000" w:themeColor="text1"/>
          <w:sz w:val="28"/>
          <w:szCs w:val="28"/>
          <w14:textFill>
            <w14:solidFill>
              <w14:schemeClr w14:val="tx1"/>
            </w14:solidFill>
          </w14:textFill>
        </w:rPr>
        <w:t>…………………………………………………………………</w:t>
      </w:r>
      <w:r>
        <w:rPr>
          <w:rFonts w:hint="eastAsia" w:ascii="华文楷体" w:hAnsi="华文楷体" w:eastAsia="华文楷体"/>
          <w:b/>
          <w:bCs/>
          <w:color w:val="000000" w:themeColor="text1"/>
          <w:sz w:val="28"/>
          <w:szCs w:val="28"/>
          <w14:textFill>
            <w14:solidFill>
              <w14:schemeClr w14:val="tx1"/>
            </w14:solidFill>
          </w14:textFill>
        </w:rPr>
        <w:t>4</w:t>
      </w:r>
    </w:p>
    <w:p w14:paraId="3A0C5946">
      <w:pPr>
        <w:numPr>
          <w:ilvl w:val="0"/>
          <w:numId w:val="1"/>
        </w:numPr>
        <w:spacing w:line="480" w:lineRule="auto"/>
        <w:rPr>
          <w:rFonts w:ascii="华文楷体" w:hAnsi="华文楷体" w:eastAsia="华文楷体"/>
          <w:color w:val="000000" w:themeColor="text1"/>
          <w:sz w:val="28"/>
          <w:szCs w:val="28"/>
          <w14:textFill>
            <w14:solidFill>
              <w14:schemeClr w14:val="tx1"/>
            </w14:solidFill>
          </w14:textFill>
        </w:rPr>
      </w:pPr>
      <w:r>
        <w:rPr>
          <w:rFonts w:hint="eastAsia" w:ascii="华文楷体" w:hAnsi="华文楷体" w:eastAsia="华文楷体"/>
          <w:color w:val="000000" w:themeColor="text1"/>
          <w:sz w:val="28"/>
          <w:szCs w:val="28"/>
          <w14:textFill>
            <w14:solidFill>
              <w14:schemeClr w14:val="tx1"/>
            </w14:solidFill>
          </w14:textFill>
        </w:rPr>
        <w:t>三井街道“十二五”规划执行情况</w:t>
      </w:r>
      <w:r>
        <w:rPr>
          <w:rFonts w:ascii="华文楷体" w:hAnsi="华文楷体" w:eastAsia="华文楷体"/>
          <w:color w:val="000000" w:themeColor="text1"/>
          <w:sz w:val="28"/>
          <w:szCs w:val="28"/>
          <w14:textFill>
            <w14:solidFill>
              <w14:schemeClr w14:val="tx1"/>
            </w14:solidFill>
          </w14:textFill>
        </w:rPr>
        <w:t>………………………………</w:t>
      </w:r>
      <w:r>
        <w:rPr>
          <w:rFonts w:hint="eastAsia" w:ascii="华文楷体" w:hAnsi="华文楷体" w:eastAsia="华文楷体"/>
          <w:color w:val="000000" w:themeColor="text1"/>
          <w:sz w:val="28"/>
          <w:szCs w:val="28"/>
          <w14:textFill>
            <w14:solidFill>
              <w14:schemeClr w14:val="tx1"/>
            </w14:solidFill>
          </w14:textFill>
        </w:rPr>
        <w:t>7</w:t>
      </w:r>
    </w:p>
    <w:p w14:paraId="2DD6B5EE">
      <w:pPr>
        <w:widowControl/>
        <w:spacing w:line="480" w:lineRule="auto"/>
        <w:rPr>
          <w:rFonts w:ascii="华文楷体" w:hAnsi="华文楷体" w:eastAsia="华文楷体" w:cs="宋体"/>
          <w:color w:val="000000" w:themeColor="text1"/>
          <w:kern w:val="0"/>
          <w:sz w:val="28"/>
          <w:szCs w:val="28"/>
          <w14:textFill>
            <w14:solidFill>
              <w14:schemeClr w14:val="tx1"/>
            </w14:solidFill>
          </w14:textFill>
        </w:rPr>
      </w:pPr>
      <w:r>
        <w:rPr>
          <w:rFonts w:hint="eastAsia" w:ascii="华文楷体" w:hAnsi="华文楷体" w:eastAsia="华文楷体" w:cs="宋体"/>
          <w:color w:val="000000" w:themeColor="text1"/>
          <w:kern w:val="0"/>
          <w:sz w:val="28"/>
          <w:szCs w:val="28"/>
          <w14:textFill>
            <w14:solidFill>
              <w14:schemeClr w14:val="tx1"/>
            </w14:solidFill>
          </w14:textFill>
        </w:rPr>
        <w:t>（一）“十二五”期间国民经济和社会发展概况</w:t>
      </w:r>
      <w:r>
        <w:rPr>
          <w:rFonts w:ascii="华文楷体" w:hAnsi="华文楷体" w:eastAsia="华文楷体" w:cs="宋体"/>
          <w:color w:val="000000" w:themeColor="text1"/>
          <w:kern w:val="0"/>
          <w:sz w:val="28"/>
          <w:szCs w:val="28"/>
          <w14:textFill>
            <w14:solidFill>
              <w14:schemeClr w14:val="tx1"/>
            </w14:solidFill>
          </w14:textFill>
        </w:rPr>
        <w:t>………………………</w:t>
      </w:r>
      <w:r>
        <w:rPr>
          <w:rFonts w:hint="eastAsia" w:ascii="华文楷体" w:hAnsi="华文楷体" w:eastAsia="华文楷体" w:cs="宋体"/>
          <w:color w:val="000000" w:themeColor="text1"/>
          <w:kern w:val="0"/>
          <w:sz w:val="28"/>
          <w:szCs w:val="28"/>
          <w14:textFill>
            <w14:solidFill>
              <w14:schemeClr w14:val="tx1"/>
            </w14:solidFill>
          </w14:textFill>
        </w:rPr>
        <w:t>7</w:t>
      </w:r>
    </w:p>
    <w:p w14:paraId="67E7B45E">
      <w:pPr>
        <w:spacing w:line="480" w:lineRule="auto"/>
        <w:rPr>
          <w:rFonts w:ascii="华文楷体" w:hAnsi="华文楷体" w:eastAsia="华文楷体"/>
          <w:color w:val="000000" w:themeColor="text1"/>
          <w:sz w:val="28"/>
          <w:szCs w:val="28"/>
          <w14:textFill>
            <w14:solidFill>
              <w14:schemeClr w14:val="tx1"/>
            </w14:solidFill>
          </w14:textFill>
        </w:rPr>
      </w:pPr>
      <w:r>
        <w:rPr>
          <w:rFonts w:hint="eastAsia" w:ascii="华文楷体" w:hAnsi="华文楷体" w:eastAsia="华文楷体"/>
          <w:color w:val="000000" w:themeColor="text1"/>
          <w:sz w:val="28"/>
          <w:szCs w:val="28"/>
          <w14:textFill>
            <w14:solidFill>
              <w14:schemeClr w14:val="tx1"/>
            </w14:solidFill>
          </w14:textFill>
        </w:rPr>
        <w:t>（二）“十二五”期间国民经济和社会发展主要特点</w:t>
      </w:r>
      <w:r>
        <w:rPr>
          <w:rFonts w:ascii="华文楷体" w:hAnsi="华文楷体" w:eastAsia="华文楷体"/>
          <w:color w:val="000000" w:themeColor="text1"/>
          <w:sz w:val="28"/>
          <w:szCs w:val="28"/>
          <w14:textFill>
            <w14:solidFill>
              <w14:schemeClr w14:val="tx1"/>
            </w14:solidFill>
          </w14:textFill>
        </w:rPr>
        <w:t>…………………</w:t>
      </w:r>
      <w:r>
        <w:rPr>
          <w:rFonts w:hint="eastAsia" w:ascii="华文楷体" w:hAnsi="华文楷体" w:eastAsia="华文楷体"/>
          <w:color w:val="000000" w:themeColor="text1"/>
          <w:sz w:val="28"/>
          <w:szCs w:val="28"/>
          <w14:textFill>
            <w14:solidFill>
              <w14:schemeClr w14:val="tx1"/>
            </w14:solidFill>
          </w14:textFill>
        </w:rPr>
        <w:t>10</w:t>
      </w:r>
    </w:p>
    <w:p w14:paraId="5E13D3FA">
      <w:pPr>
        <w:widowControl/>
        <w:spacing w:line="480" w:lineRule="auto"/>
        <w:rPr>
          <w:rFonts w:ascii="华文楷体" w:hAnsi="华文楷体" w:eastAsia="华文楷体" w:cs="宋体"/>
          <w:color w:val="000000" w:themeColor="text1"/>
          <w:kern w:val="0"/>
          <w:sz w:val="28"/>
          <w:szCs w:val="28"/>
          <w14:textFill>
            <w14:solidFill>
              <w14:schemeClr w14:val="tx1"/>
            </w14:solidFill>
          </w14:textFill>
        </w:rPr>
      </w:pPr>
      <w:r>
        <w:rPr>
          <w:rFonts w:hint="eastAsia" w:ascii="华文楷体" w:hAnsi="华文楷体" w:eastAsia="华文楷体"/>
          <w:color w:val="000000" w:themeColor="text1"/>
          <w:sz w:val="28"/>
          <w:szCs w:val="28"/>
          <w14:textFill>
            <w14:solidFill>
              <w14:schemeClr w14:val="tx1"/>
            </w14:solidFill>
          </w14:textFill>
        </w:rPr>
        <w:t>（三）“十二五”期间三井街道有待解决问题</w:t>
      </w:r>
      <w:r>
        <w:rPr>
          <w:rFonts w:ascii="华文楷体" w:hAnsi="华文楷体" w:eastAsia="华文楷体"/>
          <w:color w:val="000000" w:themeColor="text1"/>
          <w:sz w:val="28"/>
          <w:szCs w:val="28"/>
          <w14:textFill>
            <w14:solidFill>
              <w14:schemeClr w14:val="tx1"/>
            </w14:solidFill>
          </w14:textFill>
        </w:rPr>
        <w:t>…………………………</w:t>
      </w:r>
      <w:r>
        <w:rPr>
          <w:rFonts w:hint="eastAsia" w:ascii="华文楷体" w:hAnsi="华文楷体" w:eastAsia="华文楷体"/>
          <w:color w:val="000000" w:themeColor="text1"/>
          <w:sz w:val="28"/>
          <w:szCs w:val="28"/>
          <w14:textFill>
            <w14:solidFill>
              <w14:schemeClr w14:val="tx1"/>
            </w14:solidFill>
          </w14:textFill>
        </w:rPr>
        <w:t>13</w:t>
      </w:r>
    </w:p>
    <w:p w14:paraId="23B3D3EB">
      <w:pPr>
        <w:pStyle w:val="29"/>
        <w:spacing w:line="480" w:lineRule="auto"/>
        <w:ind w:firstLine="0" w:firstLineChars="0"/>
        <w:rPr>
          <w:rFonts w:ascii="华文楷体" w:hAnsi="华文楷体" w:eastAsia="华文楷体" w:cs="宋体"/>
          <w:color w:val="000000" w:themeColor="text1"/>
          <w:kern w:val="0"/>
          <w:sz w:val="28"/>
          <w:szCs w:val="28"/>
          <w14:textFill>
            <w14:solidFill>
              <w14:schemeClr w14:val="tx1"/>
            </w14:solidFill>
          </w14:textFill>
        </w:rPr>
      </w:pPr>
      <w:r>
        <w:rPr>
          <w:rFonts w:hint="eastAsia" w:ascii="华文楷体" w:hAnsi="华文楷体" w:eastAsia="华文楷体"/>
          <w:color w:val="000000" w:themeColor="text1"/>
          <w:sz w:val="28"/>
          <w:szCs w:val="28"/>
          <w14:textFill>
            <w14:solidFill>
              <w14:schemeClr w14:val="tx1"/>
            </w14:solidFill>
          </w14:textFill>
        </w:rPr>
        <w:t>二、“十三五”期间三井街道发展环境</w:t>
      </w:r>
      <w:r>
        <w:rPr>
          <w:rFonts w:ascii="华文楷体" w:hAnsi="华文楷体" w:eastAsia="华文楷体"/>
          <w:color w:val="000000" w:themeColor="text1"/>
          <w:sz w:val="28"/>
          <w:szCs w:val="28"/>
          <w14:textFill>
            <w14:solidFill>
              <w14:schemeClr w14:val="tx1"/>
            </w14:solidFill>
          </w14:textFill>
        </w:rPr>
        <w:t>…………………………………</w:t>
      </w:r>
      <w:r>
        <w:rPr>
          <w:rFonts w:hint="eastAsia" w:ascii="华文楷体" w:hAnsi="华文楷体" w:eastAsia="华文楷体"/>
          <w:color w:val="000000" w:themeColor="text1"/>
          <w:sz w:val="28"/>
          <w:szCs w:val="28"/>
          <w14:textFill>
            <w14:solidFill>
              <w14:schemeClr w14:val="tx1"/>
            </w14:solidFill>
          </w14:textFill>
        </w:rPr>
        <w:t>15</w:t>
      </w:r>
    </w:p>
    <w:p w14:paraId="53FA02FC">
      <w:pPr>
        <w:pStyle w:val="29"/>
        <w:spacing w:line="480" w:lineRule="auto"/>
        <w:ind w:firstLine="0" w:firstLineChars="0"/>
        <w:rPr>
          <w:rFonts w:ascii="华文楷体" w:hAnsi="华文楷体" w:eastAsia="华文楷体"/>
          <w:color w:val="000000" w:themeColor="text1"/>
          <w:sz w:val="28"/>
          <w:szCs w:val="28"/>
          <w14:textFill>
            <w14:solidFill>
              <w14:schemeClr w14:val="tx1"/>
            </w14:solidFill>
          </w14:textFill>
        </w:rPr>
      </w:pPr>
      <w:r>
        <w:rPr>
          <w:rFonts w:hint="eastAsia" w:ascii="华文楷体" w:hAnsi="华文楷体" w:eastAsia="华文楷体"/>
          <w:color w:val="000000" w:themeColor="text1"/>
          <w:sz w:val="28"/>
          <w:szCs w:val="28"/>
          <w14:textFill>
            <w14:solidFill>
              <w14:schemeClr w14:val="tx1"/>
            </w14:solidFill>
          </w14:textFill>
        </w:rPr>
        <w:t>（一）国际国内发展形势</w:t>
      </w:r>
      <w:r>
        <w:rPr>
          <w:rFonts w:ascii="华文楷体" w:hAnsi="华文楷体" w:eastAsia="华文楷体"/>
          <w:color w:val="000000" w:themeColor="text1"/>
          <w:sz w:val="28"/>
          <w:szCs w:val="28"/>
          <w14:textFill>
            <w14:solidFill>
              <w14:schemeClr w14:val="tx1"/>
            </w14:solidFill>
          </w14:textFill>
        </w:rPr>
        <w:t>………………………………………………</w:t>
      </w:r>
      <w:r>
        <w:rPr>
          <w:rFonts w:hint="eastAsia" w:ascii="华文楷体" w:hAnsi="华文楷体" w:eastAsia="华文楷体"/>
          <w:color w:val="000000" w:themeColor="text1"/>
          <w:sz w:val="28"/>
          <w:szCs w:val="28"/>
          <w14:textFill>
            <w14:solidFill>
              <w14:schemeClr w14:val="tx1"/>
            </w14:solidFill>
          </w14:textFill>
        </w:rPr>
        <w:t>16</w:t>
      </w:r>
    </w:p>
    <w:p w14:paraId="16D4B6B3">
      <w:pPr>
        <w:pStyle w:val="29"/>
        <w:spacing w:line="480" w:lineRule="auto"/>
        <w:ind w:firstLine="0" w:firstLineChars="0"/>
        <w:rPr>
          <w:rFonts w:ascii="华文楷体" w:hAnsi="华文楷体" w:eastAsia="华文楷体"/>
          <w:color w:val="000000" w:themeColor="text1"/>
          <w:sz w:val="28"/>
          <w:szCs w:val="28"/>
          <w14:textFill>
            <w14:solidFill>
              <w14:schemeClr w14:val="tx1"/>
            </w14:solidFill>
          </w14:textFill>
        </w:rPr>
      </w:pPr>
      <w:r>
        <w:rPr>
          <w:rFonts w:hint="eastAsia" w:ascii="华文楷体" w:hAnsi="华文楷体" w:eastAsia="华文楷体"/>
          <w:color w:val="000000" w:themeColor="text1"/>
          <w:sz w:val="28"/>
          <w:szCs w:val="28"/>
          <w14:textFill>
            <w14:solidFill>
              <w14:schemeClr w14:val="tx1"/>
            </w14:solidFill>
          </w14:textFill>
        </w:rPr>
        <w:t>（二）区域发展环境</w:t>
      </w:r>
      <w:r>
        <w:rPr>
          <w:rFonts w:ascii="华文楷体" w:hAnsi="华文楷体" w:eastAsia="华文楷体"/>
          <w:color w:val="000000" w:themeColor="text1"/>
          <w:sz w:val="28"/>
          <w:szCs w:val="28"/>
          <w14:textFill>
            <w14:solidFill>
              <w14:schemeClr w14:val="tx1"/>
            </w14:solidFill>
          </w14:textFill>
        </w:rPr>
        <w:t>……………………………………………………</w:t>
      </w:r>
      <w:r>
        <w:rPr>
          <w:rFonts w:hint="eastAsia" w:ascii="华文楷体" w:hAnsi="华文楷体" w:eastAsia="华文楷体"/>
          <w:color w:val="000000" w:themeColor="text1"/>
          <w:sz w:val="28"/>
          <w:szCs w:val="28"/>
          <w14:textFill>
            <w14:solidFill>
              <w14:schemeClr w14:val="tx1"/>
            </w14:solidFill>
          </w14:textFill>
        </w:rPr>
        <w:t>18</w:t>
      </w:r>
    </w:p>
    <w:p w14:paraId="188FDA18">
      <w:pPr>
        <w:pStyle w:val="29"/>
        <w:numPr>
          <w:ilvl w:val="0"/>
          <w:numId w:val="2"/>
        </w:numPr>
        <w:spacing w:line="480" w:lineRule="auto"/>
        <w:ind w:firstLineChars="0"/>
        <w:rPr>
          <w:rFonts w:ascii="华文楷体" w:hAnsi="华文楷体" w:eastAsia="华文楷体" w:cs="Times New Roman"/>
          <w:color w:val="000000" w:themeColor="text1"/>
          <w:sz w:val="28"/>
          <w:szCs w:val="28"/>
          <w14:textFill>
            <w14:solidFill>
              <w14:schemeClr w14:val="tx1"/>
            </w14:solidFill>
          </w14:textFill>
        </w:rPr>
      </w:pPr>
      <w:r>
        <w:rPr>
          <w:rFonts w:hint="eastAsia" w:ascii="华文楷体" w:hAnsi="华文楷体" w:eastAsia="华文楷体" w:cs="Times New Roman"/>
          <w:color w:val="000000" w:themeColor="text1"/>
          <w:sz w:val="28"/>
          <w:szCs w:val="28"/>
          <w14:textFill>
            <w14:solidFill>
              <w14:schemeClr w14:val="tx1"/>
            </w14:solidFill>
          </w14:textFill>
        </w:rPr>
        <w:t>自身发展环境</w:t>
      </w:r>
      <w:r>
        <w:rPr>
          <w:rFonts w:ascii="华文楷体" w:hAnsi="华文楷体" w:eastAsia="华文楷体" w:cs="Times New Roman"/>
          <w:color w:val="000000" w:themeColor="text1"/>
          <w:sz w:val="28"/>
          <w:szCs w:val="28"/>
          <w14:textFill>
            <w14:solidFill>
              <w14:schemeClr w14:val="tx1"/>
            </w14:solidFill>
          </w14:textFill>
        </w:rPr>
        <w:t>……………………………………………………</w:t>
      </w:r>
      <w:r>
        <w:rPr>
          <w:rFonts w:hint="eastAsia" w:ascii="华文楷体" w:hAnsi="华文楷体" w:eastAsia="华文楷体" w:cs="Times New Roman"/>
          <w:color w:val="000000" w:themeColor="text1"/>
          <w:sz w:val="28"/>
          <w:szCs w:val="28"/>
          <w14:textFill>
            <w14:solidFill>
              <w14:schemeClr w14:val="tx1"/>
            </w14:solidFill>
          </w14:textFill>
        </w:rPr>
        <w:t>19</w:t>
      </w:r>
    </w:p>
    <w:p w14:paraId="360BF45A">
      <w:pPr>
        <w:pStyle w:val="29"/>
        <w:spacing w:line="480" w:lineRule="auto"/>
        <w:ind w:firstLine="0" w:firstLineChars="0"/>
        <w:rPr>
          <w:rFonts w:ascii="华文楷体" w:hAnsi="华文楷体" w:eastAsia="华文楷体"/>
          <w:color w:val="000000" w:themeColor="text1"/>
          <w:sz w:val="28"/>
          <w:szCs w:val="28"/>
          <w14:textFill>
            <w14:solidFill>
              <w14:schemeClr w14:val="tx1"/>
            </w14:solidFill>
          </w14:textFill>
        </w:rPr>
      </w:pPr>
      <w:r>
        <w:rPr>
          <w:rFonts w:hint="eastAsia" w:ascii="华文楷体" w:hAnsi="华文楷体" w:eastAsia="华文楷体"/>
          <w:color w:val="000000" w:themeColor="text1"/>
          <w:sz w:val="28"/>
          <w:szCs w:val="28"/>
          <w14:textFill>
            <w14:solidFill>
              <w14:schemeClr w14:val="tx1"/>
            </w14:solidFill>
          </w14:textFill>
        </w:rPr>
        <w:t>（四）“十三五”时期三井街道面临挑战</w:t>
      </w:r>
      <w:r>
        <w:rPr>
          <w:rFonts w:ascii="华文楷体" w:hAnsi="华文楷体" w:eastAsia="华文楷体"/>
          <w:color w:val="000000" w:themeColor="text1"/>
          <w:sz w:val="28"/>
          <w:szCs w:val="28"/>
          <w14:textFill>
            <w14:solidFill>
              <w14:schemeClr w14:val="tx1"/>
            </w14:solidFill>
          </w14:textFill>
        </w:rPr>
        <w:t>………………………………</w:t>
      </w:r>
      <w:r>
        <w:rPr>
          <w:rFonts w:hint="eastAsia" w:ascii="华文楷体" w:hAnsi="华文楷体" w:eastAsia="华文楷体"/>
          <w:color w:val="000000" w:themeColor="text1"/>
          <w:sz w:val="28"/>
          <w:szCs w:val="28"/>
          <w14:textFill>
            <w14:solidFill>
              <w14:schemeClr w14:val="tx1"/>
            </w14:solidFill>
          </w14:textFill>
        </w:rPr>
        <w:t>20</w:t>
      </w:r>
    </w:p>
    <w:p w14:paraId="196AE316">
      <w:pPr>
        <w:spacing w:line="480" w:lineRule="auto"/>
        <w:rPr>
          <w:rFonts w:ascii="华文楷体" w:hAnsi="华文楷体" w:eastAsia="华文楷体"/>
          <w:color w:val="000000" w:themeColor="text1"/>
          <w:sz w:val="28"/>
          <w:szCs w:val="28"/>
          <w14:textFill>
            <w14:solidFill>
              <w14:schemeClr w14:val="tx1"/>
            </w14:solidFill>
          </w14:textFill>
        </w:rPr>
      </w:pPr>
      <w:r>
        <w:rPr>
          <w:rFonts w:hint="eastAsia" w:ascii="华文楷体" w:hAnsi="华文楷体" w:eastAsia="华文楷体"/>
          <w:color w:val="000000" w:themeColor="text1"/>
          <w:sz w:val="28"/>
          <w:szCs w:val="28"/>
          <w14:textFill>
            <w14:solidFill>
              <w14:schemeClr w14:val="tx1"/>
            </w14:solidFill>
          </w14:textFill>
        </w:rPr>
        <w:t>三、 三井街道发展定位研究</w:t>
      </w:r>
      <w:r>
        <w:rPr>
          <w:rFonts w:ascii="华文楷体" w:hAnsi="华文楷体" w:eastAsia="华文楷体"/>
          <w:color w:val="000000" w:themeColor="text1"/>
          <w:sz w:val="28"/>
          <w:szCs w:val="28"/>
          <w14:textFill>
            <w14:solidFill>
              <w14:schemeClr w14:val="tx1"/>
            </w14:solidFill>
          </w14:textFill>
        </w:rPr>
        <w:t>……………………………………………</w:t>
      </w:r>
      <w:r>
        <w:rPr>
          <w:rFonts w:hint="eastAsia" w:ascii="华文楷体" w:hAnsi="华文楷体" w:eastAsia="华文楷体"/>
          <w:color w:val="000000" w:themeColor="text1"/>
          <w:sz w:val="28"/>
          <w:szCs w:val="28"/>
          <w14:textFill>
            <w14:solidFill>
              <w14:schemeClr w14:val="tx1"/>
            </w14:solidFill>
          </w14:textFill>
        </w:rPr>
        <w:t>23</w:t>
      </w:r>
    </w:p>
    <w:p w14:paraId="1EBCEC3A">
      <w:pPr>
        <w:spacing w:line="480" w:lineRule="auto"/>
        <w:rPr>
          <w:rFonts w:ascii="华文楷体" w:hAnsi="华文楷体" w:eastAsia="华文楷体"/>
          <w:color w:val="000000" w:themeColor="text1"/>
          <w:sz w:val="28"/>
          <w:szCs w:val="28"/>
          <w14:textFill>
            <w14:solidFill>
              <w14:schemeClr w14:val="tx1"/>
            </w14:solidFill>
          </w14:textFill>
        </w:rPr>
      </w:pPr>
      <w:r>
        <w:rPr>
          <w:rFonts w:hint="eastAsia" w:ascii="华文楷体" w:hAnsi="华文楷体" w:eastAsia="华文楷体"/>
          <w:color w:val="000000" w:themeColor="text1"/>
          <w:sz w:val="28"/>
          <w:szCs w:val="28"/>
          <w14:textFill>
            <w14:solidFill>
              <w14:schemeClr w14:val="tx1"/>
            </w14:solidFill>
          </w14:textFill>
        </w:rPr>
        <w:t>（一）功能定位</w:t>
      </w:r>
      <w:r>
        <w:rPr>
          <w:rFonts w:ascii="华文楷体" w:hAnsi="华文楷体" w:eastAsia="华文楷体"/>
          <w:color w:val="000000" w:themeColor="text1"/>
          <w:sz w:val="28"/>
          <w:szCs w:val="28"/>
          <w14:textFill>
            <w14:solidFill>
              <w14:schemeClr w14:val="tx1"/>
            </w14:solidFill>
          </w14:textFill>
        </w:rPr>
        <w:t>…………………………………………………………</w:t>
      </w:r>
      <w:r>
        <w:rPr>
          <w:rFonts w:hint="eastAsia" w:ascii="华文楷体" w:hAnsi="华文楷体" w:eastAsia="华文楷体"/>
          <w:color w:val="000000" w:themeColor="text1"/>
          <w:sz w:val="28"/>
          <w:szCs w:val="28"/>
          <w14:textFill>
            <w14:solidFill>
              <w14:schemeClr w14:val="tx1"/>
            </w14:solidFill>
          </w14:textFill>
        </w:rPr>
        <w:t>23</w:t>
      </w:r>
    </w:p>
    <w:p w14:paraId="3441306D">
      <w:pPr>
        <w:spacing w:line="480" w:lineRule="auto"/>
        <w:rPr>
          <w:rFonts w:ascii="华文楷体" w:hAnsi="华文楷体" w:eastAsia="华文楷体"/>
          <w:color w:val="000000" w:themeColor="text1"/>
          <w:sz w:val="28"/>
          <w:szCs w:val="28"/>
          <w14:textFill>
            <w14:solidFill>
              <w14:schemeClr w14:val="tx1"/>
            </w14:solidFill>
          </w14:textFill>
        </w:rPr>
      </w:pPr>
      <w:r>
        <w:rPr>
          <w:rFonts w:hint="eastAsia" w:ascii="华文楷体" w:hAnsi="华文楷体" w:eastAsia="华文楷体"/>
          <w:color w:val="000000" w:themeColor="text1"/>
          <w:sz w:val="28"/>
          <w:szCs w:val="28"/>
          <w14:textFill>
            <w14:solidFill>
              <w14:schemeClr w14:val="tx1"/>
            </w14:solidFill>
          </w14:textFill>
        </w:rPr>
        <w:t>（二）产业定位</w:t>
      </w:r>
      <w:r>
        <w:rPr>
          <w:rFonts w:ascii="华文楷体" w:hAnsi="华文楷体" w:eastAsia="华文楷体"/>
          <w:color w:val="000000" w:themeColor="text1"/>
          <w:sz w:val="28"/>
          <w:szCs w:val="28"/>
          <w14:textFill>
            <w14:solidFill>
              <w14:schemeClr w14:val="tx1"/>
            </w14:solidFill>
          </w14:textFill>
        </w:rPr>
        <w:t>…………………………………………………………</w:t>
      </w:r>
      <w:r>
        <w:rPr>
          <w:rFonts w:hint="eastAsia" w:ascii="华文楷体" w:hAnsi="华文楷体" w:eastAsia="华文楷体"/>
          <w:color w:val="000000" w:themeColor="text1"/>
          <w:sz w:val="28"/>
          <w:szCs w:val="28"/>
          <w14:textFill>
            <w14:solidFill>
              <w14:schemeClr w14:val="tx1"/>
            </w14:solidFill>
          </w14:textFill>
        </w:rPr>
        <w:t>27</w:t>
      </w:r>
    </w:p>
    <w:p w14:paraId="268D4365">
      <w:pPr>
        <w:spacing w:line="480" w:lineRule="auto"/>
        <w:rPr>
          <w:rFonts w:ascii="华文楷体" w:hAnsi="华文楷体" w:eastAsia="华文楷体"/>
          <w:color w:val="000000" w:themeColor="text1"/>
          <w:sz w:val="28"/>
          <w:szCs w:val="28"/>
          <w14:textFill>
            <w14:solidFill>
              <w14:schemeClr w14:val="tx1"/>
            </w14:solidFill>
          </w14:textFill>
        </w:rPr>
      </w:pPr>
      <w:r>
        <w:rPr>
          <w:rFonts w:hint="eastAsia" w:ascii="华文楷体" w:hAnsi="华文楷体" w:eastAsia="华文楷体"/>
          <w:color w:val="000000" w:themeColor="text1"/>
          <w:sz w:val="28"/>
          <w:szCs w:val="28"/>
          <w14:textFill>
            <w14:solidFill>
              <w14:schemeClr w14:val="tx1"/>
            </w14:solidFill>
          </w14:textFill>
        </w:rPr>
        <w:t>（三</w:t>
      </w:r>
      <w:r>
        <w:rPr>
          <w:rFonts w:ascii="华文楷体" w:hAnsi="华文楷体" w:eastAsia="华文楷体"/>
          <w:color w:val="000000" w:themeColor="text1"/>
          <w:sz w:val="28"/>
          <w:szCs w:val="28"/>
          <w14:textFill>
            <w14:solidFill>
              <w14:schemeClr w14:val="tx1"/>
            </w14:solidFill>
          </w14:textFill>
        </w:rPr>
        <w:t>）</w:t>
      </w:r>
      <w:r>
        <w:rPr>
          <w:rFonts w:hint="eastAsia" w:ascii="华文楷体" w:hAnsi="华文楷体" w:eastAsia="华文楷体"/>
          <w:color w:val="000000" w:themeColor="text1"/>
          <w:sz w:val="28"/>
          <w:szCs w:val="28"/>
          <w14:textFill>
            <w14:solidFill>
              <w14:schemeClr w14:val="tx1"/>
            </w14:solidFill>
          </w14:textFill>
        </w:rPr>
        <w:t>形象定位</w:t>
      </w:r>
      <w:r>
        <w:rPr>
          <w:rFonts w:ascii="华文楷体" w:hAnsi="华文楷体" w:eastAsia="华文楷体"/>
          <w:color w:val="000000" w:themeColor="text1"/>
          <w:sz w:val="28"/>
          <w:szCs w:val="28"/>
          <w14:textFill>
            <w14:solidFill>
              <w14:schemeClr w14:val="tx1"/>
            </w14:solidFill>
          </w14:textFill>
        </w:rPr>
        <w:t>…………………………………………………………</w:t>
      </w:r>
      <w:r>
        <w:rPr>
          <w:rFonts w:hint="eastAsia" w:ascii="华文楷体" w:hAnsi="华文楷体" w:eastAsia="华文楷体"/>
          <w:color w:val="000000" w:themeColor="text1"/>
          <w:sz w:val="28"/>
          <w:szCs w:val="28"/>
          <w14:textFill>
            <w14:solidFill>
              <w14:schemeClr w14:val="tx1"/>
            </w14:solidFill>
          </w14:textFill>
        </w:rPr>
        <w:t>29</w:t>
      </w:r>
    </w:p>
    <w:p w14:paraId="6871C228">
      <w:pPr>
        <w:spacing w:line="480" w:lineRule="auto"/>
        <w:rPr>
          <w:rFonts w:ascii="华文楷体" w:hAnsi="华文楷体" w:eastAsia="华文楷体"/>
          <w:color w:val="000000" w:themeColor="text1"/>
          <w:sz w:val="28"/>
          <w:szCs w:val="28"/>
          <w14:textFill>
            <w14:solidFill>
              <w14:schemeClr w14:val="tx1"/>
            </w14:solidFill>
          </w14:textFill>
        </w:rPr>
      </w:pPr>
      <w:r>
        <w:rPr>
          <w:rFonts w:hint="eastAsia" w:ascii="华文楷体" w:hAnsi="华文楷体" w:eastAsia="华文楷体"/>
          <w:color w:val="000000" w:themeColor="text1"/>
          <w:sz w:val="28"/>
          <w:szCs w:val="28"/>
          <w14:textFill>
            <w14:solidFill>
              <w14:schemeClr w14:val="tx1"/>
            </w14:solidFill>
          </w14:textFill>
        </w:rPr>
        <w:t>四、三井街道“十三五”规划发展思路和发展目标</w:t>
      </w:r>
      <w:r>
        <w:rPr>
          <w:rFonts w:ascii="华文楷体" w:hAnsi="华文楷体" w:eastAsia="华文楷体"/>
          <w:color w:val="000000" w:themeColor="text1"/>
          <w:sz w:val="28"/>
          <w:szCs w:val="28"/>
          <w14:textFill>
            <w14:solidFill>
              <w14:schemeClr w14:val="tx1"/>
            </w14:solidFill>
          </w14:textFill>
        </w:rPr>
        <w:t>……………………</w:t>
      </w:r>
      <w:r>
        <w:rPr>
          <w:rFonts w:hint="eastAsia" w:ascii="华文楷体" w:hAnsi="华文楷体" w:eastAsia="华文楷体"/>
          <w:color w:val="000000" w:themeColor="text1"/>
          <w:sz w:val="28"/>
          <w:szCs w:val="28"/>
          <w14:textFill>
            <w14:solidFill>
              <w14:schemeClr w14:val="tx1"/>
            </w14:solidFill>
          </w14:textFill>
        </w:rPr>
        <w:t>31</w:t>
      </w:r>
    </w:p>
    <w:p w14:paraId="7D9E07CF">
      <w:pPr>
        <w:spacing w:line="480" w:lineRule="auto"/>
        <w:rPr>
          <w:rFonts w:ascii="华文楷体" w:hAnsi="华文楷体" w:eastAsia="华文楷体"/>
          <w:color w:val="000000" w:themeColor="text1"/>
          <w:sz w:val="28"/>
          <w:szCs w:val="28"/>
          <w14:textFill>
            <w14:solidFill>
              <w14:schemeClr w14:val="tx1"/>
            </w14:solidFill>
          </w14:textFill>
        </w:rPr>
      </w:pPr>
      <w:r>
        <w:rPr>
          <w:rFonts w:hint="eastAsia" w:ascii="华文楷体" w:hAnsi="华文楷体" w:eastAsia="华文楷体"/>
          <w:color w:val="000000" w:themeColor="text1"/>
          <w:sz w:val="28"/>
          <w:szCs w:val="28"/>
          <w14:textFill>
            <w14:solidFill>
              <w14:schemeClr w14:val="tx1"/>
            </w14:solidFill>
          </w14:textFill>
        </w:rPr>
        <w:t>（一）“十三五”规划发展思路</w:t>
      </w:r>
      <w:r>
        <w:rPr>
          <w:rFonts w:ascii="华文楷体" w:hAnsi="华文楷体" w:eastAsia="华文楷体"/>
          <w:color w:val="000000" w:themeColor="text1"/>
          <w:sz w:val="28"/>
          <w:szCs w:val="28"/>
          <w14:textFill>
            <w14:solidFill>
              <w14:schemeClr w14:val="tx1"/>
            </w14:solidFill>
          </w14:textFill>
        </w:rPr>
        <w:t>…………………………………………</w:t>
      </w:r>
      <w:r>
        <w:rPr>
          <w:rFonts w:hint="eastAsia" w:ascii="华文楷体" w:hAnsi="华文楷体" w:eastAsia="华文楷体"/>
          <w:color w:val="000000" w:themeColor="text1"/>
          <w:sz w:val="28"/>
          <w:szCs w:val="28"/>
          <w14:textFill>
            <w14:solidFill>
              <w14:schemeClr w14:val="tx1"/>
            </w14:solidFill>
          </w14:textFill>
        </w:rPr>
        <w:t>31</w:t>
      </w:r>
    </w:p>
    <w:p w14:paraId="229E1D0D">
      <w:pPr>
        <w:spacing w:line="480" w:lineRule="auto"/>
        <w:rPr>
          <w:rFonts w:ascii="华文楷体" w:hAnsi="华文楷体" w:eastAsia="华文楷体"/>
          <w:color w:val="000000" w:themeColor="text1"/>
          <w:sz w:val="28"/>
          <w:szCs w:val="28"/>
          <w14:textFill>
            <w14:solidFill>
              <w14:schemeClr w14:val="tx1"/>
            </w14:solidFill>
          </w14:textFill>
        </w:rPr>
      </w:pPr>
      <w:r>
        <w:rPr>
          <w:rFonts w:hint="eastAsia" w:ascii="华文楷体" w:hAnsi="华文楷体" w:eastAsia="华文楷体"/>
          <w:color w:val="000000" w:themeColor="text1"/>
          <w:sz w:val="28"/>
          <w:szCs w:val="28"/>
          <w14:textFill>
            <w14:solidFill>
              <w14:schemeClr w14:val="tx1"/>
            </w14:solidFill>
          </w14:textFill>
        </w:rPr>
        <w:t>（二）“十三五”规划发展思路</w:t>
      </w:r>
      <w:r>
        <w:rPr>
          <w:rFonts w:ascii="华文楷体" w:hAnsi="华文楷体" w:eastAsia="华文楷体"/>
          <w:color w:val="000000" w:themeColor="text1"/>
          <w:sz w:val="28"/>
          <w:szCs w:val="28"/>
          <w14:textFill>
            <w14:solidFill>
              <w14:schemeClr w14:val="tx1"/>
            </w14:solidFill>
          </w14:textFill>
        </w:rPr>
        <w:t>…………………………………………</w:t>
      </w:r>
      <w:r>
        <w:rPr>
          <w:rFonts w:hint="eastAsia" w:ascii="华文楷体" w:hAnsi="华文楷体" w:eastAsia="华文楷体"/>
          <w:color w:val="000000" w:themeColor="text1"/>
          <w:sz w:val="28"/>
          <w:szCs w:val="28"/>
          <w14:textFill>
            <w14:solidFill>
              <w14:schemeClr w14:val="tx1"/>
            </w14:solidFill>
          </w14:textFill>
        </w:rPr>
        <w:t>32</w:t>
      </w:r>
    </w:p>
    <w:p w14:paraId="354BD065">
      <w:pPr>
        <w:spacing w:line="480" w:lineRule="auto"/>
        <w:rPr>
          <w:rFonts w:ascii="华文楷体" w:hAnsi="华文楷体" w:eastAsia="华文楷体"/>
          <w:color w:val="000000" w:themeColor="text1"/>
          <w:sz w:val="28"/>
          <w:szCs w:val="28"/>
          <w14:textFill>
            <w14:solidFill>
              <w14:schemeClr w14:val="tx1"/>
            </w14:solidFill>
          </w14:textFill>
        </w:rPr>
      </w:pPr>
      <w:r>
        <w:rPr>
          <w:rFonts w:hint="eastAsia" w:ascii="华文楷体" w:hAnsi="华文楷体" w:eastAsia="华文楷体"/>
          <w:color w:val="000000" w:themeColor="text1"/>
          <w:sz w:val="28"/>
          <w:szCs w:val="28"/>
          <w14:textFill>
            <w14:solidFill>
              <w14:schemeClr w14:val="tx1"/>
            </w14:solidFill>
          </w14:textFill>
        </w:rPr>
        <w:t>（三）“十三五”规划发展目标</w:t>
      </w:r>
      <w:r>
        <w:rPr>
          <w:rFonts w:ascii="华文楷体" w:hAnsi="华文楷体" w:eastAsia="华文楷体"/>
          <w:color w:val="000000" w:themeColor="text1"/>
          <w:sz w:val="28"/>
          <w:szCs w:val="28"/>
          <w14:textFill>
            <w14:solidFill>
              <w14:schemeClr w14:val="tx1"/>
            </w14:solidFill>
          </w14:textFill>
        </w:rPr>
        <w:t>…………………………………………</w:t>
      </w:r>
      <w:r>
        <w:rPr>
          <w:rFonts w:hint="eastAsia" w:ascii="华文楷体" w:hAnsi="华文楷体" w:eastAsia="华文楷体"/>
          <w:color w:val="000000" w:themeColor="text1"/>
          <w:sz w:val="28"/>
          <w:szCs w:val="28"/>
          <w14:textFill>
            <w14:solidFill>
              <w14:schemeClr w14:val="tx1"/>
            </w14:solidFill>
          </w14:textFill>
        </w:rPr>
        <w:t>34</w:t>
      </w:r>
    </w:p>
    <w:p w14:paraId="6F2A8DF5">
      <w:pPr>
        <w:spacing w:line="480" w:lineRule="auto"/>
        <w:rPr>
          <w:rFonts w:ascii="华文楷体" w:hAnsi="华文楷体" w:eastAsia="华文楷体"/>
          <w:color w:val="000000" w:themeColor="text1"/>
          <w:sz w:val="28"/>
          <w:szCs w:val="28"/>
          <w14:textFill>
            <w14:solidFill>
              <w14:schemeClr w14:val="tx1"/>
            </w14:solidFill>
          </w14:textFill>
        </w:rPr>
      </w:pPr>
      <w:r>
        <w:rPr>
          <w:rFonts w:hint="eastAsia" w:ascii="华文楷体" w:hAnsi="华文楷体" w:eastAsia="华文楷体"/>
          <w:color w:val="000000" w:themeColor="text1"/>
          <w:sz w:val="28"/>
          <w:szCs w:val="28"/>
          <w14:textFill>
            <w14:solidFill>
              <w14:schemeClr w14:val="tx1"/>
            </w14:solidFill>
          </w14:textFill>
        </w:rPr>
        <w:t>五、三井街道“十三五”期间主要问题研究</w:t>
      </w:r>
      <w:r>
        <w:rPr>
          <w:rFonts w:ascii="华文楷体" w:hAnsi="华文楷体" w:eastAsia="华文楷体"/>
          <w:color w:val="000000" w:themeColor="text1"/>
          <w:sz w:val="28"/>
          <w:szCs w:val="28"/>
          <w14:textFill>
            <w14:solidFill>
              <w14:schemeClr w14:val="tx1"/>
            </w14:solidFill>
          </w14:textFill>
        </w:rPr>
        <w:t>……………………………</w:t>
      </w:r>
      <w:r>
        <w:rPr>
          <w:rFonts w:hint="eastAsia" w:ascii="华文楷体" w:hAnsi="华文楷体" w:eastAsia="华文楷体"/>
          <w:color w:val="000000" w:themeColor="text1"/>
          <w:sz w:val="28"/>
          <w:szCs w:val="28"/>
          <w14:textFill>
            <w14:solidFill>
              <w14:schemeClr w14:val="tx1"/>
            </w14:solidFill>
          </w14:textFill>
        </w:rPr>
        <w:t>37</w:t>
      </w:r>
    </w:p>
    <w:p w14:paraId="41659DEC">
      <w:pPr>
        <w:spacing w:line="480" w:lineRule="auto"/>
        <w:rPr>
          <w:rFonts w:ascii="华文楷体" w:hAnsi="华文楷体" w:eastAsia="华文楷体"/>
          <w:color w:val="000000" w:themeColor="text1"/>
          <w:sz w:val="28"/>
          <w:szCs w:val="28"/>
          <w14:textFill>
            <w14:solidFill>
              <w14:schemeClr w14:val="tx1"/>
            </w14:solidFill>
          </w14:textFill>
        </w:rPr>
      </w:pPr>
      <w:r>
        <w:rPr>
          <w:rFonts w:hint="eastAsia" w:ascii="华文楷体" w:hAnsi="华文楷体" w:eastAsia="华文楷体"/>
          <w:color w:val="000000" w:themeColor="text1"/>
          <w:sz w:val="28"/>
          <w:szCs w:val="28"/>
          <w14:textFill>
            <w14:solidFill>
              <w14:schemeClr w14:val="tx1"/>
            </w14:solidFill>
          </w14:textFill>
        </w:rPr>
        <w:t>（一）经济转型问题</w:t>
      </w:r>
      <w:r>
        <w:rPr>
          <w:rFonts w:ascii="华文楷体" w:hAnsi="华文楷体" w:eastAsia="华文楷体"/>
          <w:color w:val="000000" w:themeColor="text1"/>
          <w:sz w:val="28"/>
          <w:szCs w:val="28"/>
          <w14:textFill>
            <w14:solidFill>
              <w14:schemeClr w14:val="tx1"/>
            </w14:solidFill>
          </w14:textFill>
        </w:rPr>
        <w:t>……………………………………………………</w:t>
      </w:r>
      <w:r>
        <w:rPr>
          <w:rFonts w:hint="eastAsia" w:ascii="华文楷体" w:hAnsi="华文楷体" w:eastAsia="华文楷体"/>
          <w:color w:val="000000" w:themeColor="text1"/>
          <w:sz w:val="28"/>
          <w:szCs w:val="28"/>
          <w14:textFill>
            <w14:solidFill>
              <w14:schemeClr w14:val="tx1"/>
            </w14:solidFill>
          </w14:textFill>
        </w:rPr>
        <w:t>37</w:t>
      </w:r>
    </w:p>
    <w:p w14:paraId="041B7CB0">
      <w:pPr>
        <w:spacing w:line="480" w:lineRule="auto"/>
        <w:rPr>
          <w:rFonts w:ascii="华文楷体" w:hAnsi="华文楷体" w:eastAsia="华文楷体"/>
          <w:color w:val="000000" w:themeColor="text1"/>
          <w:sz w:val="28"/>
          <w:szCs w:val="28"/>
          <w14:textFill>
            <w14:solidFill>
              <w14:schemeClr w14:val="tx1"/>
            </w14:solidFill>
          </w14:textFill>
        </w:rPr>
      </w:pPr>
      <w:r>
        <w:rPr>
          <w:rFonts w:hint="eastAsia" w:ascii="华文楷体" w:hAnsi="华文楷体" w:eastAsia="华文楷体"/>
          <w:color w:val="000000" w:themeColor="text1"/>
          <w:sz w:val="28"/>
          <w:szCs w:val="28"/>
          <w14:textFill>
            <w14:solidFill>
              <w14:schemeClr w14:val="tx1"/>
            </w14:solidFill>
          </w14:textFill>
        </w:rPr>
        <w:t>（二）社会发展问题</w:t>
      </w:r>
      <w:r>
        <w:rPr>
          <w:rFonts w:ascii="华文楷体" w:hAnsi="华文楷体" w:eastAsia="华文楷体"/>
          <w:color w:val="000000" w:themeColor="text1"/>
          <w:sz w:val="28"/>
          <w:szCs w:val="28"/>
          <w14:textFill>
            <w14:solidFill>
              <w14:schemeClr w14:val="tx1"/>
            </w14:solidFill>
          </w14:textFill>
        </w:rPr>
        <w:t>……………………………………………………</w:t>
      </w:r>
      <w:r>
        <w:rPr>
          <w:rFonts w:hint="eastAsia" w:ascii="华文楷体" w:hAnsi="华文楷体" w:eastAsia="华文楷体"/>
          <w:color w:val="000000" w:themeColor="text1"/>
          <w:sz w:val="28"/>
          <w:szCs w:val="28"/>
          <w14:textFill>
            <w14:solidFill>
              <w14:schemeClr w14:val="tx1"/>
            </w14:solidFill>
          </w14:textFill>
        </w:rPr>
        <w:t>39</w:t>
      </w:r>
    </w:p>
    <w:p w14:paraId="2E5D16EA">
      <w:pPr>
        <w:spacing w:line="480" w:lineRule="auto"/>
        <w:rPr>
          <w:rFonts w:ascii="华文楷体" w:hAnsi="华文楷体" w:eastAsia="华文楷体"/>
          <w:color w:val="000000" w:themeColor="text1"/>
          <w:sz w:val="28"/>
          <w:szCs w:val="28"/>
          <w14:textFill>
            <w14:solidFill>
              <w14:schemeClr w14:val="tx1"/>
            </w14:solidFill>
          </w14:textFill>
        </w:rPr>
      </w:pPr>
      <w:r>
        <w:rPr>
          <w:rFonts w:hint="eastAsia" w:ascii="华文楷体" w:hAnsi="华文楷体" w:eastAsia="华文楷体"/>
          <w:color w:val="000000" w:themeColor="text1"/>
          <w:sz w:val="28"/>
          <w:szCs w:val="28"/>
          <w14:textFill>
            <w14:solidFill>
              <w14:schemeClr w14:val="tx1"/>
            </w14:solidFill>
          </w14:textFill>
        </w:rPr>
        <w:t>（三）社区管理问题</w:t>
      </w:r>
      <w:r>
        <w:rPr>
          <w:rFonts w:ascii="华文楷体" w:hAnsi="华文楷体" w:eastAsia="华文楷体"/>
          <w:color w:val="000000" w:themeColor="text1"/>
          <w:sz w:val="28"/>
          <w:szCs w:val="28"/>
          <w14:textFill>
            <w14:solidFill>
              <w14:schemeClr w14:val="tx1"/>
            </w14:solidFill>
          </w14:textFill>
        </w:rPr>
        <w:t>……………………………………………………</w:t>
      </w:r>
      <w:r>
        <w:rPr>
          <w:rFonts w:hint="eastAsia" w:ascii="华文楷体" w:hAnsi="华文楷体" w:eastAsia="华文楷体"/>
          <w:color w:val="000000" w:themeColor="text1"/>
          <w:sz w:val="28"/>
          <w:szCs w:val="28"/>
          <w14:textFill>
            <w14:solidFill>
              <w14:schemeClr w14:val="tx1"/>
            </w14:solidFill>
          </w14:textFill>
        </w:rPr>
        <w:t>42</w:t>
      </w:r>
    </w:p>
    <w:p w14:paraId="59294CA3">
      <w:pPr>
        <w:spacing w:line="480" w:lineRule="auto"/>
        <w:rPr>
          <w:rFonts w:ascii="华文楷体" w:hAnsi="华文楷体" w:eastAsia="华文楷体"/>
          <w:color w:val="000000" w:themeColor="text1"/>
          <w:sz w:val="28"/>
          <w:szCs w:val="28"/>
          <w14:textFill>
            <w14:solidFill>
              <w14:schemeClr w14:val="tx1"/>
            </w14:solidFill>
          </w14:textFill>
        </w:rPr>
      </w:pPr>
      <w:r>
        <w:rPr>
          <w:rFonts w:hint="eastAsia" w:ascii="华文楷体" w:hAnsi="华文楷体" w:eastAsia="华文楷体"/>
          <w:color w:val="000000" w:themeColor="text1"/>
          <w:sz w:val="28"/>
          <w:szCs w:val="28"/>
          <w14:textFill>
            <w14:solidFill>
              <w14:schemeClr w14:val="tx1"/>
            </w14:solidFill>
          </w14:textFill>
        </w:rPr>
        <w:t>六、三井街道“十三五”期间主要产业发展研究</w:t>
      </w:r>
      <w:r>
        <w:rPr>
          <w:rFonts w:ascii="华文楷体" w:hAnsi="华文楷体" w:eastAsia="华文楷体"/>
          <w:color w:val="000000" w:themeColor="text1"/>
          <w:sz w:val="28"/>
          <w:szCs w:val="28"/>
          <w14:textFill>
            <w14:solidFill>
              <w14:schemeClr w14:val="tx1"/>
            </w14:solidFill>
          </w14:textFill>
        </w:rPr>
        <w:t>……………………</w:t>
      </w:r>
      <w:r>
        <w:rPr>
          <w:rFonts w:hint="eastAsia" w:ascii="华文楷体" w:hAnsi="华文楷体" w:eastAsia="华文楷体"/>
          <w:color w:val="000000" w:themeColor="text1"/>
          <w:sz w:val="28"/>
          <w:szCs w:val="28"/>
          <w14:textFill>
            <w14:solidFill>
              <w14:schemeClr w14:val="tx1"/>
            </w14:solidFill>
          </w14:textFill>
        </w:rPr>
        <w:t>44</w:t>
      </w:r>
    </w:p>
    <w:p w14:paraId="044EB28E">
      <w:pPr>
        <w:spacing w:line="480" w:lineRule="auto"/>
        <w:rPr>
          <w:rFonts w:ascii="华文楷体" w:hAnsi="华文楷体" w:eastAsia="华文楷体"/>
          <w:color w:val="000000" w:themeColor="text1"/>
          <w:sz w:val="28"/>
          <w:szCs w:val="28"/>
          <w14:textFill>
            <w14:solidFill>
              <w14:schemeClr w14:val="tx1"/>
            </w14:solidFill>
          </w14:textFill>
        </w:rPr>
      </w:pPr>
      <w:r>
        <w:rPr>
          <w:rFonts w:hint="eastAsia" w:ascii="华文楷体" w:hAnsi="华文楷体" w:eastAsia="华文楷体"/>
          <w:color w:val="000000" w:themeColor="text1"/>
          <w:sz w:val="28"/>
          <w:szCs w:val="28"/>
          <w14:textFill>
            <w14:solidFill>
              <w14:schemeClr w14:val="tx1"/>
            </w14:solidFill>
          </w14:textFill>
        </w:rPr>
        <w:t>（一）产业发展指导思想</w:t>
      </w:r>
      <w:r>
        <w:rPr>
          <w:rFonts w:ascii="华文楷体" w:hAnsi="华文楷体" w:eastAsia="华文楷体"/>
          <w:color w:val="000000" w:themeColor="text1"/>
          <w:sz w:val="28"/>
          <w:szCs w:val="28"/>
          <w14:textFill>
            <w14:solidFill>
              <w14:schemeClr w14:val="tx1"/>
            </w14:solidFill>
          </w14:textFill>
        </w:rPr>
        <w:t>………………………………………………</w:t>
      </w:r>
      <w:r>
        <w:rPr>
          <w:rFonts w:hint="eastAsia" w:ascii="华文楷体" w:hAnsi="华文楷体" w:eastAsia="华文楷体"/>
          <w:color w:val="000000" w:themeColor="text1"/>
          <w:sz w:val="28"/>
          <w:szCs w:val="28"/>
          <w14:textFill>
            <w14:solidFill>
              <w14:schemeClr w14:val="tx1"/>
            </w14:solidFill>
          </w14:textFill>
        </w:rPr>
        <w:t>44</w:t>
      </w:r>
    </w:p>
    <w:p w14:paraId="6062F949">
      <w:pPr>
        <w:spacing w:line="480" w:lineRule="auto"/>
        <w:rPr>
          <w:rFonts w:ascii="华文楷体" w:hAnsi="华文楷体" w:eastAsia="华文楷体"/>
          <w:color w:val="000000" w:themeColor="text1"/>
          <w:sz w:val="28"/>
          <w:szCs w:val="28"/>
          <w14:textFill>
            <w14:solidFill>
              <w14:schemeClr w14:val="tx1"/>
            </w14:solidFill>
          </w14:textFill>
        </w:rPr>
      </w:pPr>
      <w:r>
        <w:rPr>
          <w:rFonts w:hint="eastAsia" w:ascii="华文楷体" w:hAnsi="华文楷体" w:eastAsia="华文楷体"/>
          <w:color w:val="000000" w:themeColor="text1"/>
          <w:sz w:val="28"/>
          <w:szCs w:val="28"/>
          <w14:textFill>
            <w14:solidFill>
              <w14:schemeClr w14:val="tx1"/>
            </w14:solidFill>
          </w14:textFill>
        </w:rPr>
        <w:t>（二）产业发展现状及其存在问题</w:t>
      </w:r>
      <w:r>
        <w:rPr>
          <w:rFonts w:ascii="华文楷体" w:hAnsi="华文楷体" w:eastAsia="华文楷体"/>
          <w:color w:val="000000" w:themeColor="text1"/>
          <w:sz w:val="28"/>
          <w:szCs w:val="28"/>
          <w14:textFill>
            <w14:solidFill>
              <w14:schemeClr w14:val="tx1"/>
            </w14:solidFill>
          </w14:textFill>
        </w:rPr>
        <w:t>……………………………………</w:t>
      </w:r>
      <w:r>
        <w:rPr>
          <w:rFonts w:hint="eastAsia" w:ascii="华文楷体" w:hAnsi="华文楷体" w:eastAsia="华文楷体"/>
          <w:color w:val="000000" w:themeColor="text1"/>
          <w:sz w:val="28"/>
          <w:szCs w:val="28"/>
          <w14:textFill>
            <w14:solidFill>
              <w14:schemeClr w14:val="tx1"/>
            </w14:solidFill>
          </w14:textFill>
        </w:rPr>
        <w:t>46</w:t>
      </w:r>
    </w:p>
    <w:p w14:paraId="4CDBD47E">
      <w:pPr>
        <w:spacing w:line="480" w:lineRule="auto"/>
        <w:rPr>
          <w:rFonts w:ascii="华文楷体" w:hAnsi="华文楷体" w:eastAsia="华文楷体"/>
          <w:color w:val="000000" w:themeColor="text1"/>
          <w:sz w:val="28"/>
          <w:szCs w:val="28"/>
          <w14:textFill>
            <w14:solidFill>
              <w14:schemeClr w14:val="tx1"/>
            </w14:solidFill>
          </w14:textFill>
        </w:rPr>
      </w:pPr>
      <w:r>
        <w:rPr>
          <w:rFonts w:hint="eastAsia" w:ascii="华文楷体" w:hAnsi="华文楷体" w:eastAsia="华文楷体"/>
          <w:color w:val="000000" w:themeColor="text1"/>
          <w:sz w:val="28"/>
          <w:szCs w:val="28"/>
          <w14:textFill>
            <w14:solidFill>
              <w14:schemeClr w14:val="tx1"/>
            </w14:solidFill>
          </w14:textFill>
        </w:rPr>
        <w:t>（三）产业转型升级对策</w:t>
      </w:r>
      <w:r>
        <w:rPr>
          <w:rFonts w:ascii="华文楷体" w:hAnsi="华文楷体" w:eastAsia="华文楷体"/>
          <w:color w:val="000000" w:themeColor="text1"/>
          <w:sz w:val="28"/>
          <w:szCs w:val="28"/>
          <w14:textFill>
            <w14:solidFill>
              <w14:schemeClr w14:val="tx1"/>
            </w14:solidFill>
          </w14:textFill>
        </w:rPr>
        <w:t>………………………………………………</w:t>
      </w:r>
      <w:r>
        <w:rPr>
          <w:rFonts w:hint="eastAsia" w:ascii="华文楷体" w:hAnsi="华文楷体" w:eastAsia="华文楷体"/>
          <w:color w:val="000000" w:themeColor="text1"/>
          <w:sz w:val="28"/>
          <w:szCs w:val="28"/>
          <w14:textFill>
            <w14:solidFill>
              <w14:schemeClr w14:val="tx1"/>
            </w14:solidFill>
          </w14:textFill>
        </w:rPr>
        <w:t>51</w:t>
      </w:r>
    </w:p>
    <w:p w14:paraId="265BB745">
      <w:pPr>
        <w:spacing w:line="480" w:lineRule="auto"/>
        <w:rPr>
          <w:rFonts w:ascii="华文楷体" w:hAnsi="华文楷体" w:eastAsia="华文楷体"/>
          <w:color w:val="000000" w:themeColor="text1"/>
          <w:sz w:val="28"/>
          <w:szCs w:val="28"/>
          <w14:textFill>
            <w14:solidFill>
              <w14:schemeClr w14:val="tx1"/>
            </w14:solidFill>
          </w14:textFill>
        </w:rPr>
      </w:pPr>
      <w:r>
        <w:rPr>
          <w:rFonts w:hint="eastAsia" w:ascii="华文楷体" w:hAnsi="华文楷体" w:eastAsia="华文楷体"/>
          <w:color w:val="000000" w:themeColor="text1"/>
          <w:sz w:val="28"/>
          <w:szCs w:val="28"/>
          <w14:textFill>
            <w14:solidFill>
              <w14:schemeClr w14:val="tx1"/>
            </w14:solidFill>
          </w14:textFill>
        </w:rPr>
        <w:t>七、三井街道“十三五”期间空间发展研究</w:t>
      </w:r>
      <w:r>
        <w:rPr>
          <w:rFonts w:ascii="华文楷体" w:hAnsi="华文楷体" w:eastAsia="华文楷体"/>
          <w:color w:val="000000" w:themeColor="text1"/>
          <w:sz w:val="28"/>
          <w:szCs w:val="28"/>
          <w14:textFill>
            <w14:solidFill>
              <w14:schemeClr w14:val="tx1"/>
            </w14:solidFill>
          </w14:textFill>
        </w:rPr>
        <w:t>……………………………</w:t>
      </w:r>
      <w:r>
        <w:rPr>
          <w:rFonts w:hint="eastAsia" w:ascii="华文楷体" w:hAnsi="华文楷体" w:eastAsia="华文楷体"/>
          <w:color w:val="000000" w:themeColor="text1"/>
          <w:sz w:val="28"/>
          <w:szCs w:val="28"/>
          <w14:textFill>
            <w14:solidFill>
              <w14:schemeClr w14:val="tx1"/>
            </w14:solidFill>
          </w14:textFill>
        </w:rPr>
        <w:t>58</w:t>
      </w:r>
    </w:p>
    <w:p w14:paraId="371EC68C">
      <w:pPr>
        <w:spacing w:line="480" w:lineRule="auto"/>
        <w:rPr>
          <w:rFonts w:ascii="华文楷体" w:hAnsi="华文楷体" w:eastAsia="华文楷体"/>
          <w:bCs/>
          <w:color w:val="000000" w:themeColor="text1"/>
          <w:sz w:val="28"/>
          <w:szCs w:val="28"/>
          <w14:textFill>
            <w14:solidFill>
              <w14:schemeClr w14:val="tx1"/>
            </w14:solidFill>
          </w14:textFill>
        </w:rPr>
      </w:pPr>
      <w:r>
        <w:rPr>
          <w:rFonts w:hint="eastAsia" w:ascii="华文楷体" w:hAnsi="华文楷体" w:eastAsia="华文楷体"/>
          <w:bCs/>
          <w:color w:val="000000" w:themeColor="text1"/>
          <w:sz w:val="28"/>
          <w:szCs w:val="28"/>
          <w14:textFill>
            <w14:solidFill>
              <w14:schemeClr w14:val="tx1"/>
            </w14:solidFill>
          </w14:textFill>
        </w:rPr>
        <w:t>（一）整体发展空间布局</w:t>
      </w:r>
      <w:r>
        <w:rPr>
          <w:rFonts w:ascii="华文楷体" w:hAnsi="华文楷体" w:eastAsia="华文楷体"/>
          <w:bCs/>
          <w:color w:val="000000" w:themeColor="text1"/>
          <w:sz w:val="28"/>
          <w:szCs w:val="28"/>
          <w14:textFill>
            <w14:solidFill>
              <w14:schemeClr w14:val="tx1"/>
            </w14:solidFill>
          </w14:textFill>
        </w:rPr>
        <w:t>………………………………………………</w:t>
      </w:r>
      <w:r>
        <w:rPr>
          <w:rFonts w:hint="eastAsia" w:ascii="华文楷体" w:hAnsi="华文楷体" w:eastAsia="华文楷体"/>
          <w:bCs/>
          <w:color w:val="000000" w:themeColor="text1"/>
          <w:sz w:val="28"/>
          <w:szCs w:val="28"/>
          <w14:textFill>
            <w14:solidFill>
              <w14:schemeClr w14:val="tx1"/>
            </w14:solidFill>
          </w14:textFill>
        </w:rPr>
        <w:t>58</w:t>
      </w:r>
    </w:p>
    <w:p w14:paraId="0CFA0103">
      <w:pPr>
        <w:spacing w:line="480" w:lineRule="auto"/>
        <w:rPr>
          <w:rFonts w:ascii="华文楷体" w:hAnsi="华文楷体" w:eastAsia="华文楷体"/>
          <w:bCs/>
          <w:color w:val="000000" w:themeColor="text1"/>
          <w:sz w:val="28"/>
          <w:szCs w:val="28"/>
          <w14:textFill>
            <w14:solidFill>
              <w14:schemeClr w14:val="tx1"/>
            </w14:solidFill>
          </w14:textFill>
        </w:rPr>
      </w:pPr>
      <w:r>
        <w:rPr>
          <w:rFonts w:hint="eastAsia" w:ascii="华文楷体" w:hAnsi="华文楷体" w:eastAsia="华文楷体"/>
          <w:bCs/>
          <w:color w:val="000000" w:themeColor="text1"/>
          <w:sz w:val="28"/>
          <w:szCs w:val="28"/>
          <w14:textFill>
            <w14:solidFill>
              <w14:schemeClr w14:val="tx1"/>
            </w14:solidFill>
          </w14:textFill>
        </w:rPr>
        <w:t>（二）创意产业区</w:t>
      </w:r>
      <w:r>
        <w:rPr>
          <w:rFonts w:ascii="华文楷体" w:hAnsi="华文楷体" w:eastAsia="华文楷体"/>
          <w:bCs/>
          <w:color w:val="000000" w:themeColor="text1"/>
          <w:sz w:val="28"/>
          <w:szCs w:val="28"/>
          <w14:textFill>
            <w14:solidFill>
              <w14:schemeClr w14:val="tx1"/>
            </w14:solidFill>
          </w14:textFill>
        </w:rPr>
        <w:t>………………………………………………………</w:t>
      </w:r>
      <w:r>
        <w:rPr>
          <w:rFonts w:hint="eastAsia" w:ascii="华文楷体" w:hAnsi="华文楷体" w:eastAsia="华文楷体"/>
          <w:bCs/>
          <w:color w:val="000000" w:themeColor="text1"/>
          <w:sz w:val="28"/>
          <w:szCs w:val="28"/>
          <w14:textFill>
            <w14:solidFill>
              <w14:schemeClr w14:val="tx1"/>
            </w14:solidFill>
          </w14:textFill>
        </w:rPr>
        <w:t>58</w:t>
      </w:r>
    </w:p>
    <w:p w14:paraId="57B79F65">
      <w:pPr>
        <w:spacing w:line="480" w:lineRule="auto"/>
        <w:rPr>
          <w:rFonts w:ascii="华文楷体" w:hAnsi="华文楷体" w:eastAsia="华文楷体" w:cs="Arial"/>
          <w:color w:val="000000" w:themeColor="text1"/>
          <w:sz w:val="28"/>
          <w:szCs w:val="28"/>
          <w14:textFill>
            <w14:solidFill>
              <w14:schemeClr w14:val="tx1"/>
            </w14:solidFill>
          </w14:textFill>
        </w:rPr>
      </w:pPr>
      <w:r>
        <w:rPr>
          <w:rFonts w:hint="eastAsia" w:ascii="华文楷体" w:hAnsi="华文楷体" w:eastAsia="华文楷体" w:cs="Arial"/>
          <w:color w:val="000000" w:themeColor="text1"/>
          <w:sz w:val="28"/>
          <w:szCs w:val="28"/>
          <w14:textFill>
            <w14:solidFill>
              <w14:schemeClr w14:val="tx1"/>
            </w14:solidFill>
          </w14:textFill>
        </w:rPr>
        <w:t>（三）中心政务区和中心商务区</w:t>
      </w:r>
      <w:r>
        <w:rPr>
          <w:rFonts w:ascii="华文楷体" w:hAnsi="华文楷体" w:eastAsia="华文楷体" w:cs="Arial"/>
          <w:color w:val="000000" w:themeColor="text1"/>
          <w:sz w:val="28"/>
          <w:szCs w:val="28"/>
          <w14:textFill>
            <w14:solidFill>
              <w14:schemeClr w14:val="tx1"/>
            </w14:solidFill>
          </w14:textFill>
        </w:rPr>
        <w:t>………………………………………</w:t>
      </w:r>
      <w:r>
        <w:rPr>
          <w:rFonts w:hint="eastAsia" w:ascii="华文楷体" w:hAnsi="华文楷体" w:eastAsia="华文楷体" w:cs="Arial"/>
          <w:color w:val="000000" w:themeColor="text1"/>
          <w:sz w:val="28"/>
          <w:szCs w:val="28"/>
          <w14:textFill>
            <w14:solidFill>
              <w14:schemeClr w14:val="tx1"/>
            </w14:solidFill>
          </w14:textFill>
        </w:rPr>
        <w:t>60</w:t>
      </w:r>
    </w:p>
    <w:p w14:paraId="75CAA8A4">
      <w:pPr>
        <w:spacing w:line="480" w:lineRule="auto"/>
        <w:rPr>
          <w:rFonts w:ascii="华文楷体" w:hAnsi="华文楷体" w:eastAsia="华文楷体" w:cs="Arial"/>
          <w:color w:val="000000" w:themeColor="text1"/>
          <w:sz w:val="28"/>
          <w:szCs w:val="28"/>
          <w14:textFill>
            <w14:solidFill>
              <w14:schemeClr w14:val="tx1"/>
            </w14:solidFill>
          </w14:textFill>
        </w:rPr>
      </w:pPr>
      <w:r>
        <w:rPr>
          <w:rFonts w:hint="eastAsia" w:ascii="华文楷体" w:hAnsi="华文楷体" w:eastAsia="华文楷体" w:cs="Arial"/>
          <w:color w:val="000000" w:themeColor="text1"/>
          <w:sz w:val="28"/>
          <w:szCs w:val="28"/>
          <w14:textFill>
            <w14:solidFill>
              <w14:schemeClr w14:val="tx1"/>
            </w14:solidFill>
          </w14:textFill>
        </w:rPr>
        <w:t>附一：城市综合体</w:t>
      </w:r>
      <w:r>
        <w:rPr>
          <w:rFonts w:ascii="华文楷体" w:hAnsi="华文楷体" w:eastAsia="华文楷体" w:cs="Arial"/>
          <w:color w:val="000000" w:themeColor="text1"/>
          <w:sz w:val="28"/>
          <w:szCs w:val="28"/>
          <w14:textFill>
            <w14:solidFill>
              <w14:schemeClr w14:val="tx1"/>
            </w14:solidFill>
          </w14:textFill>
        </w:rPr>
        <w:t>………………………………………………………</w:t>
      </w:r>
      <w:r>
        <w:rPr>
          <w:rFonts w:hint="eastAsia" w:ascii="华文楷体" w:hAnsi="华文楷体" w:eastAsia="华文楷体" w:cs="Arial"/>
          <w:color w:val="000000" w:themeColor="text1"/>
          <w:sz w:val="28"/>
          <w:szCs w:val="28"/>
          <w14:textFill>
            <w14:solidFill>
              <w14:schemeClr w14:val="tx1"/>
            </w14:solidFill>
          </w14:textFill>
        </w:rPr>
        <w:t>63</w:t>
      </w:r>
    </w:p>
    <w:p w14:paraId="0D089048">
      <w:pPr>
        <w:spacing w:line="480" w:lineRule="auto"/>
        <w:rPr>
          <w:rFonts w:ascii="华文楷体" w:hAnsi="华文楷体" w:eastAsia="华文楷体" w:cs="Arial"/>
          <w:color w:val="000000" w:themeColor="text1"/>
          <w:sz w:val="28"/>
          <w:szCs w:val="28"/>
          <w14:textFill>
            <w14:solidFill>
              <w14:schemeClr w14:val="tx1"/>
            </w14:solidFill>
          </w14:textFill>
        </w:rPr>
      </w:pPr>
      <w:r>
        <w:rPr>
          <w:rFonts w:hint="eastAsia" w:ascii="华文楷体" w:hAnsi="华文楷体" w:eastAsia="华文楷体" w:cs="Arial"/>
          <w:color w:val="000000" w:themeColor="text1"/>
          <w:sz w:val="28"/>
          <w:szCs w:val="28"/>
          <w14:textFill>
            <w14:solidFill>
              <w14:schemeClr w14:val="tx1"/>
            </w14:solidFill>
          </w14:textFill>
        </w:rPr>
        <w:t>附二：楼宇经济</w:t>
      </w:r>
      <w:r>
        <w:rPr>
          <w:rFonts w:ascii="华文楷体" w:hAnsi="华文楷体" w:eastAsia="华文楷体" w:cs="Arial"/>
          <w:color w:val="000000" w:themeColor="text1"/>
          <w:sz w:val="28"/>
          <w:szCs w:val="28"/>
          <w14:textFill>
            <w14:solidFill>
              <w14:schemeClr w14:val="tx1"/>
            </w14:solidFill>
          </w14:textFill>
        </w:rPr>
        <w:t>…………………………………………………………</w:t>
      </w:r>
      <w:r>
        <w:rPr>
          <w:rFonts w:hint="eastAsia" w:ascii="华文楷体" w:hAnsi="华文楷体" w:eastAsia="华文楷体" w:cs="Arial"/>
          <w:color w:val="000000" w:themeColor="text1"/>
          <w:sz w:val="28"/>
          <w:szCs w:val="28"/>
          <w14:textFill>
            <w14:solidFill>
              <w14:schemeClr w14:val="tx1"/>
            </w14:solidFill>
          </w14:textFill>
        </w:rPr>
        <w:t>64</w:t>
      </w:r>
    </w:p>
    <w:p w14:paraId="619AC007">
      <w:pPr>
        <w:spacing w:line="480" w:lineRule="auto"/>
        <w:rPr>
          <w:rFonts w:ascii="华文楷体" w:hAnsi="华文楷体" w:eastAsia="华文楷体" w:cs="Arial"/>
          <w:color w:val="000000" w:themeColor="text1"/>
          <w:sz w:val="28"/>
          <w:szCs w:val="28"/>
          <w14:textFill>
            <w14:solidFill>
              <w14:schemeClr w14:val="tx1"/>
            </w14:solidFill>
          </w14:textFill>
        </w:rPr>
      </w:pPr>
      <w:r>
        <w:rPr>
          <w:rFonts w:hint="eastAsia" w:ascii="华文楷体" w:hAnsi="华文楷体" w:eastAsia="华文楷体" w:cs="Arial"/>
          <w:color w:val="000000" w:themeColor="text1"/>
          <w:sz w:val="28"/>
          <w:szCs w:val="28"/>
          <w14:textFill>
            <w14:solidFill>
              <w14:schemeClr w14:val="tx1"/>
            </w14:solidFill>
          </w14:textFill>
        </w:rPr>
        <w:t>（四）</w:t>
      </w:r>
      <w:r>
        <w:rPr>
          <w:rFonts w:hint="eastAsia" w:ascii="华文楷体" w:hAnsi="华文楷体" w:eastAsia="华文楷体"/>
          <w:color w:val="000000" w:themeColor="text1"/>
          <w:sz w:val="28"/>
          <w:szCs w:val="28"/>
          <w14:textFill>
            <w14:solidFill>
              <w14:schemeClr w14:val="tx1"/>
            </w14:solidFill>
          </w14:textFill>
        </w:rPr>
        <w:t>创新创业区和高科技产业研发区</w:t>
      </w:r>
      <w:r>
        <w:rPr>
          <w:rFonts w:ascii="华文楷体" w:hAnsi="华文楷体" w:eastAsia="华文楷体"/>
          <w:color w:val="000000" w:themeColor="text1"/>
          <w:sz w:val="28"/>
          <w:szCs w:val="28"/>
          <w14:textFill>
            <w14:solidFill>
              <w14:schemeClr w14:val="tx1"/>
            </w14:solidFill>
          </w14:textFill>
        </w:rPr>
        <w:t>………………………………</w:t>
      </w:r>
      <w:r>
        <w:rPr>
          <w:rFonts w:hint="eastAsia" w:ascii="华文楷体" w:hAnsi="华文楷体" w:eastAsia="华文楷体"/>
          <w:color w:val="000000" w:themeColor="text1"/>
          <w:sz w:val="28"/>
          <w:szCs w:val="28"/>
          <w14:textFill>
            <w14:solidFill>
              <w14:schemeClr w14:val="tx1"/>
            </w14:solidFill>
          </w14:textFill>
        </w:rPr>
        <w:t>65</w:t>
      </w:r>
    </w:p>
    <w:p w14:paraId="5AF6A15F">
      <w:pPr>
        <w:spacing w:line="480" w:lineRule="auto"/>
        <w:rPr>
          <w:rFonts w:ascii="华文楷体" w:hAnsi="华文楷体" w:eastAsia="华文楷体"/>
          <w:color w:val="000000" w:themeColor="text1"/>
          <w:sz w:val="28"/>
          <w:szCs w:val="28"/>
          <w14:textFill>
            <w14:solidFill>
              <w14:schemeClr w14:val="tx1"/>
            </w14:solidFill>
          </w14:textFill>
        </w:rPr>
      </w:pPr>
      <w:r>
        <w:rPr>
          <w:rFonts w:hint="eastAsia" w:ascii="华文楷体" w:hAnsi="华文楷体" w:eastAsia="华文楷体"/>
          <w:color w:val="000000" w:themeColor="text1"/>
          <w:sz w:val="28"/>
          <w:szCs w:val="28"/>
          <w14:textFill>
            <w14:solidFill>
              <w14:schemeClr w14:val="tx1"/>
            </w14:solidFill>
          </w14:textFill>
        </w:rPr>
        <w:t>（五）大型城区居住区</w:t>
      </w:r>
      <w:r>
        <w:rPr>
          <w:rFonts w:ascii="华文楷体" w:hAnsi="华文楷体" w:eastAsia="华文楷体"/>
          <w:color w:val="000000" w:themeColor="text1"/>
          <w:sz w:val="28"/>
          <w:szCs w:val="28"/>
          <w14:textFill>
            <w14:solidFill>
              <w14:schemeClr w14:val="tx1"/>
            </w14:solidFill>
          </w14:textFill>
        </w:rPr>
        <w:t>…………………………………………………</w:t>
      </w:r>
      <w:r>
        <w:rPr>
          <w:rFonts w:hint="eastAsia" w:ascii="华文楷体" w:hAnsi="华文楷体" w:eastAsia="华文楷体"/>
          <w:color w:val="000000" w:themeColor="text1"/>
          <w:sz w:val="28"/>
          <w:szCs w:val="28"/>
          <w14:textFill>
            <w14:solidFill>
              <w14:schemeClr w14:val="tx1"/>
            </w14:solidFill>
          </w14:textFill>
        </w:rPr>
        <w:t>67</w:t>
      </w:r>
    </w:p>
    <w:p w14:paraId="65160ACF">
      <w:pPr>
        <w:pStyle w:val="29"/>
        <w:spacing w:line="480" w:lineRule="auto"/>
        <w:ind w:firstLine="0" w:firstLineChars="0"/>
        <w:rPr>
          <w:rFonts w:ascii="华文楷体" w:hAnsi="华文楷体" w:eastAsia="华文楷体"/>
          <w:color w:val="000000" w:themeColor="text1"/>
          <w:sz w:val="28"/>
          <w:szCs w:val="28"/>
          <w14:textFill>
            <w14:solidFill>
              <w14:schemeClr w14:val="tx1"/>
            </w14:solidFill>
          </w14:textFill>
        </w:rPr>
      </w:pPr>
      <w:r>
        <w:rPr>
          <w:rFonts w:hint="eastAsia" w:ascii="华文楷体" w:hAnsi="华文楷体" w:eastAsia="华文楷体"/>
          <w:color w:val="000000" w:themeColor="text1"/>
          <w:sz w:val="28"/>
          <w:szCs w:val="28"/>
          <w14:textFill>
            <w14:solidFill>
              <w14:schemeClr w14:val="tx1"/>
            </w14:solidFill>
          </w14:textFill>
        </w:rPr>
        <w:t>八、推进社区共享发展</w:t>
      </w:r>
      <w:r>
        <w:rPr>
          <w:rFonts w:ascii="华文楷体" w:hAnsi="华文楷体" w:eastAsia="华文楷体"/>
          <w:color w:val="000000" w:themeColor="text1"/>
          <w:sz w:val="28"/>
          <w:szCs w:val="28"/>
          <w14:textFill>
            <w14:solidFill>
              <w14:schemeClr w14:val="tx1"/>
            </w14:solidFill>
          </w14:textFill>
        </w:rPr>
        <w:t>…………………………………………………</w:t>
      </w:r>
      <w:r>
        <w:rPr>
          <w:rFonts w:hint="eastAsia" w:ascii="华文楷体" w:hAnsi="华文楷体" w:eastAsia="华文楷体"/>
          <w:color w:val="000000" w:themeColor="text1"/>
          <w:sz w:val="28"/>
          <w:szCs w:val="28"/>
          <w14:textFill>
            <w14:solidFill>
              <w14:schemeClr w14:val="tx1"/>
            </w14:solidFill>
          </w14:textFill>
        </w:rPr>
        <w:t>69</w:t>
      </w:r>
    </w:p>
    <w:p w14:paraId="41384AF3">
      <w:pPr>
        <w:pStyle w:val="29"/>
        <w:spacing w:line="480" w:lineRule="auto"/>
        <w:ind w:firstLine="0" w:firstLineChars="0"/>
        <w:rPr>
          <w:rFonts w:ascii="华文楷体" w:hAnsi="华文楷体" w:eastAsia="华文楷体"/>
          <w:color w:val="000000" w:themeColor="text1"/>
          <w:sz w:val="28"/>
          <w:szCs w:val="28"/>
          <w14:textFill>
            <w14:solidFill>
              <w14:schemeClr w14:val="tx1"/>
            </w14:solidFill>
          </w14:textFill>
        </w:rPr>
      </w:pPr>
      <w:r>
        <w:rPr>
          <w:rFonts w:hint="eastAsia" w:ascii="华文楷体" w:hAnsi="华文楷体" w:eastAsia="华文楷体"/>
          <w:color w:val="000000" w:themeColor="text1"/>
          <w:sz w:val="28"/>
          <w:szCs w:val="28"/>
          <w14:textFill>
            <w14:solidFill>
              <w14:schemeClr w14:val="tx1"/>
            </w14:solidFill>
          </w14:textFill>
        </w:rPr>
        <w:t>（一）社区发展新起点</w:t>
      </w:r>
      <w:r>
        <w:rPr>
          <w:rFonts w:ascii="华文楷体" w:hAnsi="华文楷体" w:eastAsia="华文楷体"/>
          <w:color w:val="000000" w:themeColor="text1"/>
          <w:sz w:val="28"/>
          <w:szCs w:val="28"/>
          <w14:textFill>
            <w14:solidFill>
              <w14:schemeClr w14:val="tx1"/>
            </w14:solidFill>
          </w14:textFill>
        </w:rPr>
        <w:t>…………………………………………………</w:t>
      </w:r>
      <w:r>
        <w:rPr>
          <w:rFonts w:hint="eastAsia" w:ascii="华文楷体" w:hAnsi="华文楷体" w:eastAsia="华文楷体"/>
          <w:color w:val="000000" w:themeColor="text1"/>
          <w:sz w:val="28"/>
          <w:szCs w:val="28"/>
          <w14:textFill>
            <w14:solidFill>
              <w14:schemeClr w14:val="tx1"/>
            </w14:solidFill>
          </w14:textFill>
        </w:rPr>
        <w:t>69</w:t>
      </w:r>
    </w:p>
    <w:p w14:paraId="548BEE35">
      <w:pPr>
        <w:pStyle w:val="29"/>
        <w:spacing w:line="480" w:lineRule="auto"/>
        <w:ind w:firstLine="0" w:firstLineChars="0"/>
        <w:rPr>
          <w:rFonts w:ascii="华文楷体" w:hAnsi="华文楷体" w:eastAsia="华文楷体"/>
          <w:color w:val="000000" w:themeColor="text1"/>
          <w:sz w:val="28"/>
          <w:szCs w:val="28"/>
          <w14:textFill>
            <w14:solidFill>
              <w14:schemeClr w14:val="tx1"/>
            </w14:solidFill>
          </w14:textFill>
        </w:rPr>
      </w:pPr>
      <w:r>
        <w:rPr>
          <w:rFonts w:hint="eastAsia" w:ascii="华文楷体" w:hAnsi="华文楷体" w:eastAsia="华文楷体"/>
          <w:color w:val="000000" w:themeColor="text1"/>
          <w:sz w:val="28"/>
          <w:szCs w:val="28"/>
          <w14:textFill>
            <w14:solidFill>
              <w14:schemeClr w14:val="tx1"/>
            </w14:solidFill>
          </w14:textFill>
        </w:rPr>
        <w:t>（二）社区发展新问题</w:t>
      </w:r>
      <w:r>
        <w:rPr>
          <w:rFonts w:ascii="华文楷体" w:hAnsi="华文楷体" w:eastAsia="华文楷体"/>
          <w:color w:val="000000" w:themeColor="text1"/>
          <w:sz w:val="28"/>
          <w:szCs w:val="28"/>
          <w14:textFill>
            <w14:solidFill>
              <w14:schemeClr w14:val="tx1"/>
            </w14:solidFill>
          </w14:textFill>
        </w:rPr>
        <w:t>…………………………………………………</w:t>
      </w:r>
      <w:r>
        <w:rPr>
          <w:rFonts w:hint="eastAsia" w:ascii="华文楷体" w:hAnsi="华文楷体" w:eastAsia="华文楷体"/>
          <w:color w:val="000000" w:themeColor="text1"/>
          <w:sz w:val="28"/>
          <w:szCs w:val="28"/>
          <w14:textFill>
            <w14:solidFill>
              <w14:schemeClr w14:val="tx1"/>
            </w14:solidFill>
          </w14:textFill>
        </w:rPr>
        <w:t>70</w:t>
      </w:r>
    </w:p>
    <w:p w14:paraId="0AE50028">
      <w:pPr>
        <w:pStyle w:val="29"/>
        <w:spacing w:line="480" w:lineRule="auto"/>
        <w:ind w:firstLine="0" w:firstLineChars="0"/>
        <w:rPr>
          <w:rFonts w:ascii="华文楷体" w:hAnsi="华文楷体" w:eastAsia="华文楷体"/>
          <w:color w:val="000000" w:themeColor="text1"/>
          <w:sz w:val="28"/>
          <w:szCs w:val="28"/>
          <w14:textFill>
            <w14:solidFill>
              <w14:schemeClr w14:val="tx1"/>
            </w14:solidFill>
          </w14:textFill>
        </w:rPr>
      </w:pPr>
      <w:r>
        <w:rPr>
          <w:rFonts w:hint="eastAsia" w:ascii="华文楷体" w:hAnsi="华文楷体" w:eastAsia="华文楷体"/>
          <w:color w:val="000000" w:themeColor="text1"/>
          <w:sz w:val="28"/>
          <w:szCs w:val="28"/>
          <w14:textFill>
            <w14:solidFill>
              <w14:schemeClr w14:val="tx1"/>
            </w14:solidFill>
          </w14:textFill>
        </w:rPr>
        <w:t>（三）社区发展新路径</w:t>
      </w:r>
      <w:r>
        <w:rPr>
          <w:rFonts w:ascii="华文楷体" w:hAnsi="华文楷体" w:eastAsia="华文楷体"/>
          <w:color w:val="000000" w:themeColor="text1"/>
          <w:sz w:val="28"/>
          <w:szCs w:val="28"/>
          <w14:textFill>
            <w14:solidFill>
              <w14:schemeClr w14:val="tx1"/>
            </w14:solidFill>
          </w14:textFill>
        </w:rPr>
        <w:t>…………………………………………………</w:t>
      </w:r>
      <w:r>
        <w:rPr>
          <w:rFonts w:hint="eastAsia" w:ascii="华文楷体" w:hAnsi="华文楷体" w:eastAsia="华文楷体"/>
          <w:color w:val="000000" w:themeColor="text1"/>
          <w:sz w:val="28"/>
          <w:szCs w:val="28"/>
          <w14:textFill>
            <w14:solidFill>
              <w14:schemeClr w14:val="tx1"/>
            </w14:solidFill>
          </w14:textFill>
        </w:rPr>
        <w:t>71</w:t>
      </w:r>
    </w:p>
    <w:p w14:paraId="26BE613C">
      <w:pPr>
        <w:pStyle w:val="29"/>
        <w:spacing w:line="480" w:lineRule="auto"/>
        <w:ind w:firstLine="0" w:firstLineChars="0"/>
        <w:rPr>
          <w:rFonts w:ascii="华文楷体" w:hAnsi="华文楷体" w:eastAsia="华文楷体"/>
          <w:color w:val="000000" w:themeColor="text1"/>
          <w:sz w:val="28"/>
          <w:szCs w:val="28"/>
          <w14:textFill>
            <w14:solidFill>
              <w14:schemeClr w14:val="tx1"/>
            </w14:solidFill>
          </w14:textFill>
        </w:rPr>
      </w:pPr>
      <w:r>
        <w:rPr>
          <w:rFonts w:hint="eastAsia" w:ascii="华文楷体" w:hAnsi="华文楷体" w:eastAsia="华文楷体"/>
          <w:color w:val="000000" w:themeColor="text1"/>
          <w:sz w:val="28"/>
          <w:szCs w:val="28"/>
          <w14:textFill>
            <w14:solidFill>
              <w14:schemeClr w14:val="tx1"/>
            </w14:solidFill>
          </w14:textFill>
        </w:rPr>
        <w:t>九、引进培育专业人才</w:t>
      </w:r>
      <w:r>
        <w:rPr>
          <w:rFonts w:ascii="华文楷体" w:hAnsi="华文楷体" w:eastAsia="华文楷体"/>
          <w:color w:val="000000" w:themeColor="text1"/>
          <w:sz w:val="28"/>
          <w:szCs w:val="28"/>
          <w14:textFill>
            <w14:solidFill>
              <w14:schemeClr w14:val="tx1"/>
            </w14:solidFill>
          </w14:textFill>
        </w:rPr>
        <w:t>…………………………………………………</w:t>
      </w:r>
      <w:r>
        <w:rPr>
          <w:rFonts w:hint="eastAsia" w:ascii="华文楷体" w:hAnsi="华文楷体" w:eastAsia="华文楷体"/>
          <w:color w:val="000000" w:themeColor="text1"/>
          <w:sz w:val="28"/>
          <w:szCs w:val="28"/>
          <w14:textFill>
            <w14:solidFill>
              <w14:schemeClr w14:val="tx1"/>
            </w14:solidFill>
          </w14:textFill>
        </w:rPr>
        <w:t>74</w:t>
      </w:r>
    </w:p>
    <w:p w14:paraId="4908A605">
      <w:pPr>
        <w:widowControl/>
        <w:spacing w:line="480" w:lineRule="auto"/>
        <w:rPr>
          <w:rFonts w:ascii="华文楷体" w:hAnsi="华文楷体" w:eastAsia="华文楷体"/>
          <w:color w:val="000000" w:themeColor="text1"/>
          <w:sz w:val="28"/>
          <w:szCs w:val="28"/>
          <w14:textFill>
            <w14:solidFill>
              <w14:schemeClr w14:val="tx1"/>
            </w14:solidFill>
          </w14:textFill>
        </w:rPr>
      </w:pPr>
      <w:r>
        <w:rPr>
          <w:rFonts w:hint="eastAsia" w:ascii="华文楷体" w:hAnsi="华文楷体" w:eastAsia="华文楷体"/>
          <w:color w:val="000000" w:themeColor="text1"/>
          <w:sz w:val="28"/>
          <w:szCs w:val="28"/>
          <w14:textFill>
            <w14:solidFill>
              <w14:schemeClr w14:val="tx1"/>
            </w14:solidFill>
          </w14:textFill>
        </w:rPr>
        <w:t>（一）人才驱动创新因素</w:t>
      </w:r>
      <w:r>
        <w:rPr>
          <w:rFonts w:ascii="华文楷体" w:hAnsi="华文楷体" w:eastAsia="华文楷体"/>
          <w:color w:val="000000" w:themeColor="text1"/>
          <w:sz w:val="28"/>
          <w:szCs w:val="28"/>
          <w14:textFill>
            <w14:solidFill>
              <w14:schemeClr w14:val="tx1"/>
            </w14:solidFill>
          </w14:textFill>
        </w:rPr>
        <w:t>………………………………………………</w:t>
      </w:r>
      <w:r>
        <w:rPr>
          <w:rFonts w:hint="eastAsia" w:ascii="华文楷体" w:hAnsi="华文楷体" w:eastAsia="华文楷体"/>
          <w:color w:val="000000" w:themeColor="text1"/>
          <w:sz w:val="28"/>
          <w:szCs w:val="28"/>
          <w14:textFill>
            <w14:solidFill>
              <w14:schemeClr w14:val="tx1"/>
            </w14:solidFill>
          </w14:textFill>
        </w:rPr>
        <w:t>74</w:t>
      </w:r>
    </w:p>
    <w:p w14:paraId="2E2A661A">
      <w:pPr>
        <w:pStyle w:val="29"/>
        <w:spacing w:line="480" w:lineRule="auto"/>
        <w:ind w:firstLine="0" w:firstLineChars="0"/>
        <w:rPr>
          <w:rFonts w:ascii="华文楷体" w:hAnsi="华文楷体" w:eastAsia="华文楷体"/>
          <w:color w:val="000000" w:themeColor="text1"/>
          <w:sz w:val="28"/>
          <w:szCs w:val="28"/>
          <w14:textFill>
            <w14:solidFill>
              <w14:schemeClr w14:val="tx1"/>
            </w14:solidFill>
          </w14:textFill>
        </w:rPr>
      </w:pPr>
      <w:r>
        <w:rPr>
          <w:rFonts w:hint="eastAsia" w:ascii="华文楷体" w:hAnsi="华文楷体" w:eastAsia="华文楷体"/>
          <w:color w:val="000000" w:themeColor="text1"/>
          <w:sz w:val="28"/>
          <w:szCs w:val="28"/>
          <w14:textFill>
            <w14:solidFill>
              <w14:schemeClr w14:val="tx1"/>
            </w14:solidFill>
          </w14:textFill>
        </w:rPr>
        <w:t>（二）人才发展现状及存在问题</w:t>
      </w:r>
      <w:r>
        <w:rPr>
          <w:rFonts w:ascii="华文楷体" w:hAnsi="华文楷体" w:eastAsia="华文楷体"/>
          <w:color w:val="000000" w:themeColor="text1"/>
          <w:sz w:val="28"/>
          <w:szCs w:val="28"/>
          <w14:textFill>
            <w14:solidFill>
              <w14:schemeClr w14:val="tx1"/>
            </w14:solidFill>
          </w14:textFill>
        </w:rPr>
        <w:t>………………………………………</w:t>
      </w:r>
      <w:r>
        <w:rPr>
          <w:rFonts w:hint="eastAsia" w:ascii="华文楷体" w:hAnsi="华文楷体" w:eastAsia="华文楷体"/>
          <w:color w:val="000000" w:themeColor="text1"/>
          <w:sz w:val="28"/>
          <w:szCs w:val="28"/>
          <w14:textFill>
            <w14:solidFill>
              <w14:schemeClr w14:val="tx1"/>
            </w14:solidFill>
          </w14:textFill>
        </w:rPr>
        <w:t>75</w:t>
      </w:r>
    </w:p>
    <w:p w14:paraId="71D27711">
      <w:pPr>
        <w:pStyle w:val="29"/>
        <w:spacing w:line="480" w:lineRule="auto"/>
        <w:ind w:firstLine="0" w:firstLineChars="0"/>
        <w:rPr>
          <w:rFonts w:ascii="华文楷体" w:hAnsi="华文楷体" w:eastAsia="华文楷体"/>
          <w:color w:val="000000" w:themeColor="text1"/>
          <w:sz w:val="28"/>
          <w:szCs w:val="28"/>
          <w14:textFill>
            <w14:solidFill>
              <w14:schemeClr w14:val="tx1"/>
            </w14:solidFill>
          </w14:textFill>
        </w:rPr>
      </w:pPr>
      <w:r>
        <w:rPr>
          <w:rFonts w:hint="eastAsia" w:ascii="华文楷体" w:hAnsi="华文楷体" w:eastAsia="华文楷体"/>
          <w:color w:val="000000" w:themeColor="text1"/>
          <w:sz w:val="28"/>
          <w:szCs w:val="28"/>
          <w14:textFill>
            <w14:solidFill>
              <w14:schemeClr w14:val="tx1"/>
            </w14:solidFill>
          </w14:textFill>
        </w:rPr>
        <w:t>（三）人才发展路径</w:t>
      </w:r>
      <w:r>
        <w:rPr>
          <w:rFonts w:ascii="华文楷体" w:hAnsi="华文楷体" w:eastAsia="华文楷体"/>
          <w:color w:val="000000" w:themeColor="text1"/>
          <w:sz w:val="28"/>
          <w:szCs w:val="28"/>
          <w14:textFill>
            <w14:solidFill>
              <w14:schemeClr w14:val="tx1"/>
            </w14:solidFill>
          </w14:textFill>
        </w:rPr>
        <w:t>……………………………………………………</w:t>
      </w:r>
      <w:r>
        <w:rPr>
          <w:rFonts w:hint="eastAsia" w:ascii="华文楷体" w:hAnsi="华文楷体" w:eastAsia="华文楷体"/>
          <w:color w:val="000000" w:themeColor="text1"/>
          <w:sz w:val="28"/>
          <w:szCs w:val="28"/>
          <w14:textFill>
            <w14:solidFill>
              <w14:schemeClr w14:val="tx1"/>
            </w14:solidFill>
          </w14:textFill>
        </w:rPr>
        <w:t>76</w:t>
      </w:r>
    </w:p>
    <w:p w14:paraId="6C6189CD">
      <w:pPr>
        <w:rPr>
          <w:rFonts w:ascii="黑体" w:hAnsi="宋体" w:eastAsia="黑体"/>
          <w:b/>
          <w:bCs/>
          <w:color w:val="000000"/>
          <w:sz w:val="52"/>
          <w:szCs w:val="52"/>
        </w:rPr>
      </w:pPr>
    </w:p>
    <w:p w14:paraId="127F8EEF">
      <w:pPr>
        <w:spacing w:line="360" w:lineRule="auto"/>
        <w:ind w:firstLine="3313" w:firstLineChars="750"/>
        <w:rPr>
          <w:rFonts w:ascii="黑体" w:hAnsi="宋体" w:eastAsia="黑体"/>
          <w:b/>
          <w:bCs/>
          <w:color w:val="000000" w:themeColor="text1"/>
          <w:sz w:val="44"/>
          <w:szCs w:val="44"/>
          <w14:textFill>
            <w14:solidFill>
              <w14:schemeClr w14:val="tx1"/>
            </w14:solidFill>
          </w14:textFill>
        </w:rPr>
      </w:pPr>
      <w:r>
        <w:rPr>
          <w:rFonts w:hint="eastAsia" w:ascii="黑体" w:hAnsi="宋体" w:eastAsia="黑体"/>
          <w:b/>
          <w:bCs/>
          <w:color w:val="000000" w:themeColor="text1"/>
          <w:sz w:val="44"/>
          <w:szCs w:val="44"/>
          <w14:textFill>
            <w14:solidFill>
              <w14:schemeClr w14:val="tx1"/>
            </w14:solidFill>
          </w14:textFill>
        </w:rPr>
        <w:t>引   言</w:t>
      </w:r>
    </w:p>
    <w:p w14:paraId="3F3FE688">
      <w:pPr>
        <w:pStyle w:val="16"/>
        <w:widowControl w:val="0"/>
        <w:snapToGrid w:val="0"/>
        <w:spacing w:line="480" w:lineRule="auto"/>
        <w:ind w:firstLine="560" w:firstLineChars="200"/>
        <w:rPr>
          <w:rFonts w:ascii="宋体" w:hAnsi="宋体"/>
          <w:bCs/>
          <w:color w:val="000000" w:themeColor="text1"/>
          <w:sz w:val="28"/>
          <w:szCs w:val="28"/>
          <w14:textFill>
            <w14:solidFill>
              <w14:schemeClr w14:val="tx1"/>
            </w14:solidFill>
          </w14:textFill>
        </w:rPr>
      </w:pPr>
    </w:p>
    <w:p w14:paraId="148B286A">
      <w:pPr>
        <w:pStyle w:val="16"/>
        <w:widowControl w:val="0"/>
        <w:snapToGrid w:val="0"/>
        <w:spacing w:line="480" w:lineRule="auto"/>
        <w:ind w:firstLine="560" w:firstLineChars="200"/>
        <w:rPr>
          <w:rFonts w:hint="eastAsia" w:ascii="宋体" w:hAnsi="宋体"/>
          <w:color w:val="000000" w:themeColor="text1"/>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研究任何区域发展成功案例，究其终极原因，不外乎这些区域发挥</w:t>
      </w:r>
      <w:r>
        <w:rPr>
          <w:rFonts w:ascii="宋体" w:hAnsi="宋体"/>
          <w:color w:val="000000" w:themeColor="text1"/>
          <w:sz w:val="28"/>
          <w:szCs w:val="28"/>
          <w14:textFill>
            <w14:solidFill>
              <w14:schemeClr w14:val="tx1"/>
            </w14:solidFill>
          </w14:textFill>
        </w:rPr>
        <w:t>市场在资源配置中起决定性作用</w:t>
      </w:r>
      <w:r>
        <w:rPr>
          <w:rFonts w:hint="eastAsia" w:ascii="宋体" w:hAnsi="宋体"/>
          <w:color w:val="000000" w:themeColor="text1"/>
          <w:sz w:val="28"/>
          <w:szCs w:val="28"/>
          <w14:textFill>
            <w14:solidFill>
              <w14:schemeClr w14:val="tx1"/>
            </w14:solidFill>
          </w14:textFill>
        </w:rPr>
        <w:t>的同时，更好发挥了政府作用，而政府作用主要体现在</w:t>
      </w:r>
      <w:r>
        <w:rPr>
          <w:rFonts w:hint="eastAsia" w:ascii="宋体" w:hAnsi="宋体"/>
          <w:bCs/>
          <w:color w:val="000000" w:themeColor="text1"/>
          <w:sz w:val="28"/>
          <w:szCs w:val="28"/>
          <w14:textFill>
            <w14:solidFill>
              <w14:schemeClr w14:val="tx1"/>
            </w14:solidFill>
          </w14:textFill>
        </w:rPr>
        <w:t>两个方面：一是在区域发展中选择做正确的事，二是把正确的事做正确。“在区域发展中选择做正确的事”讲的就是在充分发挥市场在资源配置中起决定性作用的同时，还要更好发挥政府在区域规划、政策制定、政策实施等方面引领作用。</w:t>
      </w:r>
    </w:p>
    <w:p w14:paraId="2DD16DF8">
      <w:pPr>
        <w:widowControl/>
        <w:spacing w:line="360" w:lineRule="auto"/>
        <w:ind w:firstLine="560" w:firstLineChars="200"/>
        <w:rPr>
          <w:rFonts w:ascii="宋体" w:hAnsi="宋体" w:cs="chs_boot"/>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 第十三个五年（简称“十三五”）时间为2016—2020年，是推进“四个全面”</w:t>
      </w:r>
      <w:r>
        <w:rPr>
          <w:rStyle w:val="14"/>
          <w:rFonts w:ascii="宋体" w:hAnsi="宋体"/>
          <w:color w:val="000000" w:themeColor="text1"/>
          <w:sz w:val="28"/>
          <w:szCs w:val="28"/>
          <w14:textFill>
            <w14:solidFill>
              <w14:schemeClr w14:val="tx1"/>
            </w14:solidFill>
          </w14:textFill>
        </w:rPr>
        <w:footnoteReference w:id="0"/>
      </w:r>
      <w:r>
        <w:rPr>
          <w:rFonts w:hint="eastAsia" w:ascii="宋体" w:hAnsi="宋体"/>
          <w:color w:val="000000" w:themeColor="text1"/>
          <w:sz w:val="28"/>
          <w:szCs w:val="28"/>
          <w14:textFill>
            <w14:solidFill>
              <w14:schemeClr w14:val="tx1"/>
            </w14:solidFill>
          </w14:textFill>
        </w:rPr>
        <w:t>战略布局关键时期。对国家而言，2020年是党的十八大确定的两个“中国梦”之一——全面建成小康社会实现时间，也是党的十八届三中全会确定在重要领域和关键环节改革上取得决定性成果时间；对江苏省而言，根据《国务院关于进一步推进长江三角洲地区改革开放和经济社会发展的指导意见》、《长江三角洲地区区域规划》、《苏南现代化建设示范区规划》、《苏南国家自主创新示范区发展规划纲要（2015-2020）》，2020年为苏南地区基本现代化实现之年和苏南自主创新示范区建成之年。</w:t>
      </w:r>
    </w:p>
    <w:p w14:paraId="450B412E">
      <w:pPr>
        <w:pStyle w:val="8"/>
        <w:spacing w:line="360" w:lineRule="auto"/>
        <w:ind w:firstLine="555"/>
        <w:jc w:val="both"/>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十三五”仍属于我国重要战略机遇期，且新常态已成为当前社会经济发展主要特征。我国经济新常态突出表现为三个方面：一是经济增长速度由高增长（地区生产总值年均增长率保持在10%以上）转为中高增长（地区生产总值年均增长率保持在7-8%乃至更低）；二是经济增长由主要依靠投资驱动和出口拉动的外延式增长转变为主要依靠创新驱动和消费拉动的内涵式增长；三是在经济结构中第三产业比重超过第二产业，由“制造业中国”转变为“服务业中国”。认识新常态、适应新常态、引领新常态是三井街道“十三五”规划主线，也是中心主题。</w:t>
      </w:r>
    </w:p>
    <w:p w14:paraId="13C4CCE2">
      <w:pPr>
        <w:pStyle w:val="8"/>
        <w:spacing w:line="480" w:lineRule="auto"/>
        <w:ind w:firstLine="55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十三五”期间，三井街道面临的主要问题：一是几乎没有经济增量发展承载空间，除了少数零星分散土地没有被开发外，所有连片大面积土地已被开发，走主要依靠固定资产投资驱动发展经济道路已难以为续；二是服务业比重偏低、工业比重偏高的产业结构与三井街道城区功能定位错位，且工业企业中虽然不乏行业领先企业，但工业内部结构还存在行业“多而散、散而小、小而弱”等不合理情况；三是房地产业投资尤其住宅房地产业投资比重偏高，在土地资源越来越稀缺和住房空置率居高不下情况下，“十三五”期间房地产业很难持续发展，难以继续成为支柱产业；四是三井街道虽然拥有常州市独一无二的行政中心资源、文体中心资源、传媒中心资源，又有吸引人气的环球恐龙城、万达商业广场等经典项目和具有浓厚商业氛围的太湖路商业一条街，但功能城市化滞后于景观城市化，“人气”并没有充分转变为“财气”，都市服务业依然是三井街道“短板”产业；五是三井街道作为常州新城区，户籍人口虽然不多，但不断增长的实际居住人口很多，且以“新常州人”和中青年人口为主，由于辖区还没有充分实现公共服务均等化和商业服务便利化，尤其居民就医、子女上学入园等存在一定程度不便，许多“新常州人”还没有真正融入融合到常州，</w:t>
      </w:r>
      <w:r>
        <w:rPr>
          <w:rFonts w:hint="eastAsia" w:ascii="宋体" w:hAnsi="宋体"/>
          <w:bCs/>
          <w:color w:val="000000" w:themeColor="text1"/>
          <w:sz w:val="28"/>
          <w:szCs w:val="28"/>
          <w14:textFill>
            <w14:solidFill>
              <w14:schemeClr w14:val="tx1"/>
            </w14:solidFill>
          </w14:textFill>
        </w:rPr>
        <w:t>服务民生、改善民生成为“十三五”期间三井街道急待解决问题。</w:t>
      </w:r>
    </w:p>
    <w:p w14:paraId="0D792BD8">
      <w:pPr>
        <w:spacing w:line="480" w:lineRule="auto"/>
        <w:ind w:firstLine="700" w:firstLineChars="250"/>
        <w:rPr>
          <w:rFonts w:ascii="宋体" w:hAnsi="宋体"/>
          <w:color w:val="000000" w:themeColor="text1"/>
          <w:sz w:val="28"/>
          <w:szCs w:val="28"/>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“十三五”期间三井街道如何认识新常态、适应新常态、引领新常态？需要通过</w:t>
      </w:r>
      <w:r>
        <w:rPr>
          <w:rFonts w:hint="eastAsia" w:ascii="宋体" w:hAnsi="宋体"/>
          <w:color w:val="000000" w:themeColor="text1"/>
          <w:sz w:val="28"/>
          <w:szCs w:val="28"/>
          <w14:textFill>
            <w14:solidFill>
              <w14:schemeClr w14:val="tx1"/>
            </w14:solidFill>
          </w14:textFill>
        </w:rPr>
        <w:t>专门的产业、空间、社会等研究，明确发展方向，做到整体利益与局部利益、长期利益与短期利益兼顾，逐步推进“退二进三”、“退二优二”、“退三优三”</w:t>
      </w:r>
      <w:r>
        <w:rPr>
          <w:rStyle w:val="14"/>
          <w:rFonts w:ascii="宋体" w:hAnsi="宋体"/>
          <w:color w:val="000000" w:themeColor="text1"/>
          <w:sz w:val="28"/>
          <w:szCs w:val="28"/>
          <w14:textFill>
            <w14:solidFill>
              <w14:schemeClr w14:val="tx1"/>
            </w14:solidFill>
          </w14:textFill>
        </w:rPr>
        <w:footnoteReference w:id="1"/>
      </w:r>
      <w:r>
        <w:rPr>
          <w:rFonts w:hint="eastAsia" w:ascii="宋体" w:hAnsi="宋体"/>
          <w:color w:val="000000" w:themeColor="text1"/>
          <w:sz w:val="28"/>
          <w:szCs w:val="28"/>
          <w14:textFill>
            <w14:solidFill>
              <w14:schemeClr w14:val="tx1"/>
            </w14:solidFill>
          </w14:textFill>
        </w:rPr>
        <w:t>，通过工业化、信息化、城市化同步发展，进而达到产城高度融合，</w:t>
      </w:r>
      <w:r>
        <w:rPr>
          <w:rFonts w:hint="eastAsia" w:ascii="宋体" w:hAnsi="宋体"/>
          <w:bCs/>
          <w:color w:val="000000" w:themeColor="text1"/>
          <w:sz w:val="28"/>
          <w:szCs w:val="28"/>
          <w14:textFill>
            <w14:solidFill>
              <w14:schemeClr w14:val="tx1"/>
            </w14:solidFill>
          </w14:textFill>
        </w:rPr>
        <w:t>实现创新发展、协调发展、绿色发展、开放发展、共享发展。</w:t>
      </w:r>
      <w:r>
        <w:rPr>
          <w:rFonts w:hint="eastAsia" w:ascii="宋体" w:hAnsi="宋体"/>
          <w:color w:val="000000" w:themeColor="text1"/>
          <w:sz w:val="28"/>
          <w:szCs w:val="28"/>
          <w14:textFill>
            <w14:solidFill>
              <w14:schemeClr w14:val="tx1"/>
            </w14:solidFill>
          </w14:textFill>
        </w:rPr>
        <w:t>《常州市新北区三井街道“十三五”规划研究》主要内容包括：（1） “十二五”规划执行情况；（2） “十三五”期间发展形势判断；（3）三井街道发展定位研究；（4） “十三五”规划发展目标和主要社会经济指标研究；（5） “十三五”期间主要问题研究；（6） “十三五”期间主要产业发展研究，主要包括三井街道先进制造业发展研究、三井街道现代服务业发展研究；（7） “十三五”期间空间发展研究；（8） “十三五”期间社会发展研究，主要包括三井街道社会事业(社区管理、公共服务)发展研究（9） “十三五”期间人才发展研究。</w:t>
      </w:r>
    </w:p>
    <w:p w14:paraId="620D1263">
      <w:pPr>
        <w:spacing w:line="360" w:lineRule="auto"/>
        <w:rPr>
          <w:rFonts w:ascii="黑体" w:hAnsi="宋体" w:eastAsia="黑体"/>
          <w:color w:val="000000"/>
          <w:sz w:val="52"/>
          <w:szCs w:val="52"/>
        </w:rPr>
      </w:pPr>
    </w:p>
    <w:p w14:paraId="40C47F07">
      <w:pPr>
        <w:spacing w:line="360" w:lineRule="auto"/>
        <w:ind w:firstLine="1325" w:firstLineChars="300"/>
        <w:rPr>
          <w:rFonts w:ascii="黑体" w:hAnsi="宋体" w:eastAsia="黑体"/>
          <w:color w:val="000000"/>
          <w:sz w:val="44"/>
          <w:szCs w:val="44"/>
        </w:rPr>
      </w:pPr>
      <w:r>
        <w:rPr>
          <w:rFonts w:hint="eastAsia" w:ascii="黑体" w:hAnsi="宋体" w:eastAsia="黑体"/>
          <w:b/>
          <w:bCs/>
          <w:color w:val="000000"/>
          <w:sz w:val="44"/>
          <w:szCs w:val="44"/>
        </w:rPr>
        <w:t>一、 “十二五”规划执行情况</w:t>
      </w:r>
    </w:p>
    <w:p w14:paraId="097029CB">
      <w:pPr>
        <w:spacing w:line="360" w:lineRule="auto"/>
        <w:rPr>
          <w:rFonts w:ascii="黑体" w:hAnsi="宋体" w:eastAsia="黑体"/>
          <w:b/>
          <w:sz w:val="32"/>
          <w:szCs w:val="32"/>
        </w:rPr>
      </w:pPr>
    </w:p>
    <w:p w14:paraId="7E178E75">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十二五”期间（2011-2015），尽管全国经济受到国内经济“三期叠加”（增长速度换挡期、结构调整阵痛期、前期刺激政策消化期）和发达国家“高端制造回流”、发展中国家“中低端制造分流”的双重挤压，但三井街道以“</w:t>
      </w:r>
      <w:r>
        <w:rPr>
          <w:rFonts w:ascii="宋体" w:hAnsi="宋体"/>
          <w:color w:val="000000" w:themeColor="text1"/>
          <w:sz w:val="28"/>
          <w:szCs w:val="28"/>
          <w14:textFill>
            <w14:solidFill>
              <w14:schemeClr w14:val="tx1"/>
            </w14:solidFill>
          </w14:textFill>
        </w:rPr>
        <w:t>调结构、促</w:t>
      </w:r>
      <w:r>
        <w:rPr>
          <w:rFonts w:hint="eastAsia" w:ascii="宋体" w:hAnsi="宋体"/>
          <w:color w:val="000000" w:themeColor="text1"/>
          <w:sz w:val="28"/>
          <w:szCs w:val="28"/>
          <w14:textFill>
            <w14:solidFill>
              <w14:schemeClr w14:val="tx1"/>
            </w14:solidFill>
          </w14:textFill>
        </w:rPr>
        <w:t>转型</w:t>
      </w:r>
      <w:r>
        <w:rPr>
          <w:rFonts w:ascii="宋体" w:hAnsi="宋体"/>
          <w:color w:val="000000" w:themeColor="text1"/>
          <w:sz w:val="28"/>
          <w:szCs w:val="28"/>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保增长、</w:t>
      </w:r>
      <w:r>
        <w:rPr>
          <w:rFonts w:ascii="宋体" w:hAnsi="宋体"/>
          <w:color w:val="000000" w:themeColor="text1"/>
          <w:sz w:val="28"/>
          <w:szCs w:val="28"/>
          <w14:textFill>
            <w14:solidFill>
              <w14:schemeClr w14:val="tx1"/>
            </w14:solidFill>
          </w14:textFill>
        </w:rPr>
        <w:t>惠民生</w:t>
      </w:r>
      <w:r>
        <w:rPr>
          <w:rFonts w:hint="eastAsia" w:ascii="宋体" w:hAnsi="宋体"/>
          <w:color w:val="000000" w:themeColor="text1"/>
          <w:sz w:val="28"/>
          <w:szCs w:val="28"/>
          <w14:textFill>
            <w14:solidFill>
              <w14:schemeClr w14:val="tx1"/>
            </w14:solidFill>
          </w14:textFill>
        </w:rPr>
        <w:t>”为重要任务，</w:t>
      </w:r>
      <w:r>
        <w:rPr>
          <w:rFonts w:hint="eastAsia" w:ascii="宋体" w:hAnsi="宋体" w:cs="宋体"/>
          <w:color w:val="000000" w:themeColor="text1"/>
          <w:kern w:val="0"/>
          <w:sz w:val="28"/>
          <w:szCs w:val="28"/>
          <w14:textFill>
            <w14:solidFill>
              <w14:schemeClr w14:val="tx1"/>
            </w14:solidFill>
          </w14:textFill>
        </w:rPr>
        <w:t>以转变经济发展方式为主线，以科技创新为动力，以土地综合开发和商业综合体建设为“突破口”，同步推进产业发展、城市建设和社会管理，</w:t>
      </w:r>
      <w:r>
        <w:rPr>
          <w:rFonts w:hint="eastAsia" w:ascii="宋体" w:hAnsi="宋体"/>
          <w:color w:val="000000" w:themeColor="text1"/>
          <w:sz w:val="28"/>
          <w:szCs w:val="28"/>
          <w14:textFill>
            <w14:solidFill>
              <w14:schemeClr w14:val="tx1"/>
            </w14:solidFill>
          </w14:textFill>
        </w:rPr>
        <w:t>确保了三井街道各项工作取得不俗成绩。</w:t>
      </w:r>
    </w:p>
    <w:p w14:paraId="0CF62E7E">
      <w:pPr>
        <w:spacing w:line="276" w:lineRule="auto"/>
        <w:rPr>
          <w:rFonts w:ascii="黑体" w:hAnsi="宋体" w:eastAsia="黑体"/>
          <w:b/>
          <w:sz w:val="32"/>
          <w:szCs w:val="32"/>
        </w:rPr>
      </w:pPr>
    </w:p>
    <w:p w14:paraId="3E18C73C">
      <w:pPr>
        <w:widowControl/>
        <w:spacing w:line="276" w:lineRule="auto"/>
        <w:jc w:val="left"/>
        <w:rPr>
          <w:rFonts w:ascii="黑体" w:hAnsi="宋体" w:eastAsia="黑体" w:cs="宋体"/>
          <w:b/>
          <w:color w:val="000000" w:themeColor="text1"/>
          <w:kern w:val="0"/>
          <w:sz w:val="32"/>
          <w:szCs w:val="32"/>
          <w14:textFill>
            <w14:solidFill>
              <w14:schemeClr w14:val="tx1"/>
            </w14:solidFill>
          </w14:textFill>
        </w:rPr>
      </w:pPr>
      <w:r>
        <w:rPr>
          <w:rFonts w:hint="eastAsia" w:ascii="黑体" w:eastAsia="黑体"/>
          <w:b/>
          <w:sz w:val="32"/>
          <w:szCs w:val="32"/>
        </w:rPr>
        <w:t>（一）</w:t>
      </w:r>
      <w:r>
        <w:rPr>
          <w:rFonts w:hint="eastAsia" w:ascii="黑体" w:hAnsi="宋体" w:eastAsia="黑体" w:cs="宋体"/>
          <w:b/>
          <w:color w:val="000000" w:themeColor="text1"/>
          <w:kern w:val="0"/>
          <w:sz w:val="32"/>
          <w:szCs w:val="32"/>
          <w14:textFill>
            <w14:solidFill>
              <w14:schemeClr w14:val="tx1"/>
            </w14:solidFill>
          </w14:textFill>
        </w:rPr>
        <w:t>“十二五”期间发展概况</w:t>
      </w:r>
    </w:p>
    <w:p w14:paraId="1902EE00">
      <w:pPr>
        <w:spacing w:line="360" w:lineRule="auto"/>
        <w:ind w:firstLine="548" w:firstLineChars="196"/>
        <w:rPr>
          <w:rFonts w:ascii="宋体" w:hAnsi="宋体" w:cs="宋体"/>
          <w:color w:val="000000"/>
          <w:kern w:val="0"/>
          <w:sz w:val="28"/>
          <w:szCs w:val="28"/>
        </w:rPr>
      </w:pPr>
      <w:r>
        <w:rPr>
          <w:rFonts w:hint="eastAsia" w:ascii="宋体" w:hAnsi="宋体" w:cs="宋体"/>
          <w:color w:val="000000"/>
          <w:kern w:val="0"/>
          <w:sz w:val="28"/>
          <w:szCs w:val="28"/>
        </w:rPr>
        <w:t>在经济发展方面，</w:t>
      </w:r>
      <w:r>
        <w:rPr>
          <w:rFonts w:ascii="宋体" w:hAnsi="宋体" w:cs="宋体"/>
          <w:color w:val="000000"/>
          <w:kern w:val="0"/>
          <w:sz w:val="28"/>
          <w:szCs w:val="28"/>
        </w:rPr>
        <w:t xml:space="preserve"> 2015</w:t>
      </w:r>
      <w:r>
        <w:rPr>
          <w:rFonts w:hint="eastAsia" w:ascii="宋体" w:hAnsi="宋体" w:cs="宋体"/>
          <w:color w:val="000000"/>
          <w:kern w:val="0"/>
          <w:sz w:val="28"/>
          <w:szCs w:val="28"/>
        </w:rPr>
        <w:t>年街道实现地区生产总值</w:t>
      </w:r>
      <w:r>
        <w:rPr>
          <w:rFonts w:ascii="宋体" w:hAnsi="宋体" w:cs="宋体"/>
          <w:color w:val="000000"/>
          <w:kern w:val="0"/>
          <w:sz w:val="28"/>
          <w:szCs w:val="28"/>
        </w:rPr>
        <w:t>146.2</w:t>
      </w:r>
      <w:r>
        <w:rPr>
          <w:rFonts w:hint="eastAsia" w:ascii="宋体" w:hAnsi="宋体" w:cs="宋体"/>
          <w:color w:val="000000"/>
          <w:kern w:val="0"/>
          <w:sz w:val="28"/>
          <w:szCs w:val="28"/>
        </w:rPr>
        <w:t>亿元，以不到新北区</w:t>
      </w:r>
      <w:r>
        <w:rPr>
          <w:rFonts w:ascii="宋体" w:hAnsi="宋体" w:cs="宋体"/>
          <w:color w:val="000000"/>
          <w:kern w:val="0"/>
          <w:sz w:val="28"/>
          <w:szCs w:val="28"/>
        </w:rPr>
        <w:t xml:space="preserve">3.36% </w:t>
      </w:r>
      <w:r>
        <w:rPr>
          <w:rFonts w:hint="eastAsia" w:ascii="宋体" w:hAnsi="宋体" w:cs="宋体"/>
          <w:color w:val="000000"/>
          <w:kern w:val="0"/>
          <w:sz w:val="28"/>
          <w:szCs w:val="28"/>
        </w:rPr>
        <w:t>的地域面积（含奔牛镇），占到了其地区生产总值</w:t>
      </w:r>
      <w:r>
        <w:rPr>
          <w:rFonts w:ascii="宋体" w:hAnsi="宋体" w:cs="宋体"/>
          <w:color w:val="000000"/>
          <w:kern w:val="0"/>
          <w:sz w:val="28"/>
          <w:szCs w:val="28"/>
        </w:rPr>
        <w:t>14%</w:t>
      </w:r>
      <w:r>
        <w:rPr>
          <w:rFonts w:hint="eastAsia" w:ascii="宋体" w:hAnsi="宋体" w:cs="宋体"/>
          <w:color w:val="000000"/>
          <w:kern w:val="0"/>
          <w:sz w:val="28"/>
          <w:szCs w:val="28"/>
        </w:rPr>
        <w:t>比重，“十二五”期间街道地区生产总值年均增速达到了</w:t>
      </w:r>
      <w:r>
        <w:rPr>
          <w:rFonts w:ascii="宋体" w:hAnsi="宋体" w:cs="宋体"/>
          <w:color w:val="000000"/>
          <w:kern w:val="0"/>
          <w:sz w:val="28"/>
          <w:szCs w:val="28"/>
        </w:rPr>
        <w:t>28.9%</w:t>
      </w:r>
      <w:r>
        <w:rPr>
          <w:rFonts w:hint="eastAsia" w:ascii="宋体" w:hAnsi="宋体" w:cs="宋体"/>
          <w:color w:val="000000"/>
          <w:kern w:val="0"/>
          <w:sz w:val="28"/>
          <w:szCs w:val="28"/>
        </w:rPr>
        <w:t>。</w:t>
      </w:r>
      <w:r>
        <w:rPr>
          <w:rFonts w:ascii="宋体" w:hAnsi="宋体" w:cs="宋体"/>
          <w:color w:val="000000"/>
          <w:kern w:val="0"/>
          <w:sz w:val="28"/>
          <w:szCs w:val="28"/>
        </w:rPr>
        <w:t>2015</w:t>
      </w:r>
      <w:r>
        <w:rPr>
          <w:rFonts w:hint="eastAsia" w:ascii="宋体" w:hAnsi="宋体" w:cs="宋体"/>
          <w:color w:val="000000"/>
          <w:kern w:val="0"/>
          <w:sz w:val="28"/>
          <w:szCs w:val="28"/>
        </w:rPr>
        <w:t>年街道完成财政总收入</w:t>
      </w:r>
      <w:r>
        <w:rPr>
          <w:rFonts w:ascii="宋体" w:hAnsi="宋体" w:cs="宋体"/>
          <w:color w:val="000000"/>
          <w:kern w:val="0"/>
          <w:sz w:val="28"/>
          <w:szCs w:val="28"/>
        </w:rPr>
        <w:t>30.1</w:t>
      </w:r>
      <w:r>
        <w:rPr>
          <w:rFonts w:hint="eastAsia" w:ascii="宋体" w:hAnsi="宋体" w:cs="宋体"/>
          <w:color w:val="000000"/>
          <w:kern w:val="0"/>
          <w:sz w:val="28"/>
          <w:szCs w:val="28"/>
        </w:rPr>
        <w:t>亿元，“十二五”期间街道财政总收入年均增速</w:t>
      </w:r>
      <w:r>
        <w:rPr>
          <w:rFonts w:ascii="宋体" w:hAnsi="宋体" w:cs="宋体"/>
          <w:color w:val="000000"/>
          <w:kern w:val="0"/>
          <w:sz w:val="28"/>
          <w:szCs w:val="28"/>
        </w:rPr>
        <w:t>18.6%</w:t>
      </w:r>
      <w:r>
        <w:rPr>
          <w:rFonts w:hint="eastAsia" w:ascii="宋体" w:hAnsi="宋体" w:cs="宋体"/>
          <w:color w:val="000000"/>
          <w:kern w:val="0"/>
          <w:sz w:val="28"/>
          <w:szCs w:val="28"/>
        </w:rPr>
        <w:t>；其中，</w:t>
      </w:r>
      <w:r>
        <w:rPr>
          <w:rFonts w:ascii="宋体" w:hAnsi="宋体" w:cs="宋体"/>
          <w:color w:val="000000"/>
          <w:kern w:val="0"/>
          <w:sz w:val="28"/>
          <w:szCs w:val="28"/>
        </w:rPr>
        <w:t>2015</w:t>
      </w:r>
      <w:r>
        <w:rPr>
          <w:rFonts w:hint="eastAsia" w:ascii="宋体" w:hAnsi="宋体" w:cs="宋体"/>
          <w:color w:val="000000"/>
          <w:kern w:val="0"/>
          <w:sz w:val="28"/>
          <w:szCs w:val="28"/>
        </w:rPr>
        <w:t>年街道公共财政预算收入达到</w:t>
      </w:r>
      <w:r>
        <w:rPr>
          <w:rFonts w:ascii="宋体" w:hAnsi="宋体" w:cs="宋体"/>
          <w:color w:val="000000"/>
          <w:kern w:val="0"/>
          <w:sz w:val="28"/>
          <w:szCs w:val="28"/>
        </w:rPr>
        <w:t>14.7</w:t>
      </w:r>
      <w:r>
        <w:rPr>
          <w:rFonts w:hint="eastAsia" w:ascii="宋体" w:hAnsi="宋体" w:cs="宋体"/>
          <w:color w:val="000000"/>
          <w:kern w:val="0"/>
          <w:sz w:val="28"/>
          <w:szCs w:val="28"/>
        </w:rPr>
        <w:t>亿元，“十二五”期间街道公共财政预算收入年均增速</w:t>
      </w:r>
      <w:r>
        <w:rPr>
          <w:rFonts w:ascii="宋体" w:hAnsi="宋体" w:cs="宋体"/>
          <w:color w:val="000000"/>
          <w:kern w:val="0"/>
          <w:sz w:val="28"/>
          <w:szCs w:val="28"/>
        </w:rPr>
        <w:t>17.4%</w:t>
      </w:r>
      <w:r>
        <w:rPr>
          <w:rFonts w:hint="eastAsia" w:ascii="宋体" w:hAnsi="宋体" w:cs="宋体"/>
          <w:color w:val="000000"/>
          <w:kern w:val="0"/>
          <w:sz w:val="28"/>
          <w:szCs w:val="28"/>
        </w:rPr>
        <w:t>。</w:t>
      </w:r>
      <w:r>
        <w:rPr>
          <w:rFonts w:ascii="宋体" w:hAnsi="宋体" w:cs="宋体"/>
          <w:color w:val="000000"/>
          <w:kern w:val="0"/>
          <w:sz w:val="28"/>
          <w:szCs w:val="28"/>
        </w:rPr>
        <w:t>2015</w:t>
      </w:r>
      <w:r>
        <w:rPr>
          <w:rFonts w:hint="eastAsia" w:ascii="宋体" w:hAnsi="宋体" w:cs="宋体"/>
          <w:color w:val="000000"/>
          <w:kern w:val="0"/>
          <w:sz w:val="28"/>
          <w:szCs w:val="28"/>
        </w:rPr>
        <w:t>年街道实现工业总产值</w:t>
      </w:r>
      <w:r>
        <w:rPr>
          <w:rFonts w:ascii="宋体" w:hAnsi="宋体" w:cs="宋体"/>
          <w:color w:val="000000"/>
          <w:kern w:val="0"/>
          <w:sz w:val="28"/>
          <w:szCs w:val="28"/>
        </w:rPr>
        <w:t>373</w:t>
      </w:r>
      <w:r>
        <w:rPr>
          <w:rFonts w:hint="eastAsia" w:ascii="宋体" w:hAnsi="宋体" w:cs="宋体"/>
          <w:color w:val="000000"/>
          <w:kern w:val="0"/>
          <w:sz w:val="28"/>
          <w:szCs w:val="28"/>
        </w:rPr>
        <w:t>亿元</w:t>
      </w:r>
      <w:r>
        <w:rPr>
          <w:rFonts w:ascii="宋体" w:hAnsi="宋体" w:cs="宋体"/>
          <w:color w:val="000000"/>
          <w:kern w:val="0"/>
          <w:sz w:val="28"/>
          <w:szCs w:val="28"/>
        </w:rPr>
        <w:t xml:space="preserve">, </w:t>
      </w:r>
      <w:r>
        <w:rPr>
          <w:rFonts w:hint="eastAsia" w:ascii="宋体" w:hAnsi="宋体" w:cs="宋体"/>
          <w:color w:val="000000"/>
          <w:kern w:val="0"/>
          <w:sz w:val="28"/>
          <w:szCs w:val="28"/>
        </w:rPr>
        <w:t>“十二五”期间街道工业总产值年均增速</w:t>
      </w:r>
      <w:r>
        <w:rPr>
          <w:rFonts w:ascii="宋体" w:hAnsi="宋体" w:cs="宋体"/>
          <w:color w:val="000000"/>
          <w:kern w:val="0"/>
          <w:sz w:val="28"/>
          <w:szCs w:val="28"/>
        </w:rPr>
        <w:t>17.1%</w:t>
      </w:r>
      <w:r>
        <w:rPr>
          <w:rFonts w:hint="eastAsia" w:ascii="宋体" w:hAnsi="宋体" w:cs="宋体"/>
          <w:color w:val="000000"/>
          <w:kern w:val="0"/>
          <w:sz w:val="28"/>
          <w:szCs w:val="28"/>
        </w:rPr>
        <w:t>；其中，</w:t>
      </w:r>
      <w:r>
        <w:rPr>
          <w:rFonts w:ascii="宋体" w:hAnsi="宋体" w:cs="宋体"/>
          <w:color w:val="000000"/>
          <w:kern w:val="0"/>
          <w:sz w:val="28"/>
          <w:szCs w:val="28"/>
        </w:rPr>
        <w:t>2015</w:t>
      </w:r>
      <w:r>
        <w:rPr>
          <w:rFonts w:hint="eastAsia" w:ascii="宋体" w:hAnsi="宋体" w:cs="宋体"/>
          <w:color w:val="000000"/>
          <w:kern w:val="0"/>
          <w:sz w:val="28"/>
          <w:szCs w:val="28"/>
        </w:rPr>
        <w:t>年街道规模以上工业总产值达到</w:t>
      </w:r>
      <w:r>
        <w:rPr>
          <w:rFonts w:ascii="宋体" w:hAnsi="宋体" w:cs="宋体"/>
          <w:color w:val="000000"/>
          <w:kern w:val="0"/>
          <w:sz w:val="28"/>
          <w:szCs w:val="28"/>
        </w:rPr>
        <w:t>255</w:t>
      </w:r>
      <w:r>
        <w:rPr>
          <w:rFonts w:hint="eastAsia" w:ascii="宋体" w:hAnsi="宋体" w:cs="宋体"/>
          <w:color w:val="000000"/>
          <w:kern w:val="0"/>
          <w:sz w:val="28"/>
          <w:szCs w:val="28"/>
        </w:rPr>
        <w:t>亿元，“十二五”期间街道规模以上工业总产值年均增速</w:t>
      </w:r>
      <w:r>
        <w:rPr>
          <w:rFonts w:ascii="宋体" w:hAnsi="宋体" w:cs="宋体"/>
          <w:color w:val="000000"/>
          <w:kern w:val="0"/>
          <w:sz w:val="28"/>
          <w:szCs w:val="28"/>
        </w:rPr>
        <w:t>16.4%</w:t>
      </w:r>
      <w:r>
        <w:rPr>
          <w:rFonts w:hint="eastAsia" w:ascii="宋体" w:hAnsi="宋体" w:cs="宋体"/>
          <w:color w:val="000000"/>
          <w:kern w:val="0"/>
          <w:sz w:val="28"/>
          <w:szCs w:val="28"/>
        </w:rPr>
        <w:t>。</w:t>
      </w:r>
      <w:r>
        <w:rPr>
          <w:rFonts w:ascii="宋体" w:hAnsi="宋体" w:cs="宋体"/>
          <w:color w:val="000000"/>
          <w:kern w:val="0"/>
          <w:sz w:val="28"/>
          <w:szCs w:val="28"/>
        </w:rPr>
        <w:t>2015</w:t>
      </w:r>
      <w:r>
        <w:rPr>
          <w:rFonts w:hint="eastAsia" w:ascii="宋体" w:hAnsi="宋体" w:cs="宋体"/>
          <w:color w:val="000000"/>
          <w:kern w:val="0"/>
          <w:sz w:val="28"/>
          <w:szCs w:val="28"/>
        </w:rPr>
        <w:t>年街道实现工业销售收入</w:t>
      </w:r>
      <w:r>
        <w:rPr>
          <w:rFonts w:ascii="宋体" w:hAnsi="宋体" w:cs="宋体"/>
          <w:color w:val="000000"/>
          <w:kern w:val="0"/>
          <w:sz w:val="28"/>
          <w:szCs w:val="28"/>
        </w:rPr>
        <w:t>371</w:t>
      </w:r>
      <w:r>
        <w:rPr>
          <w:rFonts w:hint="eastAsia" w:ascii="宋体" w:hAnsi="宋体" w:cs="宋体"/>
          <w:color w:val="000000"/>
          <w:kern w:val="0"/>
          <w:sz w:val="28"/>
          <w:szCs w:val="28"/>
        </w:rPr>
        <w:t>亿元</w:t>
      </w:r>
      <w:r>
        <w:rPr>
          <w:rFonts w:ascii="宋体" w:hAnsi="宋体" w:cs="宋体"/>
          <w:color w:val="000000"/>
          <w:kern w:val="0"/>
          <w:sz w:val="28"/>
          <w:szCs w:val="28"/>
        </w:rPr>
        <w:t xml:space="preserve">, </w:t>
      </w:r>
      <w:r>
        <w:rPr>
          <w:rFonts w:hint="eastAsia" w:ascii="宋体" w:hAnsi="宋体" w:cs="宋体"/>
          <w:color w:val="000000"/>
          <w:kern w:val="0"/>
          <w:sz w:val="28"/>
          <w:szCs w:val="28"/>
        </w:rPr>
        <w:t>“十二五”期间街道工业销售收入年均增速</w:t>
      </w:r>
      <w:r>
        <w:rPr>
          <w:rFonts w:ascii="宋体" w:hAnsi="宋体" w:cs="宋体"/>
          <w:color w:val="000000"/>
          <w:kern w:val="0"/>
          <w:sz w:val="28"/>
          <w:szCs w:val="28"/>
        </w:rPr>
        <w:t>17.1%</w:t>
      </w:r>
      <w:r>
        <w:rPr>
          <w:rFonts w:hint="eastAsia" w:ascii="宋体" w:hAnsi="宋体" w:cs="宋体"/>
          <w:color w:val="000000"/>
          <w:kern w:val="0"/>
          <w:sz w:val="28"/>
          <w:szCs w:val="28"/>
        </w:rPr>
        <w:t>；其中，</w:t>
      </w:r>
      <w:r>
        <w:rPr>
          <w:rFonts w:ascii="宋体" w:hAnsi="宋体" w:cs="宋体"/>
          <w:color w:val="000000"/>
          <w:kern w:val="0"/>
          <w:sz w:val="28"/>
          <w:szCs w:val="28"/>
        </w:rPr>
        <w:t>2015</w:t>
      </w:r>
      <w:r>
        <w:rPr>
          <w:rFonts w:hint="eastAsia" w:ascii="宋体" w:hAnsi="宋体" w:cs="宋体"/>
          <w:color w:val="000000"/>
          <w:kern w:val="0"/>
          <w:sz w:val="28"/>
          <w:szCs w:val="28"/>
        </w:rPr>
        <w:t>年街道规模以上工业销售收入达到</w:t>
      </w:r>
      <w:r>
        <w:rPr>
          <w:rFonts w:ascii="宋体" w:hAnsi="宋体" w:cs="宋体"/>
          <w:color w:val="000000"/>
          <w:kern w:val="0"/>
          <w:sz w:val="28"/>
          <w:szCs w:val="28"/>
        </w:rPr>
        <w:t>260</w:t>
      </w:r>
      <w:r>
        <w:rPr>
          <w:rFonts w:hint="eastAsia" w:ascii="宋体" w:hAnsi="宋体" w:cs="宋体"/>
          <w:color w:val="000000"/>
          <w:kern w:val="0"/>
          <w:sz w:val="28"/>
          <w:szCs w:val="28"/>
        </w:rPr>
        <w:t>亿元，“十二五”期间街道规模以上工业销售收入年均增速</w:t>
      </w:r>
      <w:r>
        <w:rPr>
          <w:rFonts w:ascii="宋体" w:hAnsi="宋体" w:cs="宋体"/>
          <w:color w:val="000000"/>
          <w:kern w:val="0"/>
          <w:sz w:val="28"/>
          <w:szCs w:val="28"/>
        </w:rPr>
        <w:t>18.1%</w:t>
      </w:r>
      <w:r>
        <w:rPr>
          <w:rFonts w:hint="eastAsia" w:ascii="宋体" w:hAnsi="宋体" w:cs="宋体"/>
          <w:color w:val="000000"/>
          <w:kern w:val="0"/>
          <w:sz w:val="28"/>
          <w:szCs w:val="28"/>
        </w:rPr>
        <w:t>。</w:t>
      </w:r>
      <w:r>
        <w:rPr>
          <w:rFonts w:ascii="宋体" w:hAnsi="宋体" w:cs="宋体"/>
          <w:color w:val="000000"/>
          <w:kern w:val="0"/>
          <w:sz w:val="28"/>
          <w:szCs w:val="28"/>
        </w:rPr>
        <w:t>2015</w:t>
      </w:r>
      <w:r>
        <w:rPr>
          <w:rFonts w:hint="eastAsia" w:ascii="宋体" w:hAnsi="宋体" w:cs="宋体"/>
          <w:color w:val="000000"/>
          <w:kern w:val="0"/>
          <w:sz w:val="28"/>
          <w:szCs w:val="28"/>
        </w:rPr>
        <w:t>年街道实现工业利税</w:t>
      </w:r>
      <w:r>
        <w:rPr>
          <w:rFonts w:ascii="宋体" w:hAnsi="宋体" w:cs="宋体"/>
          <w:color w:val="000000"/>
          <w:kern w:val="0"/>
          <w:sz w:val="28"/>
          <w:szCs w:val="28"/>
        </w:rPr>
        <w:t>39</w:t>
      </w:r>
      <w:r>
        <w:rPr>
          <w:rFonts w:hint="eastAsia" w:ascii="宋体" w:hAnsi="宋体" w:cs="宋体"/>
          <w:color w:val="000000"/>
          <w:kern w:val="0"/>
          <w:sz w:val="28"/>
          <w:szCs w:val="28"/>
        </w:rPr>
        <w:t>亿元</w:t>
      </w:r>
      <w:r>
        <w:rPr>
          <w:rFonts w:ascii="宋体" w:hAnsi="宋体" w:cs="宋体"/>
          <w:color w:val="000000"/>
          <w:kern w:val="0"/>
          <w:sz w:val="28"/>
          <w:szCs w:val="28"/>
        </w:rPr>
        <w:t xml:space="preserve">, </w:t>
      </w:r>
      <w:r>
        <w:rPr>
          <w:rFonts w:hint="eastAsia" w:ascii="宋体" w:hAnsi="宋体" w:cs="宋体"/>
          <w:color w:val="000000"/>
          <w:kern w:val="0"/>
          <w:sz w:val="28"/>
          <w:szCs w:val="28"/>
        </w:rPr>
        <w:t>“十二五”期间街道工业利税年均增速</w:t>
      </w:r>
      <w:r>
        <w:rPr>
          <w:rFonts w:ascii="宋体" w:hAnsi="宋体" w:cs="宋体"/>
          <w:color w:val="000000"/>
          <w:kern w:val="0"/>
          <w:sz w:val="28"/>
          <w:szCs w:val="28"/>
        </w:rPr>
        <w:t>21%</w:t>
      </w:r>
      <w:r>
        <w:rPr>
          <w:rFonts w:hint="eastAsia" w:ascii="宋体" w:hAnsi="宋体" w:cs="宋体"/>
          <w:color w:val="000000"/>
          <w:kern w:val="0"/>
          <w:sz w:val="28"/>
          <w:szCs w:val="28"/>
        </w:rPr>
        <w:t>；其中，</w:t>
      </w:r>
      <w:r>
        <w:rPr>
          <w:rFonts w:ascii="宋体" w:hAnsi="宋体" w:cs="宋体"/>
          <w:color w:val="000000"/>
          <w:kern w:val="0"/>
          <w:sz w:val="28"/>
          <w:szCs w:val="28"/>
        </w:rPr>
        <w:t>2015</w:t>
      </w:r>
      <w:r>
        <w:rPr>
          <w:rFonts w:hint="eastAsia" w:ascii="宋体" w:hAnsi="宋体" w:cs="宋体"/>
          <w:color w:val="000000"/>
          <w:kern w:val="0"/>
          <w:sz w:val="28"/>
          <w:szCs w:val="28"/>
        </w:rPr>
        <w:t>年街道规模以上工业利税达到</w:t>
      </w:r>
      <w:r>
        <w:rPr>
          <w:rFonts w:ascii="宋体" w:hAnsi="宋体" w:cs="宋体"/>
          <w:color w:val="000000"/>
          <w:kern w:val="0"/>
          <w:sz w:val="28"/>
          <w:szCs w:val="28"/>
        </w:rPr>
        <w:t>32</w:t>
      </w:r>
      <w:r>
        <w:rPr>
          <w:rFonts w:hint="eastAsia" w:ascii="宋体" w:hAnsi="宋体" w:cs="宋体"/>
          <w:color w:val="000000"/>
          <w:kern w:val="0"/>
          <w:sz w:val="28"/>
          <w:szCs w:val="28"/>
        </w:rPr>
        <w:t>亿元，“十二五”期间街道规模以上工业利税年均增速</w:t>
      </w:r>
      <w:r>
        <w:rPr>
          <w:rFonts w:ascii="宋体" w:hAnsi="宋体" w:cs="宋体"/>
          <w:color w:val="000000"/>
          <w:kern w:val="0"/>
          <w:sz w:val="28"/>
          <w:szCs w:val="28"/>
        </w:rPr>
        <w:t>25.1%</w:t>
      </w:r>
      <w:r>
        <w:rPr>
          <w:rFonts w:hint="eastAsia" w:ascii="宋体" w:hAnsi="宋体" w:cs="宋体"/>
          <w:color w:val="000000"/>
          <w:kern w:val="0"/>
          <w:sz w:val="28"/>
          <w:szCs w:val="28"/>
        </w:rPr>
        <w:t>。与规划目标对比，“十二五”期间街道地区生产总值超过了年均增速20%规划目标，第三产业增加值比重超过了50%规划目标。</w:t>
      </w:r>
    </w:p>
    <w:p w14:paraId="27931BFE">
      <w:pPr>
        <w:spacing w:line="360" w:lineRule="auto"/>
        <w:ind w:firstLine="1889" w:firstLineChars="784"/>
        <w:rPr>
          <w:rFonts w:ascii="黑体" w:hAnsi="宋体" w:eastAsia="黑体" w:cs="宋体"/>
          <w:b/>
          <w:color w:val="000000"/>
          <w:kern w:val="0"/>
          <w:sz w:val="24"/>
        </w:rPr>
      </w:pPr>
      <w:r>
        <w:rPr>
          <w:rFonts w:hint="eastAsia" w:ascii="黑体" w:hAnsi="宋体" w:eastAsia="黑体" w:cs="宋体"/>
          <w:b/>
          <w:color w:val="000000"/>
          <w:kern w:val="0"/>
          <w:sz w:val="24"/>
        </w:rPr>
        <w:t>表</w:t>
      </w:r>
      <w:r>
        <w:rPr>
          <w:rFonts w:ascii="黑体" w:hAnsi="宋体" w:eastAsia="黑体" w:cs="宋体"/>
          <w:b/>
          <w:color w:val="000000"/>
          <w:kern w:val="0"/>
          <w:sz w:val="24"/>
        </w:rPr>
        <w:t>1</w:t>
      </w:r>
      <w:r>
        <w:rPr>
          <w:rFonts w:hint="eastAsia" w:ascii="黑体" w:hAnsi="宋体" w:eastAsia="黑体" w:cs="宋体"/>
          <w:b/>
          <w:color w:val="000000"/>
          <w:kern w:val="0"/>
          <w:sz w:val="24"/>
        </w:rPr>
        <w:t>：“十二五”街道主要经济指标完成情况</w:t>
      </w:r>
    </w:p>
    <w:tbl>
      <w:tblPr>
        <w:tblStyle w:val="10"/>
        <w:tblW w:w="8520" w:type="dxa"/>
        <w:tblInd w:w="93" w:type="dxa"/>
        <w:tblLayout w:type="autofit"/>
        <w:tblCellMar>
          <w:top w:w="0" w:type="dxa"/>
          <w:left w:w="108" w:type="dxa"/>
          <w:bottom w:w="0" w:type="dxa"/>
          <w:right w:w="108" w:type="dxa"/>
        </w:tblCellMar>
      </w:tblPr>
      <w:tblGrid>
        <w:gridCol w:w="3207"/>
        <w:gridCol w:w="805"/>
        <w:gridCol w:w="805"/>
        <w:gridCol w:w="805"/>
        <w:gridCol w:w="805"/>
        <w:gridCol w:w="707"/>
        <w:gridCol w:w="1386"/>
      </w:tblGrid>
      <w:tr w14:paraId="2167CAF2">
        <w:tblPrEx>
          <w:tblCellMar>
            <w:top w:w="0" w:type="dxa"/>
            <w:left w:w="108" w:type="dxa"/>
            <w:bottom w:w="0" w:type="dxa"/>
            <w:right w:w="108" w:type="dxa"/>
          </w:tblCellMar>
        </w:tblPrEx>
        <w:trPr>
          <w:trHeight w:val="285" w:hRule="atLeast"/>
        </w:trPr>
        <w:tc>
          <w:tcPr>
            <w:tcW w:w="3207" w:type="dxa"/>
            <w:tcBorders>
              <w:top w:val="single" w:color="auto" w:sz="4" w:space="0"/>
              <w:left w:val="single" w:color="auto" w:sz="4" w:space="0"/>
              <w:bottom w:val="single" w:color="auto" w:sz="4" w:space="0"/>
              <w:right w:val="single" w:color="auto" w:sz="4" w:space="0"/>
            </w:tcBorders>
            <w:noWrap/>
            <w:vAlign w:val="center"/>
          </w:tcPr>
          <w:p w14:paraId="6B98BA70">
            <w:pPr>
              <w:widowControl/>
              <w:spacing w:line="0" w:lineRule="atLeast"/>
              <w:jc w:val="left"/>
              <w:rPr>
                <w:rFonts w:ascii="宋体" w:hAnsi="宋体" w:cs="宋体"/>
                <w:kern w:val="0"/>
                <w:sz w:val="18"/>
                <w:szCs w:val="18"/>
              </w:rPr>
            </w:pPr>
            <w:r>
              <w:rPr>
                <w:rFonts w:hint="eastAsia" w:ascii="宋体" w:hAnsi="宋体" w:cs="宋体"/>
                <w:kern w:val="0"/>
                <w:sz w:val="18"/>
                <w:szCs w:val="18"/>
              </w:rPr>
              <w:t>年份</w:t>
            </w:r>
          </w:p>
        </w:tc>
        <w:tc>
          <w:tcPr>
            <w:tcW w:w="805" w:type="dxa"/>
            <w:tcBorders>
              <w:top w:val="single" w:color="auto" w:sz="4" w:space="0"/>
              <w:left w:val="nil"/>
              <w:bottom w:val="single" w:color="auto" w:sz="4" w:space="0"/>
              <w:right w:val="single" w:color="auto" w:sz="4" w:space="0"/>
            </w:tcBorders>
            <w:noWrap/>
            <w:vAlign w:val="center"/>
          </w:tcPr>
          <w:p w14:paraId="40059704">
            <w:pPr>
              <w:widowControl/>
              <w:spacing w:line="0" w:lineRule="atLeast"/>
              <w:rPr>
                <w:rFonts w:ascii="宋体" w:hAnsi="宋体" w:cs="宋体"/>
                <w:kern w:val="0"/>
                <w:sz w:val="18"/>
                <w:szCs w:val="18"/>
              </w:rPr>
            </w:pPr>
            <w:r>
              <w:rPr>
                <w:rFonts w:ascii="宋体" w:hAnsi="宋体" w:cs="宋体"/>
                <w:kern w:val="0"/>
                <w:sz w:val="18"/>
                <w:szCs w:val="18"/>
              </w:rPr>
              <w:t>2011</w:t>
            </w:r>
          </w:p>
        </w:tc>
        <w:tc>
          <w:tcPr>
            <w:tcW w:w="805" w:type="dxa"/>
            <w:tcBorders>
              <w:top w:val="single" w:color="auto" w:sz="4" w:space="0"/>
              <w:left w:val="nil"/>
              <w:bottom w:val="single" w:color="auto" w:sz="4" w:space="0"/>
              <w:right w:val="single" w:color="auto" w:sz="4" w:space="0"/>
            </w:tcBorders>
            <w:noWrap/>
            <w:vAlign w:val="center"/>
          </w:tcPr>
          <w:p w14:paraId="45B72045">
            <w:pPr>
              <w:widowControl/>
              <w:spacing w:line="0" w:lineRule="atLeast"/>
              <w:jc w:val="center"/>
              <w:rPr>
                <w:rFonts w:ascii="宋体" w:hAnsi="宋体" w:cs="宋体"/>
                <w:kern w:val="0"/>
                <w:sz w:val="18"/>
                <w:szCs w:val="18"/>
              </w:rPr>
            </w:pPr>
            <w:r>
              <w:rPr>
                <w:rFonts w:ascii="宋体" w:hAnsi="宋体" w:cs="宋体"/>
                <w:kern w:val="0"/>
                <w:sz w:val="18"/>
                <w:szCs w:val="18"/>
              </w:rPr>
              <w:t>2012</w:t>
            </w:r>
          </w:p>
        </w:tc>
        <w:tc>
          <w:tcPr>
            <w:tcW w:w="805" w:type="dxa"/>
            <w:tcBorders>
              <w:top w:val="single" w:color="auto" w:sz="4" w:space="0"/>
              <w:left w:val="nil"/>
              <w:bottom w:val="single" w:color="auto" w:sz="4" w:space="0"/>
              <w:right w:val="single" w:color="auto" w:sz="4" w:space="0"/>
            </w:tcBorders>
            <w:noWrap/>
            <w:vAlign w:val="center"/>
          </w:tcPr>
          <w:p w14:paraId="48263E1E">
            <w:pPr>
              <w:widowControl/>
              <w:spacing w:line="0" w:lineRule="atLeast"/>
              <w:jc w:val="center"/>
              <w:rPr>
                <w:rFonts w:ascii="宋体" w:hAnsi="宋体" w:cs="宋体"/>
                <w:kern w:val="0"/>
                <w:sz w:val="18"/>
                <w:szCs w:val="18"/>
              </w:rPr>
            </w:pPr>
            <w:r>
              <w:rPr>
                <w:rFonts w:ascii="宋体" w:hAnsi="宋体" w:cs="宋体"/>
                <w:kern w:val="0"/>
                <w:sz w:val="18"/>
                <w:szCs w:val="18"/>
              </w:rPr>
              <w:t>2013</w:t>
            </w:r>
          </w:p>
        </w:tc>
        <w:tc>
          <w:tcPr>
            <w:tcW w:w="805" w:type="dxa"/>
            <w:tcBorders>
              <w:top w:val="single" w:color="auto" w:sz="4" w:space="0"/>
              <w:left w:val="nil"/>
              <w:bottom w:val="single" w:color="auto" w:sz="4" w:space="0"/>
              <w:right w:val="single" w:color="auto" w:sz="4" w:space="0"/>
            </w:tcBorders>
            <w:noWrap/>
            <w:vAlign w:val="center"/>
          </w:tcPr>
          <w:p w14:paraId="7B57F0B9">
            <w:pPr>
              <w:widowControl/>
              <w:spacing w:line="0" w:lineRule="atLeast"/>
              <w:jc w:val="center"/>
              <w:rPr>
                <w:rFonts w:ascii="宋体" w:hAnsi="宋体" w:cs="宋体"/>
                <w:kern w:val="0"/>
                <w:sz w:val="18"/>
                <w:szCs w:val="18"/>
              </w:rPr>
            </w:pPr>
            <w:r>
              <w:rPr>
                <w:rFonts w:ascii="宋体" w:hAnsi="宋体" w:cs="宋体"/>
                <w:kern w:val="0"/>
                <w:sz w:val="18"/>
                <w:szCs w:val="18"/>
              </w:rPr>
              <w:t>2014</w:t>
            </w:r>
          </w:p>
        </w:tc>
        <w:tc>
          <w:tcPr>
            <w:tcW w:w="707" w:type="dxa"/>
            <w:tcBorders>
              <w:top w:val="single" w:color="auto" w:sz="4" w:space="0"/>
              <w:left w:val="nil"/>
              <w:bottom w:val="single" w:color="auto" w:sz="4" w:space="0"/>
              <w:right w:val="single" w:color="auto" w:sz="4" w:space="0"/>
            </w:tcBorders>
            <w:noWrap/>
            <w:vAlign w:val="center"/>
          </w:tcPr>
          <w:p w14:paraId="4A78559C">
            <w:pPr>
              <w:widowControl/>
              <w:spacing w:line="0" w:lineRule="atLeast"/>
              <w:rPr>
                <w:rFonts w:ascii="宋体" w:hAnsi="宋体" w:cs="宋体"/>
                <w:kern w:val="0"/>
                <w:sz w:val="18"/>
                <w:szCs w:val="18"/>
              </w:rPr>
            </w:pPr>
            <w:r>
              <w:rPr>
                <w:rFonts w:ascii="宋体" w:hAnsi="宋体" w:cs="宋体"/>
                <w:kern w:val="0"/>
                <w:sz w:val="18"/>
                <w:szCs w:val="18"/>
              </w:rPr>
              <w:t>2015</w:t>
            </w:r>
          </w:p>
        </w:tc>
        <w:tc>
          <w:tcPr>
            <w:tcW w:w="1386" w:type="dxa"/>
            <w:tcBorders>
              <w:top w:val="single" w:color="auto" w:sz="4" w:space="0"/>
              <w:left w:val="nil"/>
              <w:bottom w:val="single" w:color="auto" w:sz="4" w:space="0"/>
              <w:right w:val="single" w:color="auto" w:sz="4" w:space="0"/>
            </w:tcBorders>
            <w:noWrap/>
            <w:vAlign w:val="bottom"/>
          </w:tcPr>
          <w:p w14:paraId="47805A3D">
            <w:pPr>
              <w:widowControl/>
              <w:spacing w:line="0" w:lineRule="atLeast"/>
              <w:ind w:right="-52"/>
              <w:jc w:val="center"/>
              <w:rPr>
                <w:rFonts w:ascii="宋体" w:hAnsi="宋体" w:cs="宋体"/>
                <w:kern w:val="0"/>
                <w:sz w:val="18"/>
                <w:szCs w:val="18"/>
              </w:rPr>
            </w:pPr>
            <w:r>
              <w:rPr>
                <w:rFonts w:hint="eastAsia" w:ascii="宋体" w:hAnsi="宋体" w:cs="宋体"/>
                <w:kern w:val="0"/>
                <w:sz w:val="18"/>
                <w:szCs w:val="18"/>
              </w:rPr>
              <w:t>年均增速（</w:t>
            </w:r>
            <w:r>
              <w:rPr>
                <w:rFonts w:ascii="宋体" w:hAnsi="宋体" w:cs="宋体"/>
                <w:kern w:val="0"/>
                <w:sz w:val="18"/>
                <w:szCs w:val="18"/>
              </w:rPr>
              <w:t>%</w:t>
            </w:r>
            <w:r>
              <w:rPr>
                <w:rFonts w:hint="eastAsia" w:ascii="宋体" w:hAnsi="宋体" w:cs="宋体"/>
                <w:kern w:val="0"/>
                <w:sz w:val="18"/>
                <w:szCs w:val="18"/>
              </w:rPr>
              <w:t>）</w:t>
            </w:r>
            <w:r>
              <w:rPr>
                <w:rFonts w:ascii="宋体" w:hAnsi="宋体" w:cs="宋体"/>
                <w:kern w:val="0"/>
                <w:sz w:val="18"/>
                <w:szCs w:val="18"/>
              </w:rPr>
              <w:t xml:space="preserve">       </w:t>
            </w:r>
          </w:p>
        </w:tc>
      </w:tr>
      <w:tr w14:paraId="15899D54">
        <w:tblPrEx>
          <w:tblCellMar>
            <w:top w:w="0" w:type="dxa"/>
            <w:left w:w="108" w:type="dxa"/>
            <w:bottom w:w="0" w:type="dxa"/>
            <w:right w:w="108" w:type="dxa"/>
          </w:tblCellMar>
        </w:tblPrEx>
        <w:trPr>
          <w:trHeight w:val="285" w:hRule="atLeast"/>
        </w:trPr>
        <w:tc>
          <w:tcPr>
            <w:tcW w:w="3207" w:type="dxa"/>
            <w:tcBorders>
              <w:top w:val="nil"/>
              <w:left w:val="single" w:color="auto" w:sz="4" w:space="0"/>
              <w:bottom w:val="single" w:color="auto" w:sz="4" w:space="0"/>
              <w:right w:val="single" w:color="auto" w:sz="4" w:space="0"/>
            </w:tcBorders>
            <w:noWrap/>
            <w:vAlign w:val="center"/>
          </w:tcPr>
          <w:p w14:paraId="57842D35">
            <w:pPr>
              <w:widowControl/>
              <w:spacing w:line="0" w:lineRule="atLeast"/>
              <w:jc w:val="left"/>
              <w:rPr>
                <w:rFonts w:ascii="宋体" w:hAnsi="宋体" w:cs="宋体"/>
                <w:kern w:val="0"/>
                <w:sz w:val="18"/>
                <w:szCs w:val="18"/>
              </w:rPr>
            </w:pPr>
            <w:r>
              <w:rPr>
                <w:rFonts w:hint="eastAsia" w:ascii="宋体" w:hAnsi="宋体" w:cs="宋体"/>
                <w:kern w:val="0"/>
                <w:sz w:val="18"/>
                <w:szCs w:val="18"/>
              </w:rPr>
              <w:t>地区生产总值（</w:t>
            </w:r>
            <w:r>
              <w:rPr>
                <w:rFonts w:ascii="宋体" w:hAnsi="宋体" w:cs="宋体"/>
                <w:kern w:val="0"/>
                <w:sz w:val="18"/>
                <w:szCs w:val="18"/>
              </w:rPr>
              <w:t>GDP</w:t>
            </w:r>
            <w:r>
              <w:rPr>
                <w:rFonts w:hint="eastAsia" w:ascii="宋体" w:hAnsi="宋体" w:cs="宋体"/>
                <w:kern w:val="0"/>
                <w:sz w:val="18"/>
                <w:szCs w:val="18"/>
              </w:rPr>
              <w:t>）（亿元）</w:t>
            </w:r>
          </w:p>
        </w:tc>
        <w:tc>
          <w:tcPr>
            <w:tcW w:w="805" w:type="dxa"/>
            <w:tcBorders>
              <w:top w:val="nil"/>
              <w:left w:val="nil"/>
              <w:bottom w:val="single" w:color="auto" w:sz="4" w:space="0"/>
              <w:right w:val="single" w:color="auto" w:sz="4" w:space="0"/>
            </w:tcBorders>
            <w:noWrap/>
            <w:vAlign w:val="center"/>
          </w:tcPr>
          <w:p w14:paraId="636F8029">
            <w:pPr>
              <w:widowControl/>
              <w:spacing w:line="0" w:lineRule="atLeast"/>
              <w:jc w:val="center"/>
              <w:rPr>
                <w:rFonts w:ascii="宋体" w:hAnsi="宋体" w:cs="宋体"/>
                <w:kern w:val="0"/>
                <w:sz w:val="18"/>
                <w:szCs w:val="18"/>
              </w:rPr>
            </w:pPr>
            <w:r>
              <w:rPr>
                <w:rFonts w:ascii="宋体" w:hAnsi="宋体" w:cs="宋体"/>
                <w:kern w:val="0"/>
                <w:sz w:val="18"/>
                <w:szCs w:val="18"/>
              </w:rPr>
              <w:t>52.93</w:t>
            </w:r>
          </w:p>
        </w:tc>
        <w:tc>
          <w:tcPr>
            <w:tcW w:w="805" w:type="dxa"/>
            <w:tcBorders>
              <w:top w:val="nil"/>
              <w:left w:val="nil"/>
              <w:bottom w:val="single" w:color="auto" w:sz="4" w:space="0"/>
              <w:right w:val="single" w:color="auto" w:sz="4" w:space="0"/>
            </w:tcBorders>
            <w:noWrap/>
            <w:vAlign w:val="center"/>
          </w:tcPr>
          <w:p w14:paraId="58343728">
            <w:pPr>
              <w:widowControl/>
              <w:spacing w:line="0" w:lineRule="atLeast"/>
              <w:jc w:val="center"/>
              <w:rPr>
                <w:rFonts w:ascii="宋体" w:hAnsi="宋体" w:cs="宋体"/>
                <w:kern w:val="0"/>
                <w:sz w:val="18"/>
                <w:szCs w:val="18"/>
              </w:rPr>
            </w:pPr>
            <w:r>
              <w:rPr>
                <w:rFonts w:ascii="宋体" w:hAnsi="宋体" w:cs="宋体"/>
                <w:kern w:val="0"/>
                <w:sz w:val="18"/>
                <w:szCs w:val="18"/>
              </w:rPr>
              <w:t>62.27</w:t>
            </w:r>
          </w:p>
        </w:tc>
        <w:tc>
          <w:tcPr>
            <w:tcW w:w="805" w:type="dxa"/>
            <w:tcBorders>
              <w:top w:val="nil"/>
              <w:left w:val="nil"/>
              <w:bottom w:val="single" w:color="auto" w:sz="4" w:space="0"/>
              <w:right w:val="single" w:color="auto" w:sz="4" w:space="0"/>
            </w:tcBorders>
            <w:noWrap/>
            <w:vAlign w:val="center"/>
          </w:tcPr>
          <w:p w14:paraId="65204D29">
            <w:pPr>
              <w:widowControl/>
              <w:spacing w:line="0" w:lineRule="atLeast"/>
              <w:jc w:val="center"/>
              <w:rPr>
                <w:rFonts w:ascii="宋体" w:hAnsi="宋体" w:cs="宋体"/>
                <w:kern w:val="0"/>
                <w:sz w:val="18"/>
                <w:szCs w:val="18"/>
              </w:rPr>
            </w:pPr>
            <w:r>
              <w:rPr>
                <w:rFonts w:ascii="宋体" w:hAnsi="宋体" w:cs="宋体"/>
                <w:kern w:val="0"/>
                <w:sz w:val="18"/>
                <w:szCs w:val="18"/>
              </w:rPr>
              <w:t>122.5</w:t>
            </w:r>
          </w:p>
        </w:tc>
        <w:tc>
          <w:tcPr>
            <w:tcW w:w="805" w:type="dxa"/>
            <w:tcBorders>
              <w:top w:val="nil"/>
              <w:left w:val="nil"/>
              <w:bottom w:val="single" w:color="auto" w:sz="4" w:space="0"/>
              <w:right w:val="single" w:color="auto" w:sz="4" w:space="0"/>
            </w:tcBorders>
            <w:noWrap/>
            <w:vAlign w:val="center"/>
          </w:tcPr>
          <w:p w14:paraId="31FF1D94">
            <w:pPr>
              <w:widowControl/>
              <w:spacing w:line="0" w:lineRule="atLeast"/>
              <w:jc w:val="center"/>
              <w:rPr>
                <w:rFonts w:ascii="宋体" w:hAnsi="宋体" w:cs="宋体"/>
                <w:kern w:val="0"/>
                <w:sz w:val="18"/>
                <w:szCs w:val="18"/>
              </w:rPr>
            </w:pPr>
            <w:r>
              <w:rPr>
                <w:rFonts w:ascii="宋体" w:hAnsi="宋体" w:cs="宋体"/>
                <w:kern w:val="0"/>
                <w:sz w:val="18"/>
                <w:szCs w:val="18"/>
              </w:rPr>
              <w:t>134.8</w:t>
            </w:r>
          </w:p>
        </w:tc>
        <w:tc>
          <w:tcPr>
            <w:tcW w:w="707" w:type="dxa"/>
            <w:tcBorders>
              <w:top w:val="nil"/>
              <w:left w:val="nil"/>
              <w:bottom w:val="single" w:color="auto" w:sz="4" w:space="0"/>
              <w:right w:val="single" w:color="auto" w:sz="4" w:space="0"/>
            </w:tcBorders>
            <w:noWrap/>
            <w:vAlign w:val="center"/>
          </w:tcPr>
          <w:p w14:paraId="225265B1">
            <w:pPr>
              <w:widowControl/>
              <w:spacing w:line="0" w:lineRule="atLeast"/>
              <w:rPr>
                <w:rFonts w:ascii="宋体" w:hAnsi="宋体" w:cs="宋体"/>
                <w:kern w:val="0"/>
                <w:sz w:val="18"/>
                <w:szCs w:val="18"/>
              </w:rPr>
            </w:pPr>
            <w:r>
              <w:rPr>
                <w:rFonts w:ascii="宋体" w:hAnsi="宋体" w:cs="宋体"/>
                <w:kern w:val="0"/>
                <w:sz w:val="18"/>
                <w:szCs w:val="18"/>
              </w:rPr>
              <w:t>146.2</w:t>
            </w:r>
          </w:p>
        </w:tc>
        <w:tc>
          <w:tcPr>
            <w:tcW w:w="1386" w:type="dxa"/>
            <w:tcBorders>
              <w:top w:val="nil"/>
              <w:left w:val="nil"/>
              <w:bottom w:val="single" w:color="auto" w:sz="4" w:space="0"/>
              <w:right w:val="single" w:color="auto" w:sz="4" w:space="0"/>
            </w:tcBorders>
            <w:noWrap/>
            <w:vAlign w:val="bottom"/>
          </w:tcPr>
          <w:p w14:paraId="4A4047A0">
            <w:pPr>
              <w:widowControl/>
              <w:spacing w:line="0" w:lineRule="atLeast"/>
              <w:ind w:right="735"/>
              <w:rPr>
                <w:rFonts w:ascii="宋体" w:hAnsi="宋体" w:cs="宋体"/>
                <w:kern w:val="0"/>
                <w:sz w:val="18"/>
                <w:szCs w:val="18"/>
              </w:rPr>
            </w:pPr>
            <w:r>
              <w:rPr>
                <w:rFonts w:ascii="宋体" w:hAnsi="宋体" w:cs="宋体"/>
                <w:kern w:val="0"/>
                <w:sz w:val="18"/>
                <w:szCs w:val="18"/>
              </w:rPr>
              <w:t>28.9</w:t>
            </w:r>
          </w:p>
        </w:tc>
      </w:tr>
      <w:tr w14:paraId="51548A78">
        <w:tblPrEx>
          <w:tblCellMar>
            <w:top w:w="0" w:type="dxa"/>
            <w:left w:w="108" w:type="dxa"/>
            <w:bottom w:w="0" w:type="dxa"/>
            <w:right w:w="108" w:type="dxa"/>
          </w:tblCellMar>
        </w:tblPrEx>
        <w:trPr>
          <w:trHeight w:val="285" w:hRule="atLeast"/>
        </w:trPr>
        <w:tc>
          <w:tcPr>
            <w:tcW w:w="3207" w:type="dxa"/>
            <w:tcBorders>
              <w:top w:val="nil"/>
              <w:left w:val="single" w:color="auto" w:sz="4" w:space="0"/>
              <w:bottom w:val="single" w:color="auto" w:sz="4" w:space="0"/>
              <w:right w:val="single" w:color="auto" w:sz="4" w:space="0"/>
            </w:tcBorders>
            <w:noWrap/>
            <w:vAlign w:val="center"/>
          </w:tcPr>
          <w:p w14:paraId="77CEB6D1">
            <w:pPr>
              <w:widowControl/>
              <w:spacing w:line="0" w:lineRule="atLeast"/>
              <w:rPr>
                <w:rFonts w:ascii="宋体" w:hAnsi="宋体" w:cs="宋体"/>
                <w:kern w:val="0"/>
                <w:sz w:val="18"/>
                <w:szCs w:val="18"/>
              </w:rPr>
            </w:pPr>
            <w:r>
              <w:rPr>
                <w:rFonts w:hint="eastAsia" w:ascii="宋体" w:hAnsi="宋体" w:cs="宋体"/>
                <w:kern w:val="0"/>
                <w:sz w:val="18"/>
                <w:szCs w:val="18"/>
              </w:rPr>
              <w:t>其中</w:t>
            </w:r>
            <w:r>
              <w:rPr>
                <w:rFonts w:ascii="宋体" w:hAnsi="宋体" w:cs="宋体"/>
                <w:kern w:val="0"/>
                <w:sz w:val="18"/>
                <w:szCs w:val="18"/>
              </w:rPr>
              <w:t xml:space="preserve">: </w:t>
            </w:r>
            <w:r>
              <w:rPr>
                <w:rFonts w:hint="eastAsia" w:ascii="宋体" w:hAnsi="宋体" w:cs="宋体"/>
                <w:kern w:val="0"/>
                <w:sz w:val="18"/>
                <w:szCs w:val="18"/>
              </w:rPr>
              <w:t>第三产业增加值（亿元）</w:t>
            </w:r>
          </w:p>
        </w:tc>
        <w:tc>
          <w:tcPr>
            <w:tcW w:w="805" w:type="dxa"/>
            <w:tcBorders>
              <w:top w:val="nil"/>
              <w:left w:val="nil"/>
              <w:bottom w:val="single" w:color="auto" w:sz="4" w:space="0"/>
              <w:right w:val="single" w:color="auto" w:sz="4" w:space="0"/>
            </w:tcBorders>
            <w:noWrap/>
            <w:vAlign w:val="center"/>
          </w:tcPr>
          <w:p w14:paraId="471EE659">
            <w:pPr>
              <w:widowControl/>
              <w:spacing w:line="0" w:lineRule="atLeast"/>
              <w:jc w:val="center"/>
              <w:rPr>
                <w:rFonts w:ascii="宋体" w:hAnsi="宋体" w:cs="宋体"/>
                <w:kern w:val="0"/>
                <w:sz w:val="18"/>
                <w:szCs w:val="18"/>
              </w:rPr>
            </w:pPr>
            <w:r>
              <w:rPr>
                <w:rFonts w:ascii="宋体" w:hAnsi="宋体" w:cs="宋体"/>
                <w:kern w:val="0"/>
                <w:sz w:val="18"/>
                <w:szCs w:val="18"/>
              </w:rPr>
              <w:t>11.86</w:t>
            </w:r>
          </w:p>
        </w:tc>
        <w:tc>
          <w:tcPr>
            <w:tcW w:w="805" w:type="dxa"/>
            <w:tcBorders>
              <w:top w:val="nil"/>
              <w:left w:val="nil"/>
              <w:bottom w:val="single" w:color="auto" w:sz="4" w:space="0"/>
              <w:right w:val="single" w:color="auto" w:sz="4" w:space="0"/>
            </w:tcBorders>
            <w:noWrap/>
            <w:vAlign w:val="center"/>
          </w:tcPr>
          <w:p w14:paraId="24387571">
            <w:pPr>
              <w:widowControl/>
              <w:spacing w:line="0" w:lineRule="atLeast"/>
              <w:jc w:val="center"/>
              <w:rPr>
                <w:rFonts w:ascii="宋体" w:hAnsi="宋体" w:cs="宋体"/>
                <w:kern w:val="0"/>
                <w:sz w:val="18"/>
                <w:szCs w:val="18"/>
              </w:rPr>
            </w:pPr>
            <w:r>
              <w:rPr>
                <w:rFonts w:ascii="宋体" w:hAnsi="宋体" w:cs="宋体"/>
                <w:kern w:val="0"/>
                <w:sz w:val="18"/>
                <w:szCs w:val="18"/>
              </w:rPr>
              <w:t>17.1</w:t>
            </w:r>
          </w:p>
        </w:tc>
        <w:tc>
          <w:tcPr>
            <w:tcW w:w="805" w:type="dxa"/>
            <w:tcBorders>
              <w:top w:val="nil"/>
              <w:left w:val="nil"/>
              <w:bottom w:val="single" w:color="auto" w:sz="4" w:space="0"/>
              <w:right w:val="single" w:color="auto" w:sz="4" w:space="0"/>
            </w:tcBorders>
            <w:noWrap/>
            <w:vAlign w:val="center"/>
          </w:tcPr>
          <w:p w14:paraId="5D30624E">
            <w:pPr>
              <w:widowControl/>
              <w:spacing w:line="0" w:lineRule="atLeast"/>
              <w:jc w:val="center"/>
              <w:rPr>
                <w:rFonts w:ascii="宋体" w:hAnsi="宋体" w:cs="宋体"/>
                <w:kern w:val="0"/>
                <w:sz w:val="18"/>
                <w:szCs w:val="18"/>
              </w:rPr>
            </w:pPr>
            <w:r>
              <w:rPr>
                <w:rFonts w:ascii="宋体" w:hAnsi="宋体" w:cs="宋体"/>
                <w:kern w:val="0"/>
                <w:sz w:val="18"/>
                <w:szCs w:val="18"/>
              </w:rPr>
              <w:t>58.97</w:t>
            </w:r>
          </w:p>
        </w:tc>
        <w:tc>
          <w:tcPr>
            <w:tcW w:w="805" w:type="dxa"/>
            <w:tcBorders>
              <w:top w:val="nil"/>
              <w:left w:val="nil"/>
              <w:bottom w:val="single" w:color="auto" w:sz="4" w:space="0"/>
              <w:right w:val="single" w:color="auto" w:sz="4" w:space="0"/>
            </w:tcBorders>
            <w:noWrap/>
            <w:vAlign w:val="center"/>
          </w:tcPr>
          <w:p w14:paraId="2F5775B3">
            <w:pPr>
              <w:widowControl/>
              <w:spacing w:line="0" w:lineRule="atLeast"/>
              <w:jc w:val="center"/>
              <w:rPr>
                <w:rFonts w:ascii="宋体" w:hAnsi="宋体" w:cs="宋体"/>
                <w:kern w:val="0"/>
                <w:sz w:val="18"/>
                <w:szCs w:val="18"/>
              </w:rPr>
            </w:pPr>
            <w:r>
              <w:rPr>
                <w:rFonts w:ascii="宋体" w:hAnsi="宋体" w:cs="宋体"/>
                <w:kern w:val="0"/>
                <w:sz w:val="18"/>
                <w:szCs w:val="18"/>
              </w:rPr>
              <w:t>69.6</w:t>
            </w:r>
          </w:p>
        </w:tc>
        <w:tc>
          <w:tcPr>
            <w:tcW w:w="707" w:type="dxa"/>
            <w:tcBorders>
              <w:top w:val="nil"/>
              <w:left w:val="nil"/>
              <w:bottom w:val="single" w:color="auto" w:sz="4" w:space="0"/>
              <w:right w:val="single" w:color="auto" w:sz="4" w:space="0"/>
            </w:tcBorders>
            <w:noWrap/>
            <w:vAlign w:val="center"/>
          </w:tcPr>
          <w:p w14:paraId="29380F6D">
            <w:pPr>
              <w:widowControl/>
              <w:spacing w:line="0" w:lineRule="atLeast"/>
              <w:rPr>
                <w:rFonts w:ascii="宋体" w:hAnsi="宋体" w:cs="宋体"/>
                <w:kern w:val="0"/>
                <w:sz w:val="18"/>
                <w:szCs w:val="18"/>
              </w:rPr>
            </w:pPr>
            <w:r>
              <w:rPr>
                <w:rFonts w:ascii="宋体" w:hAnsi="宋体" w:cs="宋体"/>
                <w:kern w:val="0"/>
                <w:sz w:val="18"/>
                <w:szCs w:val="18"/>
              </w:rPr>
              <w:t>82.1</w:t>
            </w:r>
          </w:p>
        </w:tc>
        <w:tc>
          <w:tcPr>
            <w:tcW w:w="1386" w:type="dxa"/>
            <w:tcBorders>
              <w:top w:val="nil"/>
              <w:left w:val="nil"/>
              <w:bottom w:val="single" w:color="auto" w:sz="4" w:space="0"/>
              <w:right w:val="single" w:color="auto" w:sz="4" w:space="0"/>
            </w:tcBorders>
            <w:noWrap/>
            <w:vAlign w:val="bottom"/>
          </w:tcPr>
          <w:p w14:paraId="7D3686D9">
            <w:pPr>
              <w:widowControl/>
              <w:spacing w:line="0" w:lineRule="atLeast"/>
              <w:ind w:right="420"/>
              <w:rPr>
                <w:rFonts w:ascii="宋体" w:hAnsi="宋体" w:cs="宋体"/>
                <w:kern w:val="0"/>
                <w:sz w:val="18"/>
                <w:szCs w:val="18"/>
              </w:rPr>
            </w:pPr>
            <w:r>
              <w:rPr>
                <w:rFonts w:ascii="宋体" w:hAnsi="宋体" w:cs="宋体"/>
                <w:kern w:val="0"/>
                <w:sz w:val="18"/>
                <w:szCs w:val="18"/>
              </w:rPr>
              <w:t>62.2</w:t>
            </w:r>
          </w:p>
        </w:tc>
      </w:tr>
      <w:tr w14:paraId="1FCCB68D">
        <w:tblPrEx>
          <w:tblCellMar>
            <w:top w:w="0" w:type="dxa"/>
            <w:left w:w="108" w:type="dxa"/>
            <w:bottom w:w="0" w:type="dxa"/>
            <w:right w:w="108" w:type="dxa"/>
          </w:tblCellMar>
        </w:tblPrEx>
        <w:trPr>
          <w:trHeight w:val="285" w:hRule="atLeast"/>
        </w:trPr>
        <w:tc>
          <w:tcPr>
            <w:tcW w:w="3207" w:type="dxa"/>
            <w:tcBorders>
              <w:top w:val="nil"/>
              <w:left w:val="single" w:color="auto" w:sz="4" w:space="0"/>
              <w:bottom w:val="single" w:color="auto" w:sz="4" w:space="0"/>
              <w:right w:val="single" w:color="auto" w:sz="4" w:space="0"/>
            </w:tcBorders>
            <w:noWrap/>
            <w:vAlign w:val="center"/>
          </w:tcPr>
          <w:p w14:paraId="4D9B9422">
            <w:pPr>
              <w:widowControl/>
              <w:spacing w:line="0" w:lineRule="atLeast"/>
              <w:jc w:val="left"/>
              <w:rPr>
                <w:rFonts w:ascii="宋体" w:hAnsi="宋体" w:cs="宋体"/>
                <w:kern w:val="0"/>
                <w:sz w:val="18"/>
                <w:szCs w:val="18"/>
              </w:rPr>
            </w:pPr>
            <w:r>
              <w:rPr>
                <w:rFonts w:hint="eastAsia" w:ascii="宋体" w:hAnsi="宋体" w:cs="宋体"/>
                <w:kern w:val="0"/>
                <w:sz w:val="18"/>
                <w:szCs w:val="18"/>
              </w:rPr>
              <w:t>财政总收入（亿元）</w:t>
            </w:r>
          </w:p>
        </w:tc>
        <w:tc>
          <w:tcPr>
            <w:tcW w:w="805" w:type="dxa"/>
            <w:tcBorders>
              <w:top w:val="nil"/>
              <w:left w:val="nil"/>
              <w:bottom w:val="single" w:color="auto" w:sz="4" w:space="0"/>
              <w:right w:val="single" w:color="auto" w:sz="4" w:space="0"/>
            </w:tcBorders>
            <w:noWrap/>
            <w:vAlign w:val="center"/>
          </w:tcPr>
          <w:p w14:paraId="14827A50">
            <w:pPr>
              <w:widowControl/>
              <w:spacing w:line="0" w:lineRule="atLeast"/>
              <w:jc w:val="center"/>
              <w:rPr>
                <w:rFonts w:ascii="宋体" w:hAnsi="宋体" w:cs="宋体"/>
                <w:kern w:val="0"/>
                <w:sz w:val="18"/>
                <w:szCs w:val="18"/>
              </w:rPr>
            </w:pPr>
            <w:r>
              <w:rPr>
                <w:rFonts w:ascii="宋体" w:hAnsi="宋体" w:cs="宋体"/>
                <w:kern w:val="0"/>
                <w:sz w:val="18"/>
                <w:szCs w:val="18"/>
              </w:rPr>
              <w:t>15.2</w:t>
            </w:r>
          </w:p>
        </w:tc>
        <w:tc>
          <w:tcPr>
            <w:tcW w:w="805" w:type="dxa"/>
            <w:tcBorders>
              <w:top w:val="nil"/>
              <w:left w:val="nil"/>
              <w:bottom w:val="single" w:color="auto" w:sz="4" w:space="0"/>
              <w:right w:val="single" w:color="auto" w:sz="4" w:space="0"/>
            </w:tcBorders>
            <w:noWrap/>
            <w:vAlign w:val="center"/>
          </w:tcPr>
          <w:p w14:paraId="1C20FF32">
            <w:pPr>
              <w:widowControl/>
              <w:spacing w:line="0" w:lineRule="atLeast"/>
              <w:jc w:val="center"/>
              <w:rPr>
                <w:rFonts w:ascii="宋体" w:hAnsi="宋体" w:cs="宋体"/>
                <w:kern w:val="0"/>
                <w:sz w:val="18"/>
                <w:szCs w:val="18"/>
              </w:rPr>
            </w:pPr>
            <w:r>
              <w:rPr>
                <w:rFonts w:ascii="宋体" w:hAnsi="宋体" w:cs="宋体"/>
                <w:kern w:val="0"/>
                <w:sz w:val="18"/>
                <w:szCs w:val="18"/>
              </w:rPr>
              <w:t>17.88</w:t>
            </w:r>
          </w:p>
        </w:tc>
        <w:tc>
          <w:tcPr>
            <w:tcW w:w="805" w:type="dxa"/>
            <w:tcBorders>
              <w:top w:val="nil"/>
              <w:left w:val="nil"/>
              <w:bottom w:val="single" w:color="auto" w:sz="4" w:space="0"/>
              <w:right w:val="single" w:color="auto" w:sz="4" w:space="0"/>
            </w:tcBorders>
            <w:noWrap/>
            <w:vAlign w:val="center"/>
          </w:tcPr>
          <w:p w14:paraId="5109B6AB">
            <w:pPr>
              <w:widowControl/>
              <w:spacing w:line="0" w:lineRule="atLeast"/>
              <w:jc w:val="center"/>
              <w:rPr>
                <w:rFonts w:ascii="宋体" w:hAnsi="宋体" w:cs="宋体"/>
                <w:kern w:val="0"/>
                <w:sz w:val="18"/>
                <w:szCs w:val="18"/>
              </w:rPr>
            </w:pPr>
            <w:r>
              <w:rPr>
                <w:rFonts w:ascii="宋体" w:hAnsi="宋体" w:cs="宋体"/>
                <w:kern w:val="0"/>
                <w:sz w:val="18"/>
                <w:szCs w:val="18"/>
              </w:rPr>
              <w:t>20.22</w:t>
            </w:r>
          </w:p>
        </w:tc>
        <w:tc>
          <w:tcPr>
            <w:tcW w:w="805" w:type="dxa"/>
            <w:tcBorders>
              <w:top w:val="nil"/>
              <w:left w:val="nil"/>
              <w:bottom w:val="single" w:color="auto" w:sz="4" w:space="0"/>
              <w:right w:val="single" w:color="auto" w:sz="4" w:space="0"/>
            </w:tcBorders>
            <w:noWrap/>
            <w:vAlign w:val="center"/>
          </w:tcPr>
          <w:p w14:paraId="57A99816">
            <w:pPr>
              <w:widowControl/>
              <w:spacing w:line="0" w:lineRule="atLeast"/>
              <w:jc w:val="center"/>
              <w:rPr>
                <w:rFonts w:ascii="宋体" w:hAnsi="宋体" w:cs="宋体"/>
                <w:kern w:val="0"/>
                <w:sz w:val="18"/>
                <w:szCs w:val="18"/>
              </w:rPr>
            </w:pPr>
            <w:r>
              <w:rPr>
                <w:rFonts w:ascii="宋体" w:hAnsi="宋体" w:cs="宋体"/>
                <w:kern w:val="0"/>
                <w:sz w:val="18"/>
                <w:szCs w:val="18"/>
              </w:rPr>
              <w:t>28.37</w:t>
            </w:r>
          </w:p>
        </w:tc>
        <w:tc>
          <w:tcPr>
            <w:tcW w:w="707" w:type="dxa"/>
            <w:tcBorders>
              <w:top w:val="nil"/>
              <w:left w:val="nil"/>
              <w:bottom w:val="single" w:color="auto" w:sz="4" w:space="0"/>
              <w:right w:val="single" w:color="auto" w:sz="4" w:space="0"/>
            </w:tcBorders>
            <w:noWrap/>
            <w:vAlign w:val="center"/>
          </w:tcPr>
          <w:p w14:paraId="5989E45B">
            <w:pPr>
              <w:widowControl/>
              <w:spacing w:line="0" w:lineRule="atLeast"/>
              <w:rPr>
                <w:rFonts w:ascii="宋体" w:hAnsi="宋体" w:cs="宋体"/>
                <w:kern w:val="0"/>
                <w:sz w:val="18"/>
                <w:szCs w:val="18"/>
              </w:rPr>
            </w:pPr>
            <w:r>
              <w:rPr>
                <w:rFonts w:ascii="宋体" w:hAnsi="宋体" w:cs="宋体"/>
                <w:kern w:val="0"/>
                <w:sz w:val="18"/>
                <w:szCs w:val="18"/>
              </w:rPr>
              <w:t>30.1</w:t>
            </w:r>
          </w:p>
        </w:tc>
        <w:tc>
          <w:tcPr>
            <w:tcW w:w="1386" w:type="dxa"/>
            <w:tcBorders>
              <w:top w:val="nil"/>
              <w:left w:val="nil"/>
              <w:bottom w:val="single" w:color="auto" w:sz="4" w:space="0"/>
              <w:right w:val="single" w:color="auto" w:sz="4" w:space="0"/>
            </w:tcBorders>
            <w:noWrap/>
            <w:vAlign w:val="bottom"/>
          </w:tcPr>
          <w:p w14:paraId="67E03A04">
            <w:pPr>
              <w:widowControl/>
              <w:spacing w:line="0" w:lineRule="atLeast"/>
              <w:ind w:right="420"/>
              <w:rPr>
                <w:rFonts w:ascii="宋体" w:hAnsi="宋体" w:cs="宋体"/>
                <w:kern w:val="0"/>
                <w:sz w:val="18"/>
                <w:szCs w:val="18"/>
              </w:rPr>
            </w:pPr>
            <w:r>
              <w:rPr>
                <w:rFonts w:ascii="宋体" w:hAnsi="宋体" w:cs="宋体"/>
                <w:kern w:val="0"/>
                <w:sz w:val="18"/>
                <w:szCs w:val="18"/>
              </w:rPr>
              <w:t>18.6</w:t>
            </w:r>
          </w:p>
        </w:tc>
      </w:tr>
      <w:tr w14:paraId="4FFCE009">
        <w:tblPrEx>
          <w:tblCellMar>
            <w:top w:w="0" w:type="dxa"/>
            <w:left w:w="108" w:type="dxa"/>
            <w:bottom w:w="0" w:type="dxa"/>
            <w:right w:w="108" w:type="dxa"/>
          </w:tblCellMar>
        </w:tblPrEx>
        <w:trPr>
          <w:trHeight w:val="285" w:hRule="atLeast"/>
        </w:trPr>
        <w:tc>
          <w:tcPr>
            <w:tcW w:w="3207" w:type="dxa"/>
            <w:tcBorders>
              <w:top w:val="nil"/>
              <w:left w:val="single" w:color="auto" w:sz="4" w:space="0"/>
              <w:bottom w:val="single" w:color="auto" w:sz="4" w:space="0"/>
              <w:right w:val="single" w:color="auto" w:sz="4" w:space="0"/>
            </w:tcBorders>
            <w:noWrap/>
            <w:vAlign w:val="center"/>
          </w:tcPr>
          <w:p w14:paraId="37C2C920">
            <w:pPr>
              <w:widowControl/>
              <w:spacing w:line="0" w:lineRule="atLeast"/>
              <w:rPr>
                <w:rFonts w:ascii="宋体" w:hAnsi="宋体" w:cs="宋体"/>
                <w:kern w:val="0"/>
                <w:sz w:val="18"/>
                <w:szCs w:val="18"/>
              </w:rPr>
            </w:pPr>
            <w:r>
              <w:rPr>
                <w:rFonts w:hint="eastAsia" w:ascii="宋体" w:hAnsi="宋体" w:cs="宋体"/>
                <w:kern w:val="0"/>
                <w:sz w:val="18"/>
                <w:szCs w:val="18"/>
              </w:rPr>
              <w:t>其中：公共财政预算收入（亿元）</w:t>
            </w:r>
          </w:p>
        </w:tc>
        <w:tc>
          <w:tcPr>
            <w:tcW w:w="805" w:type="dxa"/>
            <w:tcBorders>
              <w:top w:val="nil"/>
              <w:left w:val="nil"/>
              <w:bottom w:val="single" w:color="auto" w:sz="4" w:space="0"/>
              <w:right w:val="single" w:color="auto" w:sz="4" w:space="0"/>
            </w:tcBorders>
            <w:noWrap/>
            <w:vAlign w:val="center"/>
          </w:tcPr>
          <w:p w14:paraId="70CFB353">
            <w:pPr>
              <w:widowControl/>
              <w:spacing w:line="0" w:lineRule="atLeast"/>
              <w:jc w:val="center"/>
              <w:rPr>
                <w:rFonts w:ascii="宋体" w:hAnsi="宋体" w:cs="宋体"/>
                <w:kern w:val="0"/>
                <w:sz w:val="18"/>
                <w:szCs w:val="18"/>
              </w:rPr>
            </w:pPr>
            <w:r>
              <w:rPr>
                <w:rFonts w:ascii="宋体" w:hAnsi="宋体" w:cs="宋体"/>
                <w:kern w:val="0"/>
                <w:sz w:val="18"/>
                <w:szCs w:val="18"/>
              </w:rPr>
              <w:t>7.73</w:t>
            </w:r>
          </w:p>
        </w:tc>
        <w:tc>
          <w:tcPr>
            <w:tcW w:w="805" w:type="dxa"/>
            <w:tcBorders>
              <w:top w:val="nil"/>
              <w:left w:val="nil"/>
              <w:bottom w:val="single" w:color="auto" w:sz="4" w:space="0"/>
              <w:right w:val="single" w:color="auto" w:sz="4" w:space="0"/>
            </w:tcBorders>
            <w:noWrap/>
            <w:vAlign w:val="center"/>
          </w:tcPr>
          <w:p w14:paraId="22BE81FA">
            <w:pPr>
              <w:widowControl/>
              <w:spacing w:line="0" w:lineRule="atLeast"/>
              <w:jc w:val="center"/>
              <w:rPr>
                <w:rFonts w:ascii="宋体" w:hAnsi="宋体" w:cs="宋体"/>
                <w:kern w:val="0"/>
                <w:sz w:val="18"/>
                <w:szCs w:val="18"/>
              </w:rPr>
            </w:pPr>
            <w:r>
              <w:rPr>
                <w:rFonts w:ascii="宋体" w:hAnsi="宋体" w:cs="宋体"/>
                <w:kern w:val="0"/>
                <w:sz w:val="18"/>
                <w:szCs w:val="18"/>
              </w:rPr>
              <w:t>8.83</w:t>
            </w:r>
          </w:p>
        </w:tc>
        <w:tc>
          <w:tcPr>
            <w:tcW w:w="805" w:type="dxa"/>
            <w:tcBorders>
              <w:top w:val="nil"/>
              <w:left w:val="nil"/>
              <w:bottom w:val="single" w:color="auto" w:sz="4" w:space="0"/>
              <w:right w:val="single" w:color="auto" w:sz="4" w:space="0"/>
            </w:tcBorders>
            <w:noWrap/>
            <w:vAlign w:val="center"/>
          </w:tcPr>
          <w:p w14:paraId="69CACF28">
            <w:pPr>
              <w:widowControl/>
              <w:spacing w:line="0" w:lineRule="atLeast"/>
              <w:jc w:val="center"/>
              <w:rPr>
                <w:rFonts w:ascii="宋体" w:hAnsi="宋体" w:cs="宋体"/>
                <w:kern w:val="0"/>
                <w:sz w:val="18"/>
                <w:szCs w:val="18"/>
              </w:rPr>
            </w:pPr>
            <w:r>
              <w:rPr>
                <w:rFonts w:ascii="宋体" w:hAnsi="宋体" w:cs="宋体"/>
                <w:kern w:val="0"/>
                <w:sz w:val="18"/>
                <w:szCs w:val="18"/>
              </w:rPr>
              <w:t>10.11</w:t>
            </w:r>
          </w:p>
        </w:tc>
        <w:tc>
          <w:tcPr>
            <w:tcW w:w="805" w:type="dxa"/>
            <w:tcBorders>
              <w:top w:val="nil"/>
              <w:left w:val="nil"/>
              <w:bottom w:val="single" w:color="auto" w:sz="4" w:space="0"/>
              <w:right w:val="single" w:color="auto" w:sz="4" w:space="0"/>
            </w:tcBorders>
            <w:noWrap/>
            <w:vAlign w:val="center"/>
          </w:tcPr>
          <w:p w14:paraId="067DEB21">
            <w:pPr>
              <w:widowControl/>
              <w:spacing w:line="0" w:lineRule="atLeast"/>
              <w:jc w:val="center"/>
              <w:rPr>
                <w:rFonts w:ascii="宋体" w:hAnsi="宋体" w:cs="宋体"/>
                <w:kern w:val="0"/>
                <w:sz w:val="18"/>
                <w:szCs w:val="18"/>
              </w:rPr>
            </w:pPr>
            <w:r>
              <w:rPr>
                <w:rFonts w:ascii="宋体" w:hAnsi="宋体" w:cs="宋体"/>
                <w:kern w:val="0"/>
                <w:sz w:val="18"/>
                <w:szCs w:val="18"/>
              </w:rPr>
              <w:t>13.17</w:t>
            </w:r>
          </w:p>
        </w:tc>
        <w:tc>
          <w:tcPr>
            <w:tcW w:w="707" w:type="dxa"/>
            <w:tcBorders>
              <w:top w:val="nil"/>
              <w:left w:val="nil"/>
              <w:bottom w:val="single" w:color="auto" w:sz="4" w:space="0"/>
              <w:right w:val="single" w:color="auto" w:sz="4" w:space="0"/>
            </w:tcBorders>
            <w:noWrap/>
            <w:vAlign w:val="center"/>
          </w:tcPr>
          <w:p w14:paraId="20DD463E">
            <w:pPr>
              <w:widowControl/>
              <w:spacing w:line="0" w:lineRule="atLeast"/>
              <w:rPr>
                <w:rFonts w:ascii="宋体" w:hAnsi="宋体" w:cs="宋体"/>
                <w:kern w:val="0"/>
                <w:sz w:val="18"/>
                <w:szCs w:val="18"/>
              </w:rPr>
            </w:pPr>
            <w:r>
              <w:rPr>
                <w:rFonts w:ascii="宋体" w:hAnsi="宋体" w:cs="宋体"/>
                <w:kern w:val="0"/>
                <w:sz w:val="18"/>
                <w:szCs w:val="18"/>
              </w:rPr>
              <w:t>14.7</w:t>
            </w:r>
          </w:p>
        </w:tc>
        <w:tc>
          <w:tcPr>
            <w:tcW w:w="1386" w:type="dxa"/>
            <w:tcBorders>
              <w:top w:val="nil"/>
              <w:left w:val="nil"/>
              <w:bottom w:val="single" w:color="auto" w:sz="4" w:space="0"/>
              <w:right w:val="single" w:color="auto" w:sz="4" w:space="0"/>
            </w:tcBorders>
            <w:noWrap/>
            <w:vAlign w:val="bottom"/>
          </w:tcPr>
          <w:p w14:paraId="495B80D6">
            <w:pPr>
              <w:widowControl/>
              <w:spacing w:line="0" w:lineRule="atLeast"/>
              <w:ind w:right="420"/>
              <w:rPr>
                <w:rFonts w:ascii="宋体" w:hAnsi="宋体" w:cs="宋体"/>
                <w:kern w:val="0"/>
                <w:sz w:val="18"/>
                <w:szCs w:val="18"/>
              </w:rPr>
            </w:pPr>
            <w:r>
              <w:rPr>
                <w:rFonts w:ascii="宋体" w:hAnsi="宋体" w:cs="宋体"/>
                <w:kern w:val="0"/>
                <w:sz w:val="18"/>
                <w:szCs w:val="18"/>
              </w:rPr>
              <w:t>17.4</w:t>
            </w:r>
          </w:p>
        </w:tc>
      </w:tr>
      <w:tr w14:paraId="0D00DDD2">
        <w:tblPrEx>
          <w:tblCellMar>
            <w:top w:w="0" w:type="dxa"/>
            <w:left w:w="108" w:type="dxa"/>
            <w:bottom w:w="0" w:type="dxa"/>
            <w:right w:w="108" w:type="dxa"/>
          </w:tblCellMar>
        </w:tblPrEx>
        <w:trPr>
          <w:trHeight w:val="285" w:hRule="atLeast"/>
        </w:trPr>
        <w:tc>
          <w:tcPr>
            <w:tcW w:w="3207" w:type="dxa"/>
            <w:tcBorders>
              <w:top w:val="nil"/>
              <w:left w:val="single" w:color="auto" w:sz="4" w:space="0"/>
              <w:bottom w:val="single" w:color="auto" w:sz="4" w:space="0"/>
              <w:right w:val="single" w:color="auto" w:sz="4" w:space="0"/>
            </w:tcBorders>
            <w:noWrap/>
            <w:vAlign w:val="center"/>
          </w:tcPr>
          <w:p w14:paraId="279CF8FF">
            <w:pPr>
              <w:widowControl/>
              <w:spacing w:line="0" w:lineRule="atLeast"/>
              <w:jc w:val="left"/>
              <w:rPr>
                <w:rFonts w:ascii="宋体" w:hAnsi="宋体" w:cs="宋体"/>
                <w:kern w:val="0"/>
                <w:sz w:val="18"/>
                <w:szCs w:val="18"/>
              </w:rPr>
            </w:pPr>
            <w:r>
              <w:rPr>
                <w:rFonts w:hint="eastAsia" w:ascii="宋体" w:hAnsi="宋体" w:cs="宋体"/>
                <w:kern w:val="0"/>
                <w:sz w:val="18"/>
                <w:szCs w:val="18"/>
              </w:rPr>
              <w:t>工业总产值（亿元）</w:t>
            </w:r>
          </w:p>
        </w:tc>
        <w:tc>
          <w:tcPr>
            <w:tcW w:w="805" w:type="dxa"/>
            <w:tcBorders>
              <w:top w:val="nil"/>
              <w:left w:val="nil"/>
              <w:bottom w:val="single" w:color="auto" w:sz="4" w:space="0"/>
              <w:right w:val="single" w:color="auto" w:sz="4" w:space="0"/>
            </w:tcBorders>
            <w:noWrap/>
            <w:vAlign w:val="center"/>
          </w:tcPr>
          <w:p w14:paraId="01E2E180">
            <w:pPr>
              <w:widowControl/>
              <w:spacing w:line="0" w:lineRule="atLeast"/>
              <w:jc w:val="center"/>
              <w:rPr>
                <w:rFonts w:ascii="宋体" w:hAnsi="宋体" w:cs="宋体"/>
                <w:kern w:val="0"/>
                <w:sz w:val="18"/>
                <w:szCs w:val="18"/>
              </w:rPr>
            </w:pPr>
            <w:r>
              <w:rPr>
                <w:rFonts w:ascii="宋体" w:hAnsi="宋体" w:cs="宋体"/>
                <w:kern w:val="0"/>
                <w:sz w:val="18"/>
                <w:szCs w:val="18"/>
              </w:rPr>
              <w:t>198.59</w:t>
            </w:r>
          </w:p>
        </w:tc>
        <w:tc>
          <w:tcPr>
            <w:tcW w:w="805" w:type="dxa"/>
            <w:tcBorders>
              <w:top w:val="nil"/>
              <w:left w:val="nil"/>
              <w:bottom w:val="single" w:color="auto" w:sz="4" w:space="0"/>
              <w:right w:val="single" w:color="auto" w:sz="4" w:space="0"/>
            </w:tcBorders>
            <w:noWrap/>
            <w:vAlign w:val="center"/>
          </w:tcPr>
          <w:p w14:paraId="3D65C647">
            <w:pPr>
              <w:widowControl/>
              <w:spacing w:line="0" w:lineRule="atLeast"/>
              <w:jc w:val="center"/>
              <w:rPr>
                <w:rFonts w:ascii="宋体" w:hAnsi="宋体" w:cs="宋体"/>
                <w:kern w:val="0"/>
                <w:sz w:val="18"/>
                <w:szCs w:val="18"/>
              </w:rPr>
            </w:pPr>
            <w:r>
              <w:rPr>
                <w:rFonts w:ascii="宋体" w:hAnsi="宋体" w:cs="宋体"/>
                <w:kern w:val="0"/>
                <w:sz w:val="18"/>
                <w:szCs w:val="18"/>
              </w:rPr>
              <w:t>222.08</w:t>
            </w:r>
          </w:p>
        </w:tc>
        <w:tc>
          <w:tcPr>
            <w:tcW w:w="805" w:type="dxa"/>
            <w:tcBorders>
              <w:top w:val="nil"/>
              <w:left w:val="nil"/>
              <w:bottom w:val="single" w:color="auto" w:sz="4" w:space="0"/>
              <w:right w:val="single" w:color="auto" w:sz="4" w:space="0"/>
            </w:tcBorders>
            <w:noWrap/>
            <w:vAlign w:val="center"/>
          </w:tcPr>
          <w:p w14:paraId="5AD58CDE">
            <w:pPr>
              <w:widowControl/>
              <w:spacing w:line="0" w:lineRule="atLeast"/>
              <w:jc w:val="center"/>
              <w:rPr>
                <w:rFonts w:ascii="宋体" w:hAnsi="宋体" w:cs="宋体"/>
                <w:kern w:val="0"/>
                <w:sz w:val="18"/>
                <w:szCs w:val="18"/>
              </w:rPr>
            </w:pPr>
            <w:r>
              <w:rPr>
                <w:rFonts w:ascii="宋体" w:hAnsi="宋体" w:cs="宋体"/>
                <w:kern w:val="0"/>
                <w:sz w:val="18"/>
                <w:szCs w:val="18"/>
              </w:rPr>
              <w:t>323.12</w:t>
            </w:r>
          </w:p>
        </w:tc>
        <w:tc>
          <w:tcPr>
            <w:tcW w:w="805" w:type="dxa"/>
            <w:tcBorders>
              <w:top w:val="nil"/>
              <w:left w:val="nil"/>
              <w:bottom w:val="single" w:color="auto" w:sz="4" w:space="0"/>
              <w:right w:val="single" w:color="auto" w:sz="4" w:space="0"/>
            </w:tcBorders>
            <w:noWrap/>
            <w:vAlign w:val="center"/>
          </w:tcPr>
          <w:p w14:paraId="491EFEC6">
            <w:pPr>
              <w:widowControl/>
              <w:spacing w:line="0" w:lineRule="atLeast"/>
              <w:jc w:val="center"/>
              <w:rPr>
                <w:rFonts w:ascii="宋体" w:hAnsi="宋体" w:cs="宋体"/>
                <w:kern w:val="0"/>
                <w:sz w:val="18"/>
                <w:szCs w:val="18"/>
              </w:rPr>
            </w:pPr>
            <w:r>
              <w:rPr>
                <w:rFonts w:ascii="宋体" w:hAnsi="宋体" w:cs="宋体"/>
                <w:kern w:val="0"/>
                <w:sz w:val="18"/>
                <w:szCs w:val="18"/>
              </w:rPr>
              <w:t>349.01</w:t>
            </w:r>
          </w:p>
        </w:tc>
        <w:tc>
          <w:tcPr>
            <w:tcW w:w="707" w:type="dxa"/>
            <w:tcBorders>
              <w:top w:val="nil"/>
              <w:left w:val="nil"/>
              <w:bottom w:val="single" w:color="auto" w:sz="4" w:space="0"/>
              <w:right w:val="single" w:color="auto" w:sz="4" w:space="0"/>
            </w:tcBorders>
            <w:noWrap/>
            <w:vAlign w:val="center"/>
          </w:tcPr>
          <w:p w14:paraId="27E87952">
            <w:pPr>
              <w:widowControl/>
              <w:spacing w:line="0" w:lineRule="atLeast"/>
              <w:rPr>
                <w:rFonts w:ascii="宋体" w:hAnsi="宋体" w:cs="宋体"/>
                <w:kern w:val="0"/>
                <w:sz w:val="18"/>
                <w:szCs w:val="18"/>
              </w:rPr>
            </w:pPr>
            <w:r>
              <w:rPr>
                <w:rFonts w:ascii="宋体" w:hAnsi="宋体" w:cs="宋体"/>
                <w:kern w:val="0"/>
                <w:sz w:val="18"/>
                <w:szCs w:val="18"/>
              </w:rPr>
              <w:t>373</w:t>
            </w:r>
          </w:p>
        </w:tc>
        <w:tc>
          <w:tcPr>
            <w:tcW w:w="1386" w:type="dxa"/>
            <w:tcBorders>
              <w:top w:val="nil"/>
              <w:left w:val="nil"/>
              <w:bottom w:val="single" w:color="auto" w:sz="4" w:space="0"/>
              <w:right w:val="single" w:color="auto" w:sz="4" w:space="0"/>
            </w:tcBorders>
            <w:noWrap/>
            <w:vAlign w:val="bottom"/>
          </w:tcPr>
          <w:p w14:paraId="524A7951">
            <w:pPr>
              <w:widowControl/>
              <w:spacing w:line="0" w:lineRule="atLeast"/>
              <w:ind w:right="420"/>
              <w:rPr>
                <w:rFonts w:ascii="宋体" w:hAnsi="宋体" w:cs="宋体"/>
                <w:kern w:val="0"/>
                <w:sz w:val="18"/>
                <w:szCs w:val="18"/>
              </w:rPr>
            </w:pPr>
            <w:r>
              <w:rPr>
                <w:rFonts w:ascii="宋体" w:hAnsi="宋体" w:cs="宋体"/>
                <w:kern w:val="0"/>
                <w:sz w:val="18"/>
                <w:szCs w:val="18"/>
              </w:rPr>
              <w:t>17.1</w:t>
            </w:r>
          </w:p>
        </w:tc>
      </w:tr>
      <w:tr w14:paraId="3579DF04">
        <w:tblPrEx>
          <w:tblCellMar>
            <w:top w:w="0" w:type="dxa"/>
            <w:left w:w="108" w:type="dxa"/>
            <w:bottom w:w="0" w:type="dxa"/>
            <w:right w:w="108" w:type="dxa"/>
          </w:tblCellMar>
        </w:tblPrEx>
        <w:trPr>
          <w:trHeight w:val="285" w:hRule="atLeast"/>
        </w:trPr>
        <w:tc>
          <w:tcPr>
            <w:tcW w:w="3207" w:type="dxa"/>
            <w:tcBorders>
              <w:top w:val="nil"/>
              <w:left w:val="single" w:color="auto" w:sz="4" w:space="0"/>
              <w:bottom w:val="single" w:color="auto" w:sz="4" w:space="0"/>
              <w:right w:val="single" w:color="auto" w:sz="4" w:space="0"/>
            </w:tcBorders>
            <w:noWrap/>
            <w:vAlign w:val="center"/>
          </w:tcPr>
          <w:p w14:paraId="09380CED">
            <w:pPr>
              <w:widowControl/>
              <w:spacing w:line="0" w:lineRule="atLeast"/>
              <w:jc w:val="left"/>
              <w:rPr>
                <w:rFonts w:ascii="宋体" w:hAnsi="宋体" w:cs="宋体"/>
                <w:kern w:val="0"/>
                <w:sz w:val="18"/>
                <w:szCs w:val="18"/>
              </w:rPr>
            </w:pPr>
            <w:r>
              <w:rPr>
                <w:rFonts w:hint="eastAsia" w:ascii="宋体" w:hAnsi="宋体" w:cs="宋体"/>
                <w:kern w:val="0"/>
                <w:sz w:val="18"/>
                <w:szCs w:val="18"/>
              </w:rPr>
              <w:t>其中：规模工业总产值（亿元）</w:t>
            </w:r>
          </w:p>
        </w:tc>
        <w:tc>
          <w:tcPr>
            <w:tcW w:w="805" w:type="dxa"/>
            <w:tcBorders>
              <w:top w:val="nil"/>
              <w:left w:val="nil"/>
              <w:bottom w:val="single" w:color="auto" w:sz="4" w:space="0"/>
              <w:right w:val="single" w:color="auto" w:sz="4" w:space="0"/>
            </w:tcBorders>
            <w:noWrap/>
            <w:vAlign w:val="center"/>
          </w:tcPr>
          <w:p w14:paraId="0EA6DB2B">
            <w:pPr>
              <w:widowControl/>
              <w:spacing w:line="0" w:lineRule="atLeast"/>
              <w:jc w:val="center"/>
              <w:rPr>
                <w:rFonts w:ascii="宋体" w:hAnsi="宋体" w:cs="宋体"/>
                <w:kern w:val="0"/>
                <w:sz w:val="18"/>
                <w:szCs w:val="18"/>
              </w:rPr>
            </w:pPr>
            <w:r>
              <w:rPr>
                <w:rFonts w:ascii="宋体" w:hAnsi="宋体" w:cs="宋体"/>
                <w:kern w:val="0"/>
                <w:sz w:val="18"/>
                <w:szCs w:val="18"/>
              </w:rPr>
              <w:t>138.15</w:t>
            </w:r>
          </w:p>
        </w:tc>
        <w:tc>
          <w:tcPr>
            <w:tcW w:w="805" w:type="dxa"/>
            <w:tcBorders>
              <w:top w:val="nil"/>
              <w:left w:val="nil"/>
              <w:bottom w:val="single" w:color="auto" w:sz="4" w:space="0"/>
              <w:right w:val="single" w:color="auto" w:sz="4" w:space="0"/>
            </w:tcBorders>
            <w:noWrap/>
            <w:vAlign w:val="center"/>
          </w:tcPr>
          <w:p w14:paraId="740BA51A">
            <w:pPr>
              <w:widowControl/>
              <w:spacing w:line="0" w:lineRule="atLeast"/>
              <w:jc w:val="center"/>
              <w:rPr>
                <w:rFonts w:ascii="宋体" w:hAnsi="宋体" w:cs="宋体"/>
                <w:kern w:val="0"/>
                <w:sz w:val="18"/>
                <w:szCs w:val="18"/>
              </w:rPr>
            </w:pPr>
            <w:r>
              <w:rPr>
                <w:rFonts w:ascii="宋体" w:hAnsi="宋体" w:cs="宋体"/>
                <w:kern w:val="0"/>
                <w:sz w:val="18"/>
                <w:szCs w:val="18"/>
              </w:rPr>
              <w:t>156.1</w:t>
            </w:r>
          </w:p>
        </w:tc>
        <w:tc>
          <w:tcPr>
            <w:tcW w:w="805" w:type="dxa"/>
            <w:tcBorders>
              <w:top w:val="nil"/>
              <w:left w:val="nil"/>
              <w:bottom w:val="single" w:color="auto" w:sz="4" w:space="0"/>
              <w:right w:val="single" w:color="auto" w:sz="4" w:space="0"/>
            </w:tcBorders>
            <w:noWrap/>
            <w:vAlign w:val="center"/>
          </w:tcPr>
          <w:p w14:paraId="2BA4573E">
            <w:pPr>
              <w:widowControl/>
              <w:spacing w:line="0" w:lineRule="atLeast"/>
              <w:jc w:val="center"/>
              <w:rPr>
                <w:rFonts w:ascii="宋体" w:hAnsi="宋体" w:cs="宋体"/>
                <w:kern w:val="0"/>
                <w:sz w:val="18"/>
                <w:szCs w:val="18"/>
              </w:rPr>
            </w:pPr>
            <w:r>
              <w:rPr>
                <w:rFonts w:ascii="宋体" w:hAnsi="宋体" w:cs="宋体"/>
                <w:kern w:val="0"/>
                <w:sz w:val="18"/>
                <w:szCs w:val="18"/>
              </w:rPr>
              <w:t>231.15</w:t>
            </w:r>
          </w:p>
        </w:tc>
        <w:tc>
          <w:tcPr>
            <w:tcW w:w="805" w:type="dxa"/>
            <w:tcBorders>
              <w:top w:val="nil"/>
              <w:left w:val="nil"/>
              <w:bottom w:val="single" w:color="auto" w:sz="4" w:space="0"/>
              <w:right w:val="single" w:color="auto" w:sz="4" w:space="0"/>
            </w:tcBorders>
            <w:noWrap/>
            <w:vAlign w:val="center"/>
          </w:tcPr>
          <w:p w14:paraId="67450273">
            <w:pPr>
              <w:widowControl/>
              <w:spacing w:line="0" w:lineRule="atLeast"/>
              <w:jc w:val="center"/>
              <w:rPr>
                <w:rFonts w:ascii="宋体" w:hAnsi="宋体" w:cs="宋体"/>
                <w:kern w:val="0"/>
                <w:sz w:val="18"/>
                <w:szCs w:val="18"/>
              </w:rPr>
            </w:pPr>
            <w:r>
              <w:rPr>
                <w:rFonts w:ascii="宋体" w:hAnsi="宋体" w:cs="宋体"/>
                <w:kern w:val="0"/>
                <w:sz w:val="18"/>
                <w:szCs w:val="18"/>
              </w:rPr>
              <w:t>238.75</w:t>
            </w:r>
          </w:p>
        </w:tc>
        <w:tc>
          <w:tcPr>
            <w:tcW w:w="707" w:type="dxa"/>
            <w:tcBorders>
              <w:top w:val="nil"/>
              <w:left w:val="nil"/>
              <w:bottom w:val="single" w:color="auto" w:sz="4" w:space="0"/>
              <w:right w:val="single" w:color="auto" w:sz="4" w:space="0"/>
            </w:tcBorders>
            <w:noWrap/>
            <w:vAlign w:val="center"/>
          </w:tcPr>
          <w:p w14:paraId="6A3BD915">
            <w:pPr>
              <w:widowControl/>
              <w:spacing w:line="0" w:lineRule="atLeast"/>
              <w:rPr>
                <w:rFonts w:ascii="宋体" w:hAnsi="宋体" w:cs="宋体"/>
                <w:kern w:val="0"/>
                <w:sz w:val="18"/>
                <w:szCs w:val="18"/>
              </w:rPr>
            </w:pPr>
            <w:r>
              <w:rPr>
                <w:rFonts w:ascii="宋体" w:hAnsi="宋体" w:cs="宋体"/>
                <w:kern w:val="0"/>
                <w:sz w:val="18"/>
                <w:szCs w:val="18"/>
              </w:rPr>
              <w:t>255</w:t>
            </w:r>
          </w:p>
        </w:tc>
        <w:tc>
          <w:tcPr>
            <w:tcW w:w="1386" w:type="dxa"/>
            <w:tcBorders>
              <w:top w:val="nil"/>
              <w:left w:val="nil"/>
              <w:bottom w:val="single" w:color="auto" w:sz="4" w:space="0"/>
              <w:right w:val="single" w:color="auto" w:sz="4" w:space="0"/>
            </w:tcBorders>
            <w:noWrap/>
            <w:vAlign w:val="bottom"/>
          </w:tcPr>
          <w:p w14:paraId="30681FA4">
            <w:pPr>
              <w:widowControl/>
              <w:spacing w:line="0" w:lineRule="atLeast"/>
              <w:ind w:right="420"/>
              <w:rPr>
                <w:rFonts w:ascii="宋体" w:hAnsi="宋体" w:cs="宋体"/>
                <w:kern w:val="0"/>
                <w:sz w:val="18"/>
                <w:szCs w:val="18"/>
              </w:rPr>
            </w:pPr>
            <w:r>
              <w:rPr>
                <w:rFonts w:ascii="宋体" w:hAnsi="宋体" w:cs="宋体"/>
                <w:kern w:val="0"/>
                <w:sz w:val="18"/>
                <w:szCs w:val="18"/>
              </w:rPr>
              <w:t>16.4</w:t>
            </w:r>
          </w:p>
        </w:tc>
      </w:tr>
      <w:tr w14:paraId="22F51238">
        <w:tblPrEx>
          <w:tblCellMar>
            <w:top w:w="0" w:type="dxa"/>
            <w:left w:w="108" w:type="dxa"/>
            <w:bottom w:w="0" w:type="dxa"/>
            <w:right w:w="108" w:type="dxa"/>
          </w:tblCellMar>
        </w:tblPrEx>
        <w:trPr>
          <w:trHeight w:val="285" w:hRule="atLeast"/>
        </w:trPr>
        <w:tc>
          <w:tcPr>
            <w:tcW w:w="3207" w:type="dxa"/>
            <w:tcBorders>
              <w:top w:val="nil"/>
              <w:left w:val="single" w:color="auto" w:sz="4" w:space="0"/>
              <w:bottom w:val="single" w:color="auto" w:sz="4" w:space="0"/>
              <w:right w:val="single" w:color="auto" w:sz="4" w:space="0"/>
            </w:tcBorders>
            <w:noWrap/>
            <w:vAlign w:val="center"/>
          </w:tcPr>
          <w:p w14:paraId="6EDFB1D5">
            <w:pPr>
              <w:widowControl/>
              <w:spacing w:line="0" w:lineRule="atLeast"/>
              <w:jc w:val="left"/>
              <w:rPr>
                <w:rFonts w:ascii="宋体" w:hAnsi="宋体" w:cs="宋体"/>
                <w:kern w:val="0"/>
                <w:sz w:val="18"/>
                <w:szCs w:val="18"/>
              </w:rPr>
            </w:pPr>
            <w:r>
              <w:rPr>
                <w:rFonts w:hint="eastAsia" w:ascii="宋体" w:hAnsi="宋体" w:cs="宋体"/>
                <w:kern w:val="0"/>
                <w:sz w:val="18"/>
                <w:szCs w:val="18"/>
              </w:rPr>
              <w:t>工业销售收入（亿元）</w:t>
            </w:r>
          </w:p>
        </w:tc>
        <w:tc>
          <w:tcPr>
            <w:tcW w:w="805" w:type="dxa"/>
            <w:tcBorders>
              <w:top w:val="nil"/>
              <w:left w:val="nil"/>
              <w:bottom w:val="single" w:color="auto" w:sz="4" w:space="0"/>
              <w:right w:val="single" w:color="auto" w:sz="4" w:space="0"/>
            </w:tcBorders>
            <w:noWrap/>
            <w:vAlign w:val="center"/>
          </w:tcPr>
          <w:p w14:paraId="18A97DB6">
            <w:pPr>
              <w:widowControl/>
              <w:spacing w:line="0" w:lineRule="atLeast"/>
              <w:jc w:val="center"/>
              <w:rPr>
                <w:rFonts w:ascii="宋体" w:hAnsi="宋体" w:cs="宋体"/>
                <w:kern w:val="0"/>
                <w:sz w:val="18"/>
                <w:szCs w:val="18"/>
              </w:rPr>
            </w:pPr>
            <w:r>
              <w:rPr>
                <w:rFonts w:ascii="宋体" w:hAnsi="宋体" w:cs="宋体"/>
                <w:kern w:val="0"/>
                <w:sz w:val="18"/>
                <w:szCs w:val="18"/>
              </w:rPr>
              <w:t>197.23</w:t>
            </w:r>
          </w:p>
        </w:tc>
        <w:tc>
          <w:tcPr>
            <w:tcW w:w="805" w:type="dxa"/>
            <w:tcBorders>
              <w:top w:val="nil"/>
              <w:left w:val="nil"/>
              <w:bottom w:val="single" w:color="auto" w:sz="4" w:space="0"/>
              <w:right w:val="single" w:color="auto" w:sz="4" w:space="0"/>
            </w:tcBorders>
            <w:noWrap/>
            <w:vAlign w:val="center"/>
          </w:tcPr>
          <w:p w14:paraId="33FC3676">
            <w:pPr>
              <w:widowControl/>
              <w:spacing w:line="0" w:lineRule="atLeast"/>
              <w:jc w:val="center"/>
              <w:rPr>
                <w:rFonts w:ascii="宋体" w:hAnsi="宋体" w:cs="宋体"/>
                <w:kern w:val="0"/>
                <w:sz w:val="18"/>
                <w:szCs w:val="18"/>
              </w:rPr>
            </w:pPr>
            <w:r>
              <w:rPr>
                <w:rFonts w:ascii="宋体" w:hAnsi="宋体" w:cs="宋体"/>
                <w:kern w:val="0"/>
                <w:sz w:val="18"/>
                <w:szCs w:val="18"/>
              </w:rPr>
              <w:t>221.02</w:t>
            </w:r>
          </w:p>
        </w:tc>
        <w:tc>
          <w:tcPr>
            <w:tcW w:w="805" w:type="dxa"/>
            <w:tcBorders>
              <w:top w:val="nil"/>
              <w:left w:val="nil"/>
              <w:bottom w:val="single" w:color="auto" w:sz="4" w:space="0"/>
              <w:right w:val="single" w:color="auto" w:sz="4" w:space="0"/>
            </w:tcBorders>
            <w:noWrap/>
            <w:vAlign w:val="center"/>
          </w:tcPr>
          <w:p w14:paraId="5D725B84">
            <w:pPr>
              <w:widowControl/>
              <w:spacing w:line="0" w:lineRule="atLeast"/>
              <w:jc w:val="center"/>
              <w:rPr>
                <w:rFonts w:ascii="宋体" w:hAnsi="宋体" w:cs="宋体"/>
                <w:kern w:val="0"/>
                <w:sz w:val="18"/>
                <w:szCs w:val="18"/>
              </w:rPr>
            </w:pPr>
            <w:r>
              <w:rPr>
                <w:rFonts w:ascii="宋体" w:hAnsi="宋体" w:cs="宋体"/>
                <w:kern w:val="0"/>
                <w:sz w:val="18"/>
                <w:szCs w:val="18"/>
              </w:rPr>
              <w:t>321.03</w:t>
            </w:r>
          </w:p>
        </w:tc>
        <w:tc>
          <w:tcPr>
            <w:tcW w:w="805" w:type="dxa"/>
            <w:tcBorders>
              <w:top w:val="nil"/>
              <w:left w:val="nil"/>
              <w:bottom w:val="single" w:color="auto" w:sz="4" w:space="0"/>
              <w:right w:val="single" w:color="auto" w:sz="4" w:space="0"/>
            </w:tcBorders>
            <w:noWrap/>
            <w:vAlign w:val="center"/>
          </w:tcPr>
          <w:p w14:paraId="2EDBAEBA">
            <w:pPr>
              <w:widowControl/>
              <w:spacing w:line="0" w:lineRule="atLeast"/>
              <w:jc w:val="center"/>
              <w:rPr>
                <w:rFonts w:ascii="宋体" w:hAnsi="宋体" w:cs="宋体"/>
                <w:kern w:val="0"/>
                <w:sz w:val="18"/>
                <w:szCs w:val="18"/>
              </w:rPr>
            </w:pPr>
            <w:r>
              <w:rPr>
                <w:rFonts w:ascii="宋体" w:hAnsi="宋体" w:cs="宋体"/>
                <w:kern w:val="0"/>
                <w:sz w:val="18"/>
                <w:szCs w:val="18"/>
              </w:rPr>
              <w:t>347</w:t>
            </w:r>
          </w:p>
        </w:tc>
        <w:tc>
          <w:tcPr>
            <w:tcW w:w="707" w:type="dxa"/>
            <w:tcBorders>
              <w:top w:val="nil"/>
              <w:left w:val="nil"/>
              <w:bottom w:val="single" w:color="auto" w:sz="4" w:space="0"/>
              <w:right w:val="single" w:color="auto" w:sz="4" w:space="0"/>
            </w:tcBorders>
            <w:noWrap/>
            <w:vAlign w:val="center"/>
          </w:tcPr>
          <w:p w14:paraId="3894A731">
            <w:pPr>
              <w:widowControl/>
              <w:spacing w:line="0" w:lineRule="atLeast"/>
              <w:jc w:val="center"/>
              <w:rPr>
                <w:rFonts w:ascii="宋体" w:hAnsi="宋体" w:cs="宋体"/>
                <w:kern w:val="0"/>
                <w:sz w:val="18"/>
                <w:szCs w:val="18"/>
              </w:rPr>
            </w:pPr>
            <w:r>
              <w:rPr>
                <w:rFonts w:ascii="宋体" w:hAnsi="宋体" w:cs="宋体"/>
                <w:kern w:val="0"/>
                <w:sz w:val="18"/>
                <w:szCs w:val="18"/>
              </w:rPr>
              <w:t>371</w:t>
            </w:r>
          </w:p>
        </w:tc>
        <w:tc>
          <w:tcPr>
            <w:tcW w:w="1386" w:type="dxa"/>
            <w:tcBorders>
              <w:top w:val="nil"/>
              <w:left w:val="nil"/>
              <w:bottom w:val="single" w:color="auto" w:sz="4" w:space="0"/>
              <w:right w:val="single" w:color="auto" w:sz="4" w:space="0"/>
            </w:tcBorders>
            <w:noWrap/>
            <w:vAlign w:val="bottom"/>
          </w:tcPr>
          <w:p w14:paraId="07850534">
            <w:pPr>
              <w:widowControl/>
              <w:spacing w:line="0" w:lineRule="atLeast"/>
              <w:ind w:right="420"/>
              <w:rPr>
                <w:rFonts w:ascii="宋体" w:hAnsi="宋体" w:cs="宋体"/>
                <w:kern w:val="0"/>
                <w:sz w:val="18"/>
                <w:szCs w:val="18"/>
              </w:rPr>
            </w:pPr>
            <w:r>
              <w:rPr>
                <w:rFonts w:ascii="宋体" w:hAnsi="宋体" w:cs="宋体"/>
                <w:kern w:val="0"/>
                <w:sz w:val="18"/>
                <w:szCs w:val="18"/>
              </w:rPr>
              <w:t>17.1</w:t>
            </w:r>
          </w:p>
        </w:tc>
      </w:tr>
      <w:tr w14:paraId="7115DD9F">
        <w:tblPrEx>
          <w:tblCellMar>
            <w:top w:w="0" w:type="dxa"/>
            <w:left w:w="108" w:type="dxa"/>
            <w:bottom w:w="0" w:type="dxa"/>
            <w:right w:w="108" w:type="dxa"/>
          </w:tblCellMar>
        </w:tblPrEx>
        <w:trPr>
          <w:trHeight w:val="285" w:hRule="atLeast"/>
        </w:trPr>
        <w:tc>
          <w:tcPr>
            <w:tcW w:w="3207" w:type="dxa"/>
            <w:tcBorders>
              <w:top w:val="nil"/>
              <w:left w:val="single" w:color="auto" w:sz="4" w:space="0"/>
              <w:bottom w:val="single" w:color="auto" w:sz="4" w:space="0"/>
              <w:right w:val="single" w:color="auto" w:sz="4" w:space="0"/>
            </w:tcBorders>
            <w:noWrap/>
            <w:vAlign w:val="center"/>
          </w:tcPr>
          <w:p w14:paraId="29097BFD">
            <w:pPr>
              <w:widowControl/>
              <w:spacing w:line="0" w:lineRule="atLeast"/>
              <w:jc w:val="left"/>
              <w:rPr>
                <w:rFonts w:ascii="宋体" w:hAnsi="宋体" w:cs="宋体"/>
                <w:kern w:val="0"/>
                <w:sz w:val="18"/>
                <w:szCs w:val="18"/>
              </w:rPr>
            </w:pPr>
            <w:r>
              <w:rPr>
                <w:rFonts w:ascii="宋体" w:hAnsi="宋体" w:cs="宋体"/>
                <w:kern w:val="0"/>
                <w:sz w:val="18"/>
                <w:szCs w:val="18"/>
              </w:rPr>
              <w:t xml:space="preserve"> </w:t>
            </w:r>
            <w:r>
              <w:rPr>
                <w:rFonts w:hint="eastAsia" w:ascii="宋体" w:hAnsi="宋体" w:cs="宋体"/>
                <w:kern w:val="0"/>
                <w:sz w:val="18"/>
                <w:szCs w:val="18"/>
              </w:rPr>
              <w:t>其中：规模工业销售收入（亿元）</w:t>
            </w:r>
          </w:p>
        </w:tc>
        <w:tc>
          <w:tcPr>
            <w:tcW w:w="805" w:type="dxa"/>
            <w:tcBorders>
              <w:top w:val="nil"/>
              <w:left w:val="nil"/>
              <w:bottom w:val="single" w:color="auto" w:sz="4" w:space="0"/>
              <w:right w:val="single" w:color="auto" w:sz="4" w:space="0"/>
            </w:tcBorders>
            <w:noWrap/>
            <w:vAlign w:val="center"/>
          </w:tcPr>
          <w:p w14:paraId="5CED0DBC">
            <w:pPr>
              <w:widowControl/>
              <w:spacing w:line="0" w:lineRule="atLeast"/>
              <w:jc w:val="center"/>
              <w:rPr>
                <w:rFonts w:ascii="宋体" w:hAnsi="宋体" w:cs="宋体"/>
                <w:kern w:val="0"/>
                <w:sz w:val="18"/>
                <w:szCs w:val="18"/>
              </w:rPr>
            </w:pPr>
            <w:r>
              <w:rPr>
                <w:rFonts w:ascii="宋体" w:hAnsi="宋体" w:cs="宋体"/>
                <w:kern w:val="0"/>
                <w:sz w:val="18"/>
                <w:szCs w:val="18"/>
              </w:rPr>
              <w:t>133.43</w:t>
            </w:r>
          </w:p>
        </w:tc>
        <w:tc>
          <w:tcPr>
            <w:tcW w:w="805" w:type="dxa"/>
            <w:tcBorders>
              <w:top w:val="nil"/>
              <w:left w:val="nil"/>
              <w:bottom w:val="single" w:color="auto" w:sz="4" w:space="0"/>
              <w:right w:val="single" w:color="auto" w:sz="4" w:space="0"/>
            </w:tcBorders>
            <w:noWrap/>
            <w:vAlign w:val="center"/>
          </w:tcPr>
          <w:p w14:paraId="38424D38">
            <w:pPr>
              <w:widowControl/>
              <w:spacing w:line="0" w:lineRule="atLeast"/>
              <w:jc w:val="center"/>
              <w:rPr>
                <w:rFonts w:ascii="宋体" w:hAnsi="宋体" w:cs="宋体"/>
                <w:kern w:val="0"/>
                <w:sz w:val="18"/>
                <w:szCs w:val="18"/>
              </w:rPr>
            </w:pPr>
            <w:r>
              <w:rPr>
                <w:rFonts w:ascii="宋体" w:hAnsi="宋体" w:cs="宋体"/>
                <w:kern w:val="0"/>
                <w:sz w:val="18"/>
                <w:szCs w:val="18"/>
              </w:rPr>
              <w:t>150.02</w:t>
            </w:r>
          </w:p>
        </w:tc>
        <w:tc>
          <w:tcPr>
            <w:tcW w:w="805" w:type="dxa"/>
            <w:tcBorders>
              <w:top w:val="nil"/>
              <w:left w:val="nil"/>
              <w:bottom w:val="single" w:color="auto" w:sz="4" w:space="0"/>
              <w:right w:val="single" w:color="auto" w:sz="4" w:space="0"/>
            </w:tcBorders>
            <w:noWrap/>
            <w:vAlign w:val="center"/>
          </w:tcPr>
          <w:p w14:paraId="7C9BA4C1">
            <w:pPr>
              <w:widowControl/>
              <w:spacing w:line="0" w:lineRule="atLeast"/>
              <w:jc w:val="center"/>
              <w:rPr>
                <w:rFonts w:ascii="宋体" w:hAnsi="宋体" w:cs="宋体"/>
                <w:kern w:val="0"/>
                <w:sz w:val="18"/>
                <w:szCs w:val="18"/>
              </w:rPr>
            </w:pPr>
            <w:r>
              <w:rPr>
                <w:rFonts w:ascii="宋体" w:hAnsi="宋体" w:cs="宋体"/>
                <w:kern w:val="0"/>
                <w:sz w:val="18"/>
                <w:szCs w:val="18"/>
              </w:rPr>
              <w:t>231.43</w:t>
            </w:r>
          </w:p>
        </w:tc>
        <w:tc>
          <w:tcPr>
            <w:tcW w:w="805" w:type="dxa"/>
            <w:tcBorders>
              <w:top w:val="nil"/>
              <w:left w:val="nil"/>
              <w:bottom w:val="single" w:color="auto" w:sz="4" w:space="0"/>
              <w:right w:val="single" w:color="auto" w:sz="4" w:space="0"/>
            </w:tcBorders>
            <w:noWrap/>
            <w:vAlign w:val="center"/>
          </w:tcPr>
          <w:p w14:paraId="6C708658">
            <w:pPr>
              <w:widowControl/>
              <w:spacing w:line="0" w:lineRule="atLeast"/>
              <w:jc w:val="center"/>
              <w:rPr>
                <w:rFonts w:ascii="宋体" w:hAnsi="宋体" w:cs="宋体"/>
                <w:kern w:val="0"/>
                <w:sz w:val="18"/>
                <w:szCs w:val="18"/>
              </w:rPr>
            </w:pPr>
            <w:r>
              <w:rPr>
                <w:rFonts w:ascii="宋体" w:hAnsi="宋体" w:cs="宋体"/>
                <w:kern w:val="0"/>
                <w:sz w:val="18"/>
                <w:szCs w:val="18"/>
              </w:rPr>
              <w:t>243.37</w:t>
            </w:r>
          </w:p>
        </w:tc>
        <w:tc>
          <w:tcPr>
            <w:tcW w:w="707" w:type="dxa"/>
            <w:tcBorders>
              <w:top w:val="nil"/>
              <w:left w:val="nil"/>
              <w:bottom w:val="single" w:color="auto" w:sz="4" w:space="0"/>
              <w:right w:val="single" w:color="auto" w:sz="4" w:space="0"/>
            </w:tcBorders>
            <w:noWrap/>
            <w:vAlign w:val="center"/>
          </w:tcPr>
          <w:p w14:paraId="43BEFC41">
            <w:pPr>
              <w:widowControl/>
              <w:spacing w:line="0" w:lineRule="atLeast"/>
              <w:jc w:val="center"/>
              <w:rPr>
                <w:rFonts w:ascii="宋体" w:hAnsi="宋体" w:cs="宋体"/>
                <w:kern w:val="0"/>
                <w:sz w:val="18"/>
                <w:szCs w:val="18"/>
              </w:rPr>
            </w:pPr>
            <w:r>
              <w:rPr>
                <w:rFonts w:ascii="宋体" w:hAnsi="宋体" w:cs="宋体"/>
                <w:kern w:val="0"/>
                <w:sz w:val="18"/>
                <w:szCs w:val="18"/>
              </w:rPr>
              <w:t>260</w:t>
            </w:r>
          </w:p>
        </w:tc>
        <w:tc>
          <w:tcPr>
            <w:tcW w:w="1386" w:type="dxa"/>
            <w:tcBorders>
              <w:top w:val="nil"/>
              <w:left w:val="nil"/>
              <w:bottom w:val="single" w:color="auto" w:sz="4" w:space="0"/>
              <w:right w:val="single" w:color="auto" w:sz="4" w:space="0"/>
            </w:tcBorders>
            <w:noWrap/>
            <w:vAlign w:val="bottom"/>
          </w:tcPr>
          <w:p w14:paraId="4A60D849">
            <w:pPr>
              <w:widowControl/>
              <w:spacing w:line="0" w:lineRule="atLeast"/>
              <w:ind w:right="420"/>
              <w:rPr>
                <w:rFonts w:ascii="宋体" w:hAnsi="宋体" w:cs="宋体"/>
                <w:kern w:val="0"/>
                <w:sz w:val="18"/>
                <w:szCs w:val="18"/>
              </w:rPr>
            </w:pPr>
            <w:r>
              <w:rPr>
                <w:rFonts w:ascii="宋体" w:hAnsi="宋体" w:cs="宋体"/>
                <w:kern w:val="0"/>
                <w:sz w:val="18"/>
                <w:szCs w:val="18"/>
              </w:rPr>
              <w:t>18.1</w:t>
            </w:r>
          </w:p>
        </w:tc>
      </w:tr>
      <w:tr w14:paraId="23995B9E">
        <w:tblPrEx>
          <w:tblCellMar>
            <w:top w:w="0" w:type="dxa"/>
            <w:left w:w="108" w:type="dxa"/>
            <w:bottom w:w="0" w:type="dxa"/>
            <w:right w:w="108" w:type="dxa"/>
          </w:tblCellMar>
        </w:tblPrEx>
        <w:trPr>
          <w:trHeight w:val="285" w:hRule="atLeast"/>
        </w:trPr>
        <w:tc>
          <w:tcPr>
            <w:tcW w:w="3207" w:type="dxa"/>
            <w:tcBorders>
              <w:top w:val="nil"/>
              <w:left w:val="single" w:color="auto" w:sz="4" w:space="0"/>
              <w:bottom w:val="single" w:color="auto" w:sz="4" w:space="0"/>
              <w:right w:val="single" w:color="auto" w:sz="4" w:space="0"/>
            </w:tcBorders>
            <w:noWrap/>
            <w:vAlign w:val="center"/>
          </w:tcPr>
          <w:p w14:paraId="7C1FE549">
            <w:pPr>
              <w:widowControl/>
              <w:spacing w:line="0" w:lineRule="atLeast"/>
              <w:jc w:val="left"/>
              <w:rPr>
                <w:rFonts w:ascii="宋体" w:hAnsi="宋体" w:cs="宋体"/>
                <w:kern w:val="0"/>
                <w:sz w:val="18"/>
                <w:szCs w:val="18"/>
              </w:rPr>
            </w:pPr>
            <w:r>
              <w:rPr>
                <w:rFonts w:hint="eastAsia" w:ascii="宋体" w:hAnsi="宋体" w:cs="宋体"/>
                <w:kern w:val="0"/>
                <w:sz w:val="18"/>
                <w:szCs w:val="18"/>
              </w:rPr>
              <w:t>工业利税（亿元）</w:t>
            </w:r>
          </w:p>
        </w:tc>
        <w:tc>
          <w:tcPr>
            <w:tcW w:w="805" w:type="dxa"/>
            <w:tcBorders>
              <w:top w:val="nil"/>
              <w:left w:val="nil"/>
              <w:bottom w:val="single" w:color="auto" w:sz="4" w:space="0"/>
              <w:right w:val="single" w:color="auto" w:sz="4" w:space="0"/>
            </w:tcBorders>
            <w:noWrap/>
            <w:vAlign w:val="center"/>
          </w:tcPr>
          <w:p w14:paraId="7EDF1162">
            <w:pPr>
              <w:widowControl/>
              <w:spacing w:line="0" w:lineRule="atLeast"/>
              <w:jc w:val="center"/>
              <w:rPr>
                <w:rFonts w:ascii="宋体" w:hAnsi="宋体" w:cs="宋体"/>
                <w:kern w:val="0"/>
                <w:sz w:val="18"/>
                <w:szCs w:val="18"/>
              </w:rPr>
            </w:pPr>
            <w:r>
              <w:rPr>
                <w:rFonts w:ascii="宋体" w:hAnsi="宋体" w:cs="宋体"/>
                <w:kern w:val="0"/>
                <w:sz w:val="18"/>
                <w:szCs w:val="18"/>
              </w:rPr>
              <w:t>18.22</w:t>
            </w:r>
          </w:p>
        </w:tc>
        <w:tc>
          <w:tcPr>
            <w:tcW w:w="805" w:type="dxa"/>
            <w:tcBorders>
              <w:top w:val="nil"/>
              <w:left w:val="nil"/>
              <w:bottom w:val="single" w:color="auto" w:sz="4" w:space="0"/>
              <w:right w:val="single" w:color="auto" w:sz="4" w:space="0"/>
            </w:tcBorders>
            <w:noWrap/>
            <w:vAlign w:val="center"/>
          </w:tcPr>
          <w:p w14:paraId="03BE8BC0">
            <w:pPr>
              <w:widowControl/>
              <w:spacing w:line="0" w:lineRule="atLeast"/>
              <w:jc w:val="center"/>
              <w:rPr>
                <w:rFonts w:ascii="宋体" w:hAnsi="宋体" w:cs="宋体"/>
                <w:kern w:val="0"/>
                <w:sz w:val="18"/>
                <w:szCs w:val="18"/>
              </w:rPr>
            </w:pPr>
            <w:r>
              <w:rPr>
                <w:rFonts w:ascii="宋体" w:hAnsi="宋体" w:cs="宋体"/>
                <w:kern w:val="0"/>
                <w:sz w:val="18"/>
                <w:szCs w:val="18"/>
              </w:rPr>
              <w:t>18.34</w:t>
            </w:r>
          </w:p>
        </w:tc>
        <w:tc>
          <w:tcPr>
            <w:tcW w:w="805" w:type="dxa"/>
            <w:tcBorders>
              <w:top w:val="nil"/>
              <w:left w:val="nil"/>
              <w:bottom w:val="single" w:color="auto" w:sz="4" w:space="0"/>
              <w:right w:val="single" w:color="auto" w:sz="4" w:space="0"/>
            </w:tcBorders>
            <w:noWrap/>
            <w:vAlign w:val="center"/>
          </w:tcPr>
          <w:p w14:paraId="60415883">
            <w:pPr>
              <w:widowControl/>
              <w:spacing w:line="0" w:lineRule="atLeast"/>
              <w:jc w:val="center"/>
              <w:rPr>
                <w:rFonts w:ascii="宋体" w:hAnsi="宋体" w:cs="宋体"/>
                <w:kern w:val="0"/>
                <w:sz w:val="18"/>
                <w:szCs w:val="18"/>
              </w:rPr>
            </w:pPr>
            <w:r>
              <w:rPr>
                <w:rFonts w:ascii="宋体" w:hAnsi="宋体" w:cs="宋体"/>
                <w:kern w:val="0"/>
                <w:sz w:val="18"/>
                <w:szCs w:val="18"/>
              </w:rPr>
              <w:t>32.01</w:t>
            </w:r>
          </w:p>
        </w:tc>
        <w:tc>
          <w:tcPr>
            <w:tcW w:w="805" w:type="dxa"/>
            <w:tcBorders>
              <w:top w:val="nil"/>
              <w:left w:val="nil"/>
              <w:bottom w:val="single" w:color="auto" w:sz="4" w:space="0"/>
              <w:right w:val="single" w:color="auto" w:sz="4" w:space="0"/>
            </w:tcBorders>
            <w:noWrap/>
            <w:vAlign w:val="center"/>
          </w:tcPr>
          <w:p w14:paraId="72BACAD6">
            <w:pPr>
              <w:widowControl/>
              <w:spacing w:line="0" w:lineRule="atLeast"/>
              <w:jc w:val="center"/>
              <w:rPr>
                <w:rFonts w:ascii="宋体" w:hAnsi="宋体" w:cs="宋体"/>
                <w:kern w:val="0"/>
                <w:sz w:val="18"/>
                <w:szCs w:val="18"/>
              </w:rPr>
            </w:pPr>
            <w:r>
              <w:rPr>
                <w:rFonts w:ascii="宋体" w:hAnsi="宋体" w:cs="宋体"/>
                <w:kern w:val="0"/>
                <w:sz w:val="18"/>
                <w:szCs w:val="18"/>
              </w:rPr>
              <w:t>35</w:t>
            </w:r>
          </w:p>
        </w:tc>
        <w:tc>
          <w:tcPr>
            <w:tcW w:w="707" w:type="dxa"/>
            <w:tcBorders>
              <w:top w:val="nil"/>
              <w:left w:val="nil"/>
              <w:bottom w:val="single" w:color="auto" w:sz="4" w:space="0"/>
              <w:right w:val="single" w:color="auto" w:sz="4" w:space="0"/>
            </w:tcBorders>
            <w:noWrap/>
            <w:vAlign w:val="center"/>
          </w:tcPr>
          <w:p w14:paraId="2AE0E739">
            <w:pPr>
              <w:widowControl/>
              <w:spacing w:line="0" w:lineRule="atLeast"/>
              <w:jc w:val="center"/>
              <w:rPr>
                <w:rFonts w:ascii="宋体" w:hAnsi="宋体" w:cs="宋体"/>
                <w:kern w:val="0"/>
                <w:sz w:val="18"/>
                <w:szCs w:val="18"/>
              </w:rPr>
            </w:pPr>
            <w:r>
              <w:rPr>
                <w:rFonts w:ascii="宋体" w:hAnsi="宋体" w:cs="宋体"/>
                <w:kern w:val="0"/>
                <w:sz w:val="18"/>
                <w:szCs w:val="18"/>
              </w:rPr>
              <w:t>39</w:t>
            </w:r>
          </w:p>
        </w:tc>
        <w:tc>
          <w:tcPr>
            <w:tcW w:w="1386" w:type="dxa"/>
            <w:tcBorders>
              <w:top w:val="nil"/>
              <w:left w:val="nil"/>
              <w:bottom w:val="single" w:color="auto" w:sz="4" w:space="0"/>
              <w:right w:val="single" w:color="auto" w:sz="4" w:space="0"/>
            </w:tcBorders>
            <w:noWrap/>
            <w:vAlign w:val="bottom"/>
          </w:tcPr>
          <w:p w14:paraId="1634BFCC">
            <w:pPr>
              <w:widowControl/>
              <w:spacing w:line="0" w:lineRule="atLeast"/>
              <w:ind w:right="420"/>
              <w:rPr>
                <w:rFonts w:ascii="宋体" w:hAnsi="宋体" w:cs="宋体"/>
                <w:kern w:val="0"/>
                <w:sz w:val="18"/>
                <w:szCs w:val="18"/>
              </w:rPr>
            </w:pPr>
            <w:r>
              <w:rPr>
                <w:rFonts w:ascii="宋体" w:hAnsi="宋体" w:cs="宋体"/>
                <w:kern w:val="0"/>
                <w:sz w:val="18"/>
                <w:szCs w:val="18"/>
              </w:rPr>
              <w:t>21</w:t>
            </w:r>
          </w:p>
        </w:tc>
      </w:tr>
      <w:tr w14:paraId="0B1F4275">
        <w:tblPrEx>
          <w:tblCellMar>
            <w:top w:w="0" w:type="dxa"/>
            <w:left w:w="108" w:type="dxa"/>
            <w:bottom w:w="0" w:type="dxa"/>
            <w:right w:w="108" w:type="dxa"/>
          </w:tblCellMar>
        </w:tblPrEx>
        <w:trPr>
          <w:trHeight w:val="111" w:hRule="atLeast"/>
        </w:trPr>
        <w:tc>
          <w:tcPr>
            <w:tcW w:w="3207" w:type="dxa"/>
            <w:tcBorders>
              <w:top w:val="nil"/>
              <w:left w:val="single" w:color="auto" w:sz="4" w:space="0"/>
              <w:bottom w:val="single" w:color="auto" w:sz="4" w:space="0"/>
              <w:right w:val="single" w:color="auto" w:sz="4" w:space="0"/>
            </w:tcBorders>
            <w:noWrap/>
            <w:vAlign w:val="center"/>
          </w:tcPr>
          <w:p w14:paraId="7B9C5A8F">
            <w:pPr>
              <w:widowControl/>
              <w:spacing w:line="0" w:lineRule="atLeast"/>
              <w:jc w:val="left"/>
              <w:rPr>
                <w:rFonts w:ascii="宋体" w:hAnsi="宋体" w:cs="宋体"/>
                <w:kern w:val="0"/>
                <w:sz w:val="18"/>
                <w:szCs w:val="18"/>
              </w:rPr>
            </w:pPr>
            <w:r>
              <w:rPr>
                <w:rFonts w:hint="eastAsia" w:ascii="宋体" w:hAnsi="宋体" w:cs="宋体"/>
                <w:kern w:val="0"/>
                <w:sz w:val="18"/>
                <w:szCs w:val="18"/>
              </w:rPr>
              <w:t>其中：规模利税（亿元）</w:t>
            </w:r>
          </w:p>
        </w:tc>
        <w:tc>
          <w:tcPr>
            <w:tcW w:w="805" w:type="dxa"/>
            <w:tcBorders>
              <w:top w:val="nil"/>
              <w:left w:val="nil"/>
              <w:bottom w:val="single" w:color="auto" w:sz="4" w:space="0"/>
              <w:right w:val="single" w:color="auto" w:sz="4" w:space="0"/>
            </w:tcBorders>
            <w:noWrap/>
            <w:vAlign w:val="center"/>
          </w:tcPr>
          <w:p w14:paraId="6AAD43D7">
            <w:pPr>
              <w:widowControl/>
              <w:spacing w:line="0" w:lineRule="atLeast"/>
              <w:jc w:val="center"/>
              <w:rPr>
                <w:rFonts w:ascii="宋体" w:hAnsi="宋体" w:cs="宋体"/>
                <w:kern w:val="0"/>
                <w:sz w:val="18"/>
                <w:szCs w:val="18"/>
              </w:rPr>
            </w:pPr>
            <w:r>
              <w:rPr>
                <w:rFonts w:ascii="宋体" w:hAnsi="宋体" w:cs="宋体"/>
                <w:kern w:val="0"/>
                <w:sz w:val="18"/>
                <w:szCs w:val="18"/>
              </w:rPr>
              <w:t>13.06</w:t>
            </w:r>
          </w:p>
        </w:tc>
        <w:tc>
          <w:tcPr>
            <w:tcW w:w="805" w:type="dxa"/>
            <w:tcBorders>
              <w:top w:val="nil"/>
              <w:left w:val="nil"/>
              <w:bottom w:val="single" w:color="auto" w:sz="4" w:space="0"/>
              <w:right w:val="single" w:color="auto" w:sz="4" w:space="0"/>
            </w:tcBorders>
            <w:noWrap/>
            <w:vAlign w:val="center"/>
          </w:tcPr>
          <w:p w14:paraId="2570EDCE">
            <w:pPr>
              <w:widowControl/>
              <w:spacing w:line="0" w:lineRule="atLeast"/>
              <w:jc w:val="center"/>
              <w:rPr>
                <w:rFonts w:ascii="宋体" w:hAnsi="宋体" w:cs="宋体"/>
                <w:kern w:val="0"/>
                <w:sz w:val="18"/>
                <w:szCs w:val="18"/>
              </w:rPr>
            </w:pPr>
            <w:r>
              <w:rPr>
                <w:rFonts w:ascii="宋体" w:hAnsi="宋体" w:cs="宋体"/>
                <w:kern w:val="0"/>
                <w:sz w:val="18"/>
                <w:szCs w:val="18"/>
              </w:rPr>
              <w:t>13.15</w:t>
            </w:r>
          </w:p>
        </w:tc>
        <w:tc>
          <w:tcPr>
            <w:tcW w:w="805" w:type="dxa"/>
            <w:tcBorders>
              <w:top w:val="nil"/>
              <w:left w:val="nil"/>
              <w:bottom w:val="single" w:color="auto" w:sz="4" w:space="0"/>
              <w:right w:val="single" w:color="auto" w:sz="4" w:space="0"/>
            </w:tcBorders>
            <w:noWrap/>
            <w:vAlign w:val="center"/>
          </w:tcPr>
          <w:p w14:paraId="0D08AE71">
            <w:pPr>
              <w:widowControl/>
              <w:spacing w:line="0" w:lineRule="atLeast"/>
              <w:jc w:val="center"/>
              <w:rPr>
                <w:rFonts w:ascii="宋体" w:hAnsi="宋体" w:cs="宋体"/>
                <w:kern w:val="0"/>
                <w:sz w:val="18"/>
                <w:szCs w:val="18"/>
              </w:rPr>
            </w:pPr>
            <w:r>
              <w:rPr>
                <w:rFonts w:ascii="宋体" w:hAnsi="宋体" w:cs="宋体"/>
                <w:kern w:val="0"/>
                <w:sz w:val="18"/>
                <w:szCs w:val="18"/>
              </w:rPr>
              <w:t>24.62</w:t>
            </w:r>
          </w:p>
        </w:tc>
        <w:tc>
          <w:tcPr>
            <w:tcW w:w="805" w:type="dxa"/>
            <w:tcBorders>
              <w:top w:val="nil"/>
              <w:left w:val="nil"/>
              <w:bottom w:val="single" w:color="auto" w:sz="4" w:space="0"/>
              <w:right w:val="single" w:color="auto" w:sz="4" w:space="0"/>
            </w:tcBorders>
            <w:noWrap/>
            <w:vAlign w:val="center"/>
          </w:tcPr>
          <w:p w14:paraId="373B3880">
            <w:pPr>
              <w:widowControl/>
              <w:spacing w:line="0" w:lineRule="atLeast"/>
              <w:jc w:val="center"/>
              <w:rPr>
                <w:rFonts w:ascii="宋体" w:hAnsi="宋体" w:cs="宋体"/>
                <w:kern w:val="0"/>
                <w:sz w:val="18"/>
                <w:szCs w:val="18"/>
              </w:rPr>
            </w:pPr>
            <w:r>
              <w:rPr>
                <w:rFonts w:ascii="宋体" w:hAnsi="宋体" w:cs="宋体"/>
                <w:kern w:val="0"/>
                <w:sz w:val="18"/>
                <w:szCs w:val="18"/>
              </w:rPr>
              <w:t>28.22</w:t>
            </w:r>
          </w:p>
        </w:tc>
        <w:tc>
          <w:tcPr>
            <w:tcW w:w="707" w:type="dxa"/>
            <w:tcBorders>
              <w:top w:val="nil"/>
              <w:left w:val="nil"/>
              <w:bottom w:val="single" w:color="auto" w:sz="4" w:space="0"/>
              <w:right w:val="single" w:color="auto" w:sz="4" w:space="0"/>
            </w:tcBorders>
            <w:noWrap/>
            <w:vAlign w:val="center"/>
          </w:tcPr>
          <w:p w14:paraId="67DBF813">
            <w:pPr>
              <w:widowControl/>
              <w:spacing w:line="0" w:lineRule="atLeast"/>
              <w:jc w:val="center"/>
              <w:rPr>
                <w:rFonts w:ascii="宋体" w:hAnsi="宋体" w:cs="宋体"/>
                <w:kern w:val="0"/>
                <w:sz w:val="18"/>
                <w:szCs w:val="18"/>
              </w:rPr>
            </w:pPr>
            <w:r>
              <w:rPr>
                <w:rFonts w:ascii="宋体" w:hAnsi="宋体" w:cs="宋体"/>
                <w:kern w:val="0"/>
                <w:sz w:val="18"/>
                <w:szCs w:val="18"/>
              </w:rPr>
              <w:t>32</w:t>
            </w:r>
          </w:p>
        </w:tc>
        <w:tc>
          <w:tcPr>
            <w:tcW w:w="1386" w:type="dxa"/>
            <w:tcBorders>
              <w:top w:val="nil"/>
              <w:left w:val="nil"/>
              <w:bottom w:val="single" w:color="auto" w:sz="4" w:space="0"/>
              <w:right w:val="single" w:color="auto" w:sz="4" w:space="0"/>
            </w:tcBorders>
            <w:noWrap/>
            <w:vAlign w:val="bottom"/>
          </w:tcPr>
          <w:p w14:paraId="57BC1823">
            <w:pPr>
              <w:widowControl/>
              <w:spacing w:line="0" w:lineRule="atLeast"/>
              <w:ind w:right="420"/>
              <w:rPr>
                <w:rFonts w:ascii="宋体" w:hAnsi="宋体" w:cs="宋体"/>
                <w:kern w:val="0"/>
                <w:sz w:val="18"/>
                <w:szCs w:val="18"/>
              </w:rPr>
            </w:pPr>
            <w:r>
              <w:rPr>
                <w:rFonts w:ascii="宋体" w:hAnsi="宋体" w:cs="宋体"/>
                <w:kern w:val="0"/>
                <w:sz w:val="18"/>
                <w:szCs w:val="18"/>
              </w:rPr>
              <w:t>25.1</w:t>
            </w:r>
          </w:p>
        </w:tc>
      </w:tr>
      <w:tr w14:paraId="575710D6">
        <w:tblPrEx>
          <w:tblCellMar>
            <w:top w:w="0" w:type="dxa"/>
            <w:left w:w="108" w:type="dxa"/>
            <w:bottom w:w="0" w:type="dxa"/>
            <w:right w:w="108" w:type="dxa"/>
          </w:tblCellMar>
        </w:tblPrEx>
        <w:trPr>
          <w:trHeight w:val="285" w:hRule="atLeast"/>
        </w:trPr>
        <w:tc>
          <w:tcPr>
            <w:tcW w:w="3207" w:type="dxa"/>
            <w:tcBorders>
              <w:top w:val="nil"/>
              <w:left w:val="single" w:color="auto" w:sz="4" w:space="0"/>
              <w:bottom w:val="single" w:color="auto" w:sz="4" w:space="0"/>
              <w:right w:val="single" w:color="auto" w:sz="4" w:space="0"/>
            </w:tcBorders>
            <w:noWrap/>
            <w:vAlign w:val="center"/>
          </w:tcPr>
          <w:p w14:paraId="74D94E1A">
            <w:pPr>
              <w:widowControl/>
              <w:spacing w:line="0" w:lineRule="atLeast"/>
              <w:jc w:val="left"/>
              <w:rPr>
                <w:rFonts w:ascii="宋体" w:hAnsi="宋体" w:cs="宋体"/>
                <w:kern w:val="0"/>
                <w:sz w:val="18"/>
                <w:szCs w:val="18"/>
              </w:rPr>
            </w:pPr>
            <w:r>
              <w:rPr>
                <w:rFonts w:hint="eastAsia" w:ascii="宋体" w:hAnsi="宋体" w:cs="宋体"/>
                <w:kern w:val="0"/>
                <w:sz w:val="18"/>
                <w:szCs w:val="18"/>
              </w:rPr>
              <w:t>固定资产投资（亿元）</w:t>
            </w:r>
          </w:p>
        </w:tc>
        <w:tc>
          <w:tcPr>
            <w:tcW w:w="805" w:type="dxa"/>
            <w:tcBorders>
              <w:top w:val="nil"/>
              <w:left w:val="nil"/>
              <w:bottom w:val="single" w:color="auto" w:sz="4" w:space="0"/>
              <w:right w:val="single" w:color="auto" w:sz="4" w:space="0"/>
            </w:tcBorders>
            <w:noWrap/>
            <w:vAlign w:val="center"/>
          </w:tcPr>
          <w:p w14:paraId="70D3A67A">
            <w:pPr>
              <w:widowControl/>
              <w:spacing w:line="0" w:lineRule="atLeast"/>
              <w:jc w:val="center"/>
              <w:rPr>
                <w:rFonts w:ascii="宋体" w:hAnsi="宋体" w:cs="宋体"/>
                <w:kern w:val="0"/>
                <w:sz w:val="18"/>
                <w:szCs w:val="18"/>
              </w:rPr>
            </w:pPr>
            <w:r>
              <w:rPr>
                <w:rFonts w:ascii="宋体" w:hAnsi="宋体" w:cs="宋体"/>
                <w:kern w:val="0"/>
                <w:sz w:val="18"/>
                <w:szCs w:val="18"/>
              </w:rPr>
              <w:t>72.34</w:t>
            </w:r>
          </w:p>
        </w:tc>
        <w:tc>
          <w:tcPr>
            <w:tcW w:w="805" w:type="dxa"/>
            <w:tcBorders>
              <w:top w:val="nil"/>
              <w:left w:val="nil"/>
              <w:bottom w:val="single" w:color="auto" w:sz="4" w:space="0"/>
              <w:right w:val="single" w:color="auto" w:sz="4" w:space="0"/>
            </w:tcBorders>
            <w:noWrap/>
            <w:vAlign w:val="center"/>
          </w:tcPr>
          <w:p w14:paraId="78EB0471">
            <w:pPr>
              <w:widowControl/>
              <w:spacing w:line="0" w:lineRule="atLeast"/>
              <w:jc w:val="center"/>
              <w:rPr>
                <w:rFonts w:ascii="宋体" w:hAnsi="宋体" w:cs="宋体"/>
                <w:kern w:val="0"/>
                <w:sz w:val="18"/>
                <w:szCs w:val="18"/>
              </w:rPr>
            </w:pPr>
            <w:r>
              <w:rPr>
                <w:rFonts w:ascii="宋体" w:hAnsi="宋体" w:cs="宋体"/>
                <w:kern w:val="0"/>
                <w:sz w:val="18"/>
                <w:szCs w:val="18"/>
              </w:rPr>
              <w:t>81.99</w:t>
            </w:r>
          </w:p>
        </w:tc>
        <w:tc>
          <w:tcPr>
            <w:tcW w:w="805" w:type="dxa"/>
            <w:tcBorders>
              <w:top w:val="nil"/>
              <w:left w:val="nil"/>
              <w:bottom w:val="single" w:color="auto" w:sz="4" w:space="0"/>
              <w:right w:val="single" w:color="auto" w:sz="4" w:space="0"/>
            </w:tcBorders>
            <w:noWrap/>
            <w:vAlign w:val="center"/>
          </w:tcPr>
          <w:p w14:paraId="61303A80">
            <w:pPr>
              <w:widowControl/>
              <w:spacing w:line="0" w:lineRule="atLeast"/>
              <w:jc w:val="center"/>
              <w:rPr>
                <w:rFonts w:ascii="宋体" w:hAnsi="宋体" w:cs="宋体"/>
                <w:kern w:val="0"/>
                <w:sz w:val="18"/>
                <w:szCs w:val="18"/>
              </w:rPr>
            </w:pPr>
            <w:r>
              <w:rPr>
                <w:rFonts w:ascii="宋体" w:hAnsi="宋体" w:cs="宋体"/>
                <w:kern w:val="0"/>
                <w:sz w:val="18"/>
                <w:szCs w:val="18"/>
              </w:rPr>
              <w:t>115.12</w:t>
            </w:r>
          </w:p>
        </w:tc>
        <w:tc>
          <w:tcPr>
            <w:tcW w:w="805" w:type="dxa"/>
            <w:tcBorders>
              <w:top w:val="nil"/>
              <w:left w:val="nil"/>
              <w:bottom w:val="single" w:color="auto" w:sz="4" w:space="0"/>
              <w:right w:val="single" w:color="auto" w:sz="4" w:space="0"/>
            </w:tcBorders>
            <w:noWrap/>
            <w:vAlign w:val="center"/>
          </w:tcPr>
          <w:p w14:paraId="398E10ED">
            <w:pPr>
              <w:widowControl/>
              <w:spacing w:line="0" w:lineRule="atLeast"/>
              <w:jc w:val="center"/>
              <w:rPr>
                <w:rFonts w:ascii="宋体" w:hAnsi="宋体" w:cs="宋体"/>
                <w:kern w:val="0"/>
                <w:sz w:val="18"/>
                <w:szCs w:val="18"/>
              </w:rPr>
            </w:pPr>
            <w:r>
              <w:rPr>
                <w:rFonts w:ascii="宋体" w:hAnsi="宋体" w:cs="宋体"/>
                <w:kern w:val="0"/>
                <w:sz w:val="18"/>
                <w:szCs w:val="18"/>
              </w:rPr>
              <w:t>105.58</w:t>
            </w:r>
          </w:p>
        </w:tc>
        <w:tc>
          <w:tcPr>
            <w:tcW w:w="707" w:type="dxa"/>
            <w:tcBorders>
              <w:top w:val="nil"/>
              <w:left w:val="nil"/>
              <w:bottom w:val="single" w:color="auto" w:sz="4" w:space="0"/>
              <w:right w:val="single" w:color="auto" w:sz="4" w:space="0"/>
            </w:tcBorders>
            <w:noWrap/>
            <w:vAlign w:val="center"/>
          </w:tcPr>
          <w:p w14:paraId="6C5D59CC">
            <w:pPr>
              <w:widowControl/>
              <w:spacing w:line="0" w:lineRule="atLeast"/>
              <w:jc w:val="center"/>
              <w:rPr>
                <w:rFonts w:ascii="宋体" w:hAnsi="宋体" w:cs="宋体"/>
                <w:kern w:val="0"/>
                <w:sz w:val="18"/>
                <w:szCs w:val="18"/>
              </w:rPr>
            </w:pPr>
            <w:r>
              <w:rPr>
                <w:rFonts w:ascii="宋体" w:hAnsi="宋体" w:cs="宋体"/>
                <w:kern w:val="0"/>
                <w:sz w:val="18"/>
                <w:szCs w:val="18"/>
              </w:rPr>
              <w:t>54.7</w:t>
            </w:r>
          </w:p>
        </w:tc>
        <w:tc>
          <w:tcPr>
            <w:tcW w:w="1386" w:type="dxa"/>
            <w:tcBorders>
              <w:top w:val="nil"/>
              <w:left w:val="nil"/>
              <w:bottom w:val="single" w:color="auto" w:sz="4" w:space="0"/>
              <w:right w:val="single" w:color="auto" w:sz="4" w:space="0"/>
            </w:tcBorders>
            <w:noWrap/>
            <w:vAlign w:val="bottom"/>
          </w:tcPr>
          <w:p w14:paraId="122DAA11">
            <w:pPr>
              <w:widowControl/>
              <w:spacing w:line="0" w:lineRule="atLeast"/>
              <w:jc w:val="left"/>
              <w:rPr>
                <w:rFonts w:ascii="宋体" w:hAnsi="宋体" w:cs="宋体"/>
                <w:kern w:val="0"/>
                <w:sz w:val="18"/>
                <w:szCs w:val="18"/>
              </w:rPr>
            </w:pPr>
            <w:r>
              <w:rPr>
                <w:rFonts w:hint="eastAsia" w:ascii="宋体" w:hAnsi="宋体" w:cs="宋体"/>
                <w:kern w:val="0"/>
                <w:sz w:val="18"/>
                <w:szCs w:val="18"/>
              </w:rPr>
              <w:t>　</w:t>
            </w:r>
          </w:p>
        </w:tc>
      </w:tr>
      <w:tr w14:paraId="5D73D3B9">
        <w:tblPrEx>
          <w:tblCellMar>
            <w:top w:w="0" w:type="dxa"/>
            <w:left w:w="108" w:type="dxa"/>
            <w:bottom w:w="0" w:type="dxa"/>
            <w:right w:w="108" w:type="dxa"/>
          </w:tblCellMar>
        </w:tblPrEx>
        <w:trPr>
          <w:trHeight w:val="285" w:hRule="atLeast"/>
        </w:trPr>
        <w:tc>
          <w:tcPr>
            <w:tcW w:w="3207" w:type="dxa"/>
            <w:tcBorders>
              <w:top w:val="nil"/>
              <w:left w:val="single" w:color="auto" w:sz="4" w:space="0"/>
              <w:bottom w:val="single" w:color="auto" w:sz="4" w:space="0"/>
              <w:right w:val="single" w:color="auto" w:sz="4" w:space="0"/>
            </w:tcBorders>
            <w:noWrap/>
            <w:vAlign w:val="center"/>
          </w:tcPr>
          <w:p w14:paraId="13D3BBF1">
            <w:pPr>
              <w:widowControl/>
              <w:spacing w:line="0" w:lineRule="atLeast"/>
              <w:jc w:val="left"/>
              <w:rPr>
                <w:rFonts w:ascii="宋体" w:hAnsi="宋体" w:cs="宋体"/>
                <w:kern w:val="0"/>
                <w:sz w:val="18"/>
                <w:szCs w:val="18"/>
              </w:rPr>
            </w:pPr>
            <w:r>
              <w:rPr>
                <w:rFonts w:hint="eastAsia" w:ascii="宋体" w:hAnsi="宋体" w:cs="宋体"/>
                <w:kern w:val="0"/>
                <w:sz w:val="18"/>
                <w:szCs w:val="18"/>
              </w:rPr>
              <w:t>其中：工业投入（亿元）</w:t>
            </w:r>
          </w:p>
        </w:tc>
        <w:tc>
          <w:tcPr>
            <w:tcW w:w="805" w:type="dxa"/>
            <w:tcBorders>
              <w:top w:val="nil"/>
              <w:left w:val="nil"/>
              <w:bottom w:val="single" w:color="auto" w:sz="4" w:space="0"/>
              <w:right w:val="single" w:color="auto" w:sz="4" w:space="0"/>
            </w:tcBorders>
            <w:noWrap/>
            <w:vAlign w:val="center"/>
          </w:tcPr>
          <w:p w14:paraId="220B72A1">
            <w:pPr>
              <w:widowControl/>
              <w:spacing w:line="0" w:lineRule="atLeast"/>
              <w:jc w:val="center"/>
              <w:rPr>
                <w:rFonts w:ascii="宋体" w:hAnsi="宋体" w:cs="宋体"/>
                <w:kern w:val="0"/>
                <w:sz w:val="18"/>
                <w:szCs w:val="18"/>
              </w:rPr>
            </w:pPr>
            <w:r>
              <w:rPr>
                <w:rFonts w:ascii="宋体" w:hAnsi="宋体" w:cs="宋体"/>
                <w:kern w:val="0"/>
                <w:sz w:val="18"/>
                <w:szCs w:val="18"/>
              </w:rPr>
              <w:t>11</w:t>
            </w:r>
          </w:p>
        </w:tc>
        <w:tc>
          <w:tcPr>
            <w:tcW w:w="805" w:type="dxa"/>
            <w:tcBorders>
              <w:top w:val="nil"/>
              <w:left w:val="nil"/>
              <w:bottom w:val="single" w:color="auto" w:sz="4" w:space="0"/>
              <w:right w:val="single" w:color="auto" w:sz="4" w:space="0"/>
            </w:tcBorders>
            <w:noWrap/>
            <w:vAlign w:val="center"/>
          </w:tcPr>
          <w:p w14:paraId="3A7F931E">
            <w:pPr>
              <w:widowControl/>
              <w:spacing w:line="0" w:lineRule="atLeast"/>
              <w:jc w:val="center"/>
              <w:rPr>
                <w:rFonts w:ascii="宋体" w:hAnsi="宋体" w:cs="宋体"/>
                <w:kern w:val="0"/>
                <w:sz w:val="18"/>
                <w:szCs w:val="18"/>
              </w:rPr>
            </w:pPr>
            <w:r>
              <w:rPr>
                <w:rFonts w:ascii="宋体" w:hAnsi="宋体" w:cs="宋体"/>
                <w:kern w:val="0"/>
                <w:sz w:val="18"/>
                <w:szCs w:val="18"/>
              </w:rPr>
              <w:t>8</w:t>
            </w:r>
          </w:p>
        </w:tc>
        <w:tc>
          <w:tcPr>
            <w:tcW w:w="805" w:type="dxa"/>
            <w:tcBorders>
              <w:top w:val="nil"/>
              <w:left w:val="nil"/>
              <w:bottom w:val="single" w:color="auto" w:sz="4" w:space="0"/>
              <w:right w:val="single" w:color="auto" w:sz="4" w:space="0"/>
            </w:tcBorders>
            <w:noWrap/>
            <w:vAlign w:val="center"/>
          </w:tcPr>
          <w:p w14:paraId="2EAA35BF">
            <w:pPr>
              <w:widowControl/>
              <w:spacing w:line="0" w:lineRule="atLeast"/>
              <w:jc w:val="center"/>
              <w:rPr>
                <w:rFonts w:ascii="宋体" w:hAnsi="宋体" w:cs="宋体"/>
                <w:kern w:val="0"/>
                <w:sz w:val="18"/>
                <w:szCs w:val="18"/>
              </w:rPr>
            </w:pPr>
            <w:r>
              <w:rPr>
                <w:rFonts w:ascii="宋体" w:hAnsi="宋体" w:cs="宋体"/>
                <w:kern w:val="0"/>
                <w:sz w:val="18"/>
                <w:szCs w:val="18"/>
              </w:rPr>
              <w:t>15</w:t>
            </w:r>
          </w:p>
        </w:tc>
        <w:tc>
          <w:tcPr>
            <w:tcW w:w="805" w:type="dxa"/>
            <w:tcBorders>
              <w:top w:val="nil"/>
              <w:left w:val="nil"/>
              <w:bottom w:val="single" w:color="auto" w:sz="4" w:space="0"/>
              <w:right w:val="single" w:color="auto" w:sz="4" w:space="0"/>
            </w:tcBorders>
            <w:noWrap/>
            <w:vAlign w:val="center"/>
          </w:tcPr>
          <w:p w14:paraId="51FF8025">
            <w:pPr>
              <w:widowControl/>
              <w:spacing w:line="0" w:lineRule="atLeast"/>
              <w:jc w:val="center"/>
              <w:rPr>
                <w:rFonts w:ascii="宋体" w:hAnsi="宋体" w:cs="宋体"/>
                <w:kern w:val="0"/>
                <w:sz w:val="18"/>
                <w:szCs w:val="18"/>
              </w:rPr>
            </w:pPr>
            <w:r>
              <w:rPr>
                <w:rFonts w:ascii="宋体" w:hAnsi="宋体" w:cs="宋体"/>
                <w:kern w:val="0"/>
                <w:sz w:val="18"/>
                <w:szCs w:val="18"/>
              </w:rPr>
              <w:t>12</w:t>
            </w:r>
          </w:p>
        </w:tc>
        <w:tc>
          <w:tcPr>
            <w:tcW w:w="707" w:type="dxa"/>
            <w:tcBorders>
              <w:top w:val="nil"/>
              <w:left w:val="nil"/>
              <w:bottom w:val="single" w:color="auto" w:sz="4" w:space="0"/>
              <w:right w:val="single" w:color="auto" w:sz="4" w:space="0"/>
            </w:tcBorders>
            <w:noWrap/>
            <w:vAlign w:val="center"/>
          </w:tcPr>
          <w:p w14:paraId="1B3768F8">
            <w:pPr>
              <w:widowControl/>
              <w:spacing w:line="0" w:lineRule="atLeast"/>
              <w:jc w:val="center"/>
              <w:rPr>
                <w:rFonts w:ascii="宋体" w:hAnsi="宋体" w:cs="宋体"/>
                <w:kern w:val="0"/>
                <w:sz w:val="18"/>
                <w:szCs w:val="18"/>
              </w:rPr>
            </w:pPr>
            <w:r>
              <w:rPr>
                <w:rFonts w:ascii="宋体" w:hAnsi="宋体" w:cs="宋体"/>
                <w:kern w:val="0"/>
                <w:sz w:val="18"/>
                <w:szCs w:val="18"/>
              </w:rPr>
              <w:t>10</w:t>
            </w:r>
          </w:p>
        </w:tc>
        <w:tc>
          <w:tcPr>
            <w:tcW w:w="1386" w:type="dxa"/>
            <w:tcBorders>
              <w:top w:val="nil"/>
              <w:left w:val="nil"/>
              <w:bottom w:val="single" w:color="auto" w:sz="4" w:space="0"/>
              <w:right w:val="single" w:color="auto" w:sz="4" w:space="0"/>
            </w:tcBorders>
            <w:noWrap/>
            <w:vAlign w:val="bottom"/>
          </w:tcPr>
          <w:p w14:paraId="1595B85E">
            <w:pPr>
              <w:widowControl/>
              <w:spacing w:line="0" w:lineRule="atLeast"/>
              <w:jc w:val="left"/>
              <w:rPr>
                <w:rFonts w:ascii="宋体" w:hAnsi="宋体" w:cs="宋体"/>
                <w:kern w:val="0"/>
                <w:sz w:val="18"/>
                <w:szCs w:val="18"/>
              </w:rPr>
            </w:pPr>
            <w:r>
              <w:rPr>
                <w:rFonts w:hint="eastAsia" w:ascii="宋体" w:hAnsi="宋体" w:cs="宋体"/>
                <w:kern w:val="0"/>
                <w:sz w:val="18"/>
                <w:szCs w:val="18"/>
              </w:rPr>
              <w:t>　</w:t>
            </w:r>
          </w:p>
        </w:tc>
      </w:tr>
      <w:tr w14:paraId="3F636D04">
        <w:tblPrEx>
          <w:tblCellMar>
            <w:top w:w="0" w:type="dxa"/>
            <w:left w:w="108" w:type="dxa"/>
            <w:bottom w:w="0" w:type="dxa"/>
            <w:right w:w="108" w:type="dxa"/>
          </w:tblCellMar>
        </w:tblPrEx>
        <w:trPr>
          <w:trHeight w:val="285" w:hRule="atLeast"/>
        </w:trPr>
        <w:tc>
          <w:tcPr>
            <w:tcW w:w="3207" w:type="dxa"/>
            <w:tcBorders>
              <w:top w:val="nil"/>
              <w:left w:val="single" w:color="auto" w:sz="4" w:space="0"/>
              <w:bottom w:val="single" w:color="auto" w:sz="4" w:space="0"/>
              <w:right w:val="single" w:color="auto" w:sz="4" w:space="0"/>
            </w:tcBorders>
            <w:noWrap/>
            <w:vAlign w:val="center"/>
          </w:tcPr>
          <w:p w14:paraId="48BF3BAC">
            <w:pPr>
              <w:widowControl/>
              <w:spacing w:line="0" w:lineRule="atLeast"/>
              <w:jc w:val="left"/>
              <w:rPr>
                <w:rFonts w:ascii="宋体" w:hAnsi="宋体" w:cs="宋体"/>
                <w:kern w:val="0"/>
                <w:sz w:val="18"/>
                <w:szCs w:val="18"/>
              </w:rPr>
            </w:pPr>
            <w:r>
              <w:rPr>
                <w:rFonts w:hint="eastAsia" w:ascii="宋体" w:hAnsi="宋体" w:cs="宋体"/>
                <w:kern w:val="0"/>
                <w:sz w:val="18"/>
                <w:szCs w:val="18"/>
              </w:rPr>
              <w:t>实际到账外资（万美元）</w:t>
            </w:r>
          </w:p>
        </w:tc>
        <w:tc>
          <w:tcPr>
            <w:tcW w:w="805" w:type="dxa"/>
            <w:tcBorders>
              <w:top w:val="nil"/>
              <w:left w:val="nil"/>
              <w:bottom w:val="single" w:color="auto" w:sz="4" w:space="0"/>
              <w:right w:val="single" w:color="auto" w:sz="4" w:space="0"/>
            </w:tcBorders>
            <w:noWrap/>
            <w:vAlign w:val="center"/>
          </w:tcPr>
          <w:p w14:paraId="75EC208D">
            <w:pPr>
              <w:widowControl/>
              <w:spacing w:line="0" w:lineRule="atLeast"/>
              <w:jc w:val="center"/>
              <w:rPr>
                <w:rFonts w:ascii="宋体" w:hAnsi="宋体" w:cs="宋体"/>
                <w:kern w:val="0"/>
                <w:sz w:val="18"/>
                <w:szCs w:val="18"/>
              </w:rPr>
            </w:pPr>
            <w:r>
              <w:rPr>
                <w:rFonts w:ascii="宋体" w:hAnsi="宋体" w:cs="宋体"/>
                <w:kern w:val="0"/>
                <w:sz w:val="18"/>
                <w:szCs w:val="18"/>
              </w:rPr>
              <w:t>19453</w:t>
            </w:r>
          </w:p>
        </w:tc>
        <w:tc>
          <w:tcPr>
            <w:tcW w:w="805" w:type="dxa"/>
            <w:tcBorders>
              <w:top w:val="nil"/>
              <w:left w:val="nil"/>
              <w:bottom w:val="single" w:color="auto" w:sz="4" w:space="0"/>
              <w:right w:val="single" w:color="auto" w:sz="4" w:space="0"/>
            </w:tcBorders>
            <w:noWrap/>
            <w:vAlign w:val="center"/>
          </w:tcPr>
          <w:p w14:paraId="242C1AB6">
            <w:pPr>
              <w:widowControl/>
              <w:spacing w:line="0" w:lineRule="atLeast"/>
              <w:jc w:val="center"/>
              <w:rPr>
                <w:rFonts w:ascii="宋体" w:hAnsi="宋体" w:cs="宋体"/>
                <w:kern w:val="0"/>
                <w:sz w:val="18"/>
                <w:szCs w:val="18"/>
              </w:rPr>
            </w:pPr>
            <w:r>
              <w:rPr>
                <w:rFonts w:ascii="宋体" w:hAnsi="宋体" w:cs="宋体"/>
                <w:kern w:val="0"/>
                <w:sz w:val="18"/>
                <w:szCs w:val="18"/>
              </w:rPr>
              <w:t>8975</w:t>
            </w:r>
          </w:p>
        </w:tc>
        <w:tc>
          <w:tcPr>
            <w:tcW w:w="805" w:type="dxa"/>
            <w:tcBorders>
              <w:top w:val="nil"/>
              <w:left w:val="nil"/>
              <w:bottom w:val="single" w:color="auto" w:sz="4" w:space="0"/>
              <w:right w:val="single" w:color="auto" w:sz="4" w:space="0"/>
            </w:tcBorders>
            <w:noWrap/>
            <w:vAlign w:val="center"/>
          </w:tcPr>
          <w:p w14:paraId="6EDCB939">
            <w:pPr>
              <w:widowControl/>
              <w:spacing w:line="0" w:lineRule="atLeast"/>
              <w:jc w:val="center"/>
              <w:rPr>
                <w:rFonts w:ascii="宋体" w:hAnsi="宋体" w:cs="宋体"/>
                <w:kern w:val="0"/>
                <w:sz w:val="18"/>
                <w:szCs w:val="18"/>
              </w:rPr>
            </w:pPr>
            <w:r>
              <w:rPr>
                <w:rFonts w:ascii="宋体" w:hAnsi="宋体" w:cs="宋体"/>
                <w:kern w:val="0"/>
                <w:sz w:val="18"/>
                <w:szCs w:val="18"/>
              </w:rPr>
              <w:t>4016</w:t>
            </w:r>
          </w:p>
        </w:tc>
        <w:tc>
          <w:tcPr>
            <w:tcW w:w="805" w:type="dxa"/>
            <w:tcBorders>
              <w:top w:val="nil"/>
              <w:left w:val="nil"/>
              <w:bottom w:val="single" w:color="auto" w:sz="4" w:space="0"/>
              <w:right w:val="single" w:color="auto" w:sz="4" w:space="0"/>
            </w:tcBorders>
            <w:noWrap/>
            <w:vAlign w:val="center"/>
          </w:tcPr>
          <w:p w14:paraId="189DD8E0">
            <w:pPr>
              <w:widowControl/>
              <w:spacing w:line="0" w:lineRule="atLeast"/>
              <w:jc w:val="center"/>
              <w:rPr>
                <w:rFonts w:ascii="宋体" w:hAnsi="宋体" w:cs="宋体"/>
                <w:kern w:val="0"/>
                <w:sz w:val="18"/>
                <w:szCs w:val="18"/>
              </w:rPr>
            </w:pPr>
            <w:r>
              <w:rPr>
                <w:rFonts w:ascii="宋体" w:hAnsi="宋体" w:cs="宋体"/>
                <w:kern w:val="0"/>
                <w:sz w:val="18"/>
                <w:szCs w:val="18"/>
              </w:rPr>
              <w:t>5733</w:t>
            </w:r>
          </w:p>
        </w:tc>
        <w:tc>
          <w:tcPr>
            <w:tcW w:w="707" w:type="dxa"/>
            <w:tcBorders>
              <w:top w:val="nil"/>
              <w:left w:val="nil"/>
              <w:bottom w:val="single" w:color="auto" w:sz="4" w:space="0"/>
              <w:right w:val="single" w:color="auto" w:sz="4" w:space="0"/>
            </w:tcBorders>
            <w:noWrap/>
            <w:vAlign w:val="center"/>
          </w:tcPr>
          <w:p w14:paraId="22F1AB67">
            <w:pPr>
              <w:widowControl/>
              <w:spacing w:line="0" w:lineRule="atLeast"/>
              <w:jc w:val="center"/>
              <w:rPr>
                <w:rFonts w:ascii="宋体" w:hAnsi="宋体" w:cs="宋体"/>
                <w:kern w:val="0"/>
                <w:sz w:val="18"/>
                <w:szCs w:val="18"/>
              </w:rPr>
            </w:pPr>
            <w:r>
              <w:rPr>
                <w:rFonts w:ascii="宋体" w:hAnsi="宋体" w:cs="宋体"/>
                <w:kern w:val="0"/>
                <w:sz w:val="18"/>
                <w:szCs w:val="18"/>
              </w:rPr>
              <w:t>889</w:t>
            </w:r>
          </w:p>
        </w:tc>
        <w:tc>
          <w:tcPr>
            <w:tcW w:w="1386" w:type="dxa"/>
            <w:tcBorders>
              <w:top w:val="nil"/>
              <w:left w:val="nil"/>
              <w:bottom w:val="single" w:color="auto" w:sz="4" w:space="0"/>
              <w:right w:val="single" w:color="auto" w:sz="4" w:space="0"/>
            </w:tcBorders>
            <w:noWrap/>
            <w:vAlign w:val="bottom"/>
          </w:tcPr>
          <w:p w14:paraId="7E949A66">
            <w:pPr>
              <w:widowControl/>
              <w:spacing w:line="0" w:lineRule="atLeast"/>
              <w:jc w:val="left"/>
              <w:rPr>
                <w:rFonts w:ascii="宋体" w:hAnsi="宋体" w:cs="宋体"/>
                <w:kern w:val="0"/>
                <w:sz w:val="18"/>
                <w:szCs w:val="18"/>
              </w:rPr>
            </w:pPr>
            <w:r>
              <w:rPr>
                <w:rFonts w:hint="eastAsia" w:ascii="宋体" w:hAnsi="宋体" w:cs="宋体"/>
                <w:kern w:val="0"/>
                <w:sz w:val="18"/>
                <w:szCs w:val="18"/>
              </w:rPr>
              <w:t>　</w:t>
            </w:r>
          </w:p>
        </w:tc>
      </w:tr>
      <w:tr w14:paraId="2813AEFC">
        <w:tblPrEx>
          <w:tblCellMar>
            <w:top w:w="0" w:type="dxa"/>
            <w:left w:w="108" w:type="dxa"/>
            <w:bottom w:w="0" w:type="dxa"/>
            <w:right w:w="108" w:type="dxa"/>
          </w:tblCellMar>
        </w:tblPrEx>
        <w:trPr>
          <w:trHeight w:val="285" w:hRule="atLeast"/>
        </w:trPr>
        <w:tc>
          <w:tcPr>
            <w:tcW w:w="3207" w:type="dxa"/>
            <w:tcBorders>
              <w:top w:val="nil"/>
              <w:left w:val="single" w:color="auto" w:sz="4" w:space="0"/>
              <w:bottom w:val="single" w:color="auto" w:sz="4" w:space="0"/>
              <w:right w:val="single" w:color="auto" w:sz="4" w:space="0"/>
            </w:tcBorders>
            <w:noWrap/>
            <w:vAlign w:val="center"/>
          </w:tcPr>
          <w:p w14:paraId="6C24EEAF">
            <w:pPr>
              <w:widowControl/>
              <w:spacing w:line="0" w:lineRule="atLeast"/>
              <w:jc w:val="left"/>
              <w:rPr>
                <w:rFonts w:ascii="宋体" w:hAnsi="宋体" w:cs="宋体"/>
                <w:kern w:val="0"/>
                <w:sz w:val="18"/>
                <w:szCs w:val="18"/>
              </w:rPr>
            </w:pPr>
            <w:r>
              <w:rPr>
                <w:rFonts w:hint="eastAsia" w:ascii="宋体" w:hAnsi="宋体" w:cs="宋体"/>
                <w:kern w:val="0"/>
                <w:sz w:val="18"/>
                <w:szCs w:val="18"/>
              </w:rPr>
              <w:t>进出口总额（亿美元）</w:t>
            </w:r>
          </w:p>
        </w:tc>
        <w:tc>
          <w:tcPr>
            <w:tcW w:w="805" w:type="dxa"/>
            <w:tcBorders>
              <w:top w:val="nil"/>
              <w:left w:val="nil"/>
              <w:bottom w:val="single" w:color="auto" w:sz="4" w:space="0"/>
              <w:right w:val="single" w:color="auto" w:sz="4" w:space="0"/>
            </w:tcBorders>
            <w:noWrap/>
            <w:vAlign w:val="center"/>
          </w:tcPr>
          <w:p w14:paraId="03E73CC6">
            <w:pPr>
              <w:widowControl/>
              <w:spacing w:line="0" w:lineRule="atLeast"/>
              <w:jc w:val="center"/>
              <w:rPr>
                <w:rFonts w:ascii="宋体" w:hAnsi="宋体" w:cs="宋体"/>
                <w:kern w:val="0"/>
                <w:sz w:val="18"/>
                <w:szCs w:val="18"/>
              </w:rPr>
            </w:pPr>
            <w:r>
              <w:rPr>
                <w:rFonts w:ascii="宋体" w:hAnsi="宋体" w:cs="宋体"/>
                <w:kern w:val="0"/>
                <w:sz w:val="18"/>
                <w:szCs w:val="18"/>
              </w:rPr>
              <w:t>13.57</w:t>
            </w:r>
          </w:p>
        </w:tc>
        <w:tc>
          <w:tcPr>
            <w:tcW w:w="805" w:type="dxa"/>
            <w:tcBorders>
              <w:top w:val="nil"/>
              <w:left w:val="nil"/>
              <w:bottom w:val="single" w:color="auto" w:sz="4" w:space="0"/>
              <w:right w:val="single" w:color="auto" w:sz="4" w:space="0"/>
            </w:tcBorders>
            <w:noWrap/>
            <w:vAlign w:val="center"/>
          </w:tcPr>
          <w:p w14:paraId="5B8257D2">
            <w:pPr>
              <w:widowControl/>
              <w:spacing w:line="0" w:lineRule="atLeast"/>
              <w:jc w:val="center"/>
              <w:rPr>
                <w:rFonts w:ascii="宋体" w:hAnsi="宋体" w:cs="宋体"/>
                <w:kern w:val="0"/>
                <w:sz w:val="18"/>
                <w:szCs w:val="18"/>
              </w:rPr>
            </w:pPr>
            <w:r>
              <w:rPr>
                <w:rFonts w:ascii="宋体" w:hAnsi="宋体" w:cs="宋体"/>
                <w:kern w:val="0"/>
                <w:sz w:val="18"/>
                <w:szCs w:val="18"/>
              </w:rPr>
              <w:t>12.3</w:t>
            </w:r>
          </w:p>
        </w:tc>
        <w:tc>
          <w:tcPr>
            <w:tcW w:w="805" w:type="dxa"/>
            <w:tcBorders>
              <w:top w:val="nil"/>
              <w:left w:val="nil"/>
              <w:bottom w:val="single" w:color="auto" w:sz="4" w:space="0"/>
              <w:right w:val="single" w:color="auto" w:sz="4" w:space="0"/>
            </w:tcBorders>
            <w:noWrap/>
            <w:vAlign w:val="center"/>
          </w:tcPr>
          <w:p w14:paraId="0D7759DC">
            <w:pPr>
              <w:widowControl/>
              <w:spacing w:line="0" w:lineRule="atLeast"/>
              <w:jc w:val="center"/>
              <w:rPr>
                <w:rFonts w:ascii="宋体" w:hAnsi="宋体" w:cs="宋体"/>
                <w:kern w:val="0"/>
                <w:sz w:val="18"/>
                <w:szCs w:val="18"/>
              </w:rPr>
            </w:pPr>
            <w:r>
              <w:rPr>
                <w:rFonts w:ascii="宋体" w:hAnsi="宋体" w:cs="宋体"/>
                <w:kern w:val="0"/>
                <w:sz w:val="18"/>
                <w:szCs w:val="18"/>
              </w:rPr>
              <w:t>13.7</w:t>
            </w:r>
          </w:p>
        </w:tc>
        <w:tc>
          <w:tcPr>
            <w:tcW w:w="805" w:type="dxa"/>
            <w:tcBorders>
              <w:top w:val="nil"/>
              <w:left w:val="nil"/>
              <w:bottom w:val="single" w:color="auto" w:sz="4" w:space="0"/>
              <w:right w:val="single" w:color="auto" w:sz="4" w:space="0"/>
            </w:tcBorders>
            <w:noWrap/>
            <w:vAlign w:val="center"/>
          </w:tcPr>
          <w:p w14:paraId="68349097">
            <w:pPr>
              <w:widowControl/>
              <w:spacing w:line="0" w:lineRule="atLeast"/>
              <w:jc w:val="center"/>
              <w:rPr>
                <w:rFonts w:ascii="宋体" w:hAnsi="宋体" w:cs="宋体"/>
                <w:kern w:val="0"/>
                <w:sz w:val="18"/>
                <w:szCs w:val="18"/>
              </w:rPr>
            </w:pPr>
            <w:r>
              <w:rPr>
                <w:rFonts w:ascii="宋体" w:hAnsi="宋体" w:cs="宋体"/>
                <w:kern w:val="0"/>
                <w:sz w:val="18"/>
                <w:szCs w:val="18"/>
              </w:rPr>
              <w:t>15.2</w:t>
            </w:r>
          </w:p>
        </w:tc>
        <w:tc>
          <w:tcPr>
            <w:tcW w:w="707" w:type="dxa"/>
            <w:tcBorders>
              <w:top w:val="nil"/>
              <w:left w:val="nil"/>
              <w:bottom w:val="single" w:color="auto" w:sz="4" w:space="0"/>
              <w:right w:val="single" w:color="auto" w:sz="4" w:space="0"/>
            </w:tcBorders>
            <w:noWrap/>
            <w:vAlign w:val="center"/>
          </w:tcPr>
          <w:p w14:paraId="7B096B18">
            <w:pPr>
              <w:widowControl/>
              <w:spacing w:line="0" w:lineRule="atLeast"/>
              <w:jc w:val="center"/>
              <w:rPr>
                <w:rFonts w:ascii="宋体" w:hAnsi="宋体" w:cs="宋体"/>
                <w:kern w:val="0"/>
                <w:sz w:val="18"/>
                <w:szCs w:val="18"/>
              </w:rPr>
            </w:pPr>
            <w:r>
              <w:rPr>
                <w:rFonts w:ascii="宋体" w:hAnsi="宋体" w:cs="宋体"/>
                <w:kern w:val="0"/>
                <w:sz w:val="18"/>
                <w:szCs w:val="18"/>
              </w:rPr>
              <w:t>12.9</w:t>
            </w:r>
          </w:p>
        </w:tc>
        <w:tc>
          <w:tcPr>
            <w:tcW w:w="1386" w:type="dxa"/>
            <w:tcBorders>
              <w:top w:val="nil"/>
              <w:left w:val="nil"/>
              <w:bottom w:val="single" w:color="auto" w:sz="4" w:space="0"/>
              <w:right w:val="single" w:color="auto" w:sz="4" w:space="0"/>
            </w:tcBorders>
            <w:noWrap/>
            <w:vAlign w:val="bottom"/>
          </w:tcPr>
          <w:p w14:paraId="7A04F387">
            <w:pPr>
              <w:widowControl/>
              <w:spacing w:line="0" w:lineRule="atLeast"/>
              <w:jc w:val="left"/>
              <w:rPr>
                <w:rFonts w:ascii="宋体" w:hAnsi="宋体" w:cs="宋体"/>
                <w:kern w:val="0"/>
                <w:sz w:val="18"/>
                <w:szCs w:val="18"/>
              </w:rPr>
            </w:pPr>
            <w:r>
              <w:rPr>
                <w:rFonts w:hint="eastAsia" w:ascii="宋体" w:hAnsi="宋体" w:cs="宋体"/>
                <w:kern w:val="0"/>
                <w:sz w:val="18"/>
                <w:szCs w:val="18"/>
              </w:rPr>
              <w:t>　</w:t>
            </w:r>
          </w:p>
        </w:tc>
      </w:tr>
    </w:tbl>
    <w:p w14:paraId="0E585AD9">
      <w:pPr>
        <w:spacing w:line="360" w:lineRule="auto"/>
        <w:rPr>
          <w:rFonts w:ascii="宋体" w:cs="宋体"/>
          <w:color w:val="000000"/>
          <w:kern w:val="0"/>
          <w:sz w:val="24"/>
        </w:rPr>
      </w:pPr>
      <w:r>
        <w:rPr>
          <w:rFonts w:ascii="宋体" w:hAnsi="宋体" w:cs="宋体"/>
          <w:color w:val="000000"/>
          <w:kern w:val="0"/>
          <w:sz w:val="24"/>
        </w:rPr>
        <w:t xml:space="preserve">                           </w:t>
      </w:r>
      <w:r>
        <w:rPr>
          <w:rFonts w:hint="eastAsia" w:ascii="宋体" w:hAnsi="宋体" w:cs="宋体"/>
          <w:color w:val="000000"/>
          <w:kern w:val="0"/>
          <w:sz w:val="24"/>
        </w:rPr>
        <w:t>（注：</w:t>
      </w:r>
      <w:r>
        <w:rPr>
          <w:rFonts w:ascii="宋体" w:hAnsi="宋体" w:cs="宋体"/>
          <w:color w:val="000000"/>
          <w:kern w:val="0"/>
          <w:sz w:val="24"/>
        </w:rPr>
        <w:t>2013</w:t>
      </w:r>
      <w:r>
        <w:rPr>
          <w:rFonts w:hint="eastAsia" w:ascii="宋体" w:hAnsi="宋体" w:cs="宋体"/>
          <w:color w:val="000000"/>
          <w:kern w:val="0"/>
          <w:sz w:val="24"/>
        </w:rPr>
        <w:t>年后创意产业园纳入街道统计范围）</w:t>
      </w:r>
    </w:p>
    <w:p w14:paraId="0CF07F12">
      <w:pPr>
        <w:widowControl/>
        <w:spacing w:line="360" w:lineRule="auto"/>
        <w:ind w:firstLine="560"/>
        <w:rPr>
          <w:rFonts w:ascii="宋体" w:hAnsi="宋体" w:cs="宋体"/>
          <w:color w:val="000000"/>
          <w:kern w:val="0"/>
          <w:sz w:val="28"/>
          <w:szCs w:val="28"/>
        </w:rPr>
      </w:pPr>
      <w:r>
        <w:rPr>
          <w:rFonts w:hint="eastAsia" w:ascii="宋体" w:hAnsi="宋体" w:cs="宋体"/>
          <w:color w:val="000000"/>
          <w:kern w:val="0"/>
          <w:sz w:val="28"/>
          <w:szCs w:val="28"/>
        </w:rPr>
        <w:t>在科技创新与创新创业人才引进方面，“十二五”期间街道共认定高新技术企业</w:t>
      </w:r>
      <w:r>
        <w:rPr>
          <w:rFonts w:ascii="宋体" w:hAnsi="宋体" w:cs="宋体"/>
          <w:color w:val="000000"/>
          <w:kern w:val="0"/>
          <w:sz w:val="28"/>
          <w:szCs w:val="28"/>
        </w:rPr>
        <w:t>26</w:t>
      </w:r>
      <w:r>
        <w:rPr>
          <w:rFonts w:hint="eastAsia" w:ascii="宋体" w:hAnsi="宋体" w:cs="宋体"/>
          <w:color w:val="000000"/>
          <w:kern w:val="0"/>
          <w:sz w:val="28"/>
          <w:szCs w:val="28"/>
        </w:rPr>
        <w:t>家，到</w:t>
      </w:r>
      <w:r>
        <w:rPr>
          <w:rFonts w:ascii="宋体" w:hAnsi="宋体" w:cs="宋体"/>
          <w:color w:val="000000"/>
          <w:kern w:val="0"/>
          <w:sz w:val="28"/>
          <w:szCs w:val="28"/>
        </w:rPr>
        <w:t>2015</w:t>
      </w:r>
      <w:r>
        <w:rPr>
          <w:rFonts w:hint="eastAsia" w:ascii="宋体" w:hAnsi="宋体" w:cs="宋体"/>
          <w:color w:val="000000"/>
          <w:kern w:val="0"/>
          <w:sz w:val="28"/>
          <w:szCs w:val="28"/>
        </w:rPr>
        <w:t>年底高新技术企业数量达到了</w:t>
      </w:r>
      <w:r>
        <w:rPr>
          <w:rFonts w:ascii="宋体" w:hAnsi="宋体" w:cs="宋体"/>
          <w:color w:val="000000"/>
          <w:kern w:val="0"/>
          <w:sz w:val="28"/>
          <w:szCs w:val="28"/>
        </w:rPr>
        <w:t>43</w:t>
      </w:r>
      <w:r>
        <w:rPr>
          <w:rFonts w:hint="eastAsia" w:ascii="宋体" w:hAnsi="宋体" w:cs="宋体"/>
          <w:color w:val="000000"/>
          <w:kern w:val="0"/>
          <w:sz w:val="28"/>
          <w:szCs w:val="28"/>
        </w:rPr>
        <w:t>家，共认定各级高新技术产品</w:t>
      </w:r>
      <w:r>
        <w:rPr>
          <w:rFonts w:ascii="宋体" w:hAnsi="宋体" w:cs="宋体"/>
          <w:color w:val="000000"/>
          <w:kern w:val="0"/>
          <w:sz w:val="28"/>
          <w:szCs w:val="28"/>
        </w:rPr>
        <w:t>337</w:t>
      </w:r>
      <w:r>
        <w:rPr>
          <w:rFonts w:hint="eastAsia" w:ascii="宋体" w:hAnsi="宋体" w:cs="宋体"/>
          <w:color w:val="000000"/>
          <w:kern w:val="0"/>
          <w:sz w:val="28"/>
          <w:szCs w:val="28"/>
        </w:rPr>
        <w:t>个，共申报发明专利</w:t>
      </w:r>
      <w:r>
        <w:rPr>
          <w:rFonts w:ascii="宋体" w:hAnsi="宋体" w:cs="宋体"/>
          <w:color w:val="000000"/>
          <w:kern w:val="0"/>
          <w:sz w:val="28"/>
          <w:szCs w:val="28"/>
        </w:rPr>
        <w:t>2257</w:t>
      </w:r>
      <w:r>
        <w:rPr>
          <w:rFonts w:hint="eastAsia" w:ascii="宋体" w:hAnsi="宋体" w:cs="宋体"/>
          <w:color w:val="000000"/>
          <w:kern w:val="0"/>
          <w:sz w:val="28"/>
          <w:szCs w:val="28"/>
        </w:rPr>
        <w:t>个；</w:t>
      </w:r>
      <w:r>
        <w:rPr>
          <w:rFonts w:ascii="宋体" w:hAnsi="宋体" w:cs="宋体"/>
          <w:color w:val="000000"/>
          <w:kern w:val="0"/>
          <w:sz w:val="28"/>
          <w:szCs w:val="28"/>
        </w:rPr>
        <w:t xml:space="preserve"> </w:t>
      </w:r>
      <w:r>
        <w:rPr>
          <w:rFonts w:hint="eastAsia" w:ascii="宋体" w:hAnsi="宋体" w:cs="宋体"/>
          <w:color w:val="000000"/>
          <w:kern w:val="0"/>
          <w:sz w:val="28"/>
          <w:szCs w:val="28"/>
        </w:rPr>
        <w:t>“十二五”期间街道共引进国家“千人计划”</w:t>
      </w:r>
      <w:r>
        <w:rPr>
          <w:rStyle w:val="14"/>
          <w:rFonts w:ascii="宋体" w:hAnsi="宋体" w:cs="宋体"/>
          <w:color w:val="000000"/>
          <w:kern w:val="0"/>
          <w:sz w:val="28"/>
          <w:szCs w:val="28"/>
        </w:rPr>
        <w:footnoteReference w:id="2"/>
      </w:r>
      <w:r>
        <w:rPr>
          <w:rFonts w:hint="eastAsia" w:ascii="宋体" w:hAnsi="宋体" w:cs="宋体"/>
          <w:color w:val="000000"/>
          <w:kern w:val="0"/>
          <w:sz w:val="28"/>
          <w:szCs w:val="28"/>
        </w:rPr>
        <w:t>人才</w:t>
      </w:r>
      <w:r>
        <w:rPr>
          <w:rFonts w:ascii="宋体" w:hAnsi="宋体" w:cs="宋体"/>
          <w:color w:val="000000"/>
          <w:kern w:val="0"/>
          <w:sz w:val="28"/>
          <w:szCs w:val="28"/>
        </w:rPr>
        <w:t>24</w:t>
      </w:r>
      <w:r>
        <w:rPr>
          <w:rFonts w:hint="eastAsia" w:ascii="宋体" w:hAnsi="宋体" w:cs="宋体"/>
          <w:color w:val="000000"/>
          <w:kern w:val="0"/>
          <w:sz w:val="28"/>
          <w:szCs w:val="28"/>
        </w:rPr>
        <w:t>人，共引进江苏省“双创计划”</w:t>
      </w:r>
      <w:r>
        <w:rPr>
          <w:rStyle w:val="14"/>
          <w:rFonts w:ascii="宋体" w:hAnsi="宋体" w:cs="宋体"/>
          <w:color w:val="000000"/>
          <w:kern w:val="0"/>
          <w:sz w:val="28"/>
          <w:szCs w:val="28"/>
        </w:rPr>
        <w:footnoteReference w:id="3"/>
      </w:r>
      <w:r>
        <w:rPr>
          <w:rFonts w:hint="eastAsia" w:ascii="宋体" w:hAnsi="宋体" w:cs="宋体"/>
          <w:color w:val="000000"/>
          <w:kern w:val="0"/>
          <w:sz w:val="28"/>
          <w:szCs w:val="28"/>
        </w:rPr>
        <w:t>项目</w:t>
      </w:r>
      <w:r>
        <w:rPr>
          <w:rFonts w:ascii="宋体" w:hAnsi="宋体" w:cs="宋体"/>
          <w:color w:val="000000"/>
          <w:kern w:val="0"/>
          <w:sz w:val="28"/>
          <w:szCs w:val="28"/>
        </w:rPr>
        <w:t>25</w:t>
      </w:r>
      <w:r>
        <w:rPr>
          <w:rFonts w:hint="eastAsia" w:ascii="宋体" w:hAnsi="宋体" w:cs="宋体"/>
          <w:color w:val="000000"/>
          <w:kern w:val="0"/>
          <w:sz w:val="28"/>
          <w:szCs w:val="28"/>
        </w:rPr>
        <w:t>个，共引进常州“龙城英才计划”</w:t>
      </w:r>
      <w:r>
        <w:rPr>
          <w:rStyle w:val="14"/>
          <w:rFonts w:ascii="宋体" w:hAnsi="宋体" w:cs="宋体"/>
          <w:color w:val="000000"/>
          <w:kern w:val="0"/>
          <w:sz w:val="28"/>
          <w:szCs w:val="28"/>
        </w:rPr>
        <w:footnoteReference w:id="4"/>
      </w:r>
      <w:r>
        <w:rPr>
          <w:rFonts w:hint="eastAsia" w:ascii="宋体" w:hAnsi="宋体" w:cs="宋体"/>
          <w:color w:val="000000"/>
          <w:kern w:val="0"/>
          <w:sz w:val="28"/>
          <w:szCs w:val="28"/>
        </w:rPr>
        <w:t>项目</w:t>
      </w:r>
      <w:r>
        <w:rPr>
          <w:rFonts w:ascii="宋体" w:hAnsi="宋体" w:cs="宋体"/>
          <w:color w:val="000000"/>
          <w:kern w:val="0"/>
          <w:sz w:val="28"/>
          <w:szCs w:val="28"/>
        </w:rPr>
        <w:t>92</w:t>
      </w:r>
      <w:r>
        <w:rPr>
          <w:rFonts w:hint="eastAsia" w:ascii="宋体" w:hAnsi="宋体" w:cs="宋体"/>
          <w:color w:val="000000"/>
          <w:kern w:val="0"/>
          <w:sz w:val="28"/>
          <w:szCs w:val="28"/>
        </w:rPr>
        <w:t>个。</w:t>
      </w:r>
    </w:p>
    <w:p w14:paraId="05204A37">
      <w:pPr>
        <w:widowControl/>
        <w:spacing w:line="360" w:lineRule="auto"/>
        <w:ind w:firstLine="1680" w:firstLineChars="700"/>
        <w:jc w:val="left"/>
        <w:rPr>
          <w:rFonts w:ascii="黑体" w:hAnsi="宋体" w:eastAsia="黑体" w:cs="宋体"/>
          <w:b/>
          <w:color w:val="000000"/>
          <w:kern w:val="0"/>
          <w:sz w:val="24"/>
        </w:rPr>
      </w:pPr>
      <w:r>
        <w:rPr>
          <w:rFonts w:ascii="黑体" w:hAnsi="宋体" w:eastAsia="黑体" w:cs="宋体"/>
          <w:color w:val="000000"/>
          <w:kern w:val="0"/>
          <w:sz w:val="24"/>
        </w:rPr>
        <w:t xml:space="preserve"> </w:t>
      </w:r>
      <w:r>
        <w:rPr>
          <w:rFonts w:hint="eastAsia" w:ascii="黑体" w:hAnsi="宋体" w:eastAsia="黑体" w:cs="宋体"/>
          <w:b/>
          <w:color w:val="000000"/>
          <w:kern w:val="0"/>
          <w:sz w:val="24"/>
        </w:rPr>
        <w:t>表</w:t>
      </w:r>
      <w:r>
        <w:rPr>
          <w:rFonts w:ascii="黑体" w:hAnsi="宋体" w:eastAsia="黑体" w:cs="宋体"/>
          <w:b/>
          <w:color w:val="000000"/>
          <w:kern w:val="0"/>
          <w:sz w:val="24"/>
        </w:rPr>
        <w:t>2</w:t>
      </w:r>
      <w:r>
        <w:rPr>
          <w:rFonts w:hint="eastAsia" w:ascii="黑体" w:hAnsi="宋体" w:eastAsia="黑体" w:cs="宋体"/>
          <w:b/>
          <w:color w:val="000000"/>
          <w:kern w:val="0"/>
          <w:sz w:val="24"/>
        </w:rPr>
        <w:t>：“十二五”期间街道科技创新情况</w:t>
      </w:r>
    </w:p>
    <w:tbl>
      <w:tblPr>
        <w:tblStyle w:val="10"/>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539"/>
        <w:gridCol w:w="732"/>
        <w:gridCol w:w="921"/>
        <w:gridCol w:w="800"/>
        <w:gridCol w:w="860"/>
        <w:gridCol w:w="860"/>
        <w:gridCol w:w="462"/>
        <w:gridCol w:w="448"/>
      </w:tblGrid>
      <w:tr w14:paraId="2B0997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52" w:type="pct"/>
          </w:tcPr>
          <w:p w14:paraId="0F915FCC">
            <w:pPr>
              <w:widowControl/>
              <w:spacing w:line="0" w:lineRule="atLeast"/>
              <w:ind w:firstLine="420"/>
              <w:jc w:val="left"/>
              <w:rPr>
                <w:rFonts w:ascii="宋体" w:hAnsi="宋体" w:cs="宋体"/>
                <w:color w:val="000000"/>
                <w:kern w:val="0"/>
                <w:szCs w:val="21"/>
              </w:rPr>
            </w:pPr>
            <w:r>
              <w:rPr>
                <w:rFonts w:hint="eastAsia" w:ascii="宋体" w:hAnsi="宋体" w:cs="宋体"/>
                <w:color w:val="000000"/>
                <w:kern w:val="0"/>
                <w:szCs w:val="21"/>
              </w:rPr>
              <w:t>年份</w:t>
            </w:r>
          </w:p>
        </w:tc>
        <w:tc>
          <w:tcPr>
            <w:tcW w:w="424" w:type="pct"/>
          </w:tcPr>
          <w:p w14:paraId="7BD9647C">
            <w:pPr>
              <w:widowControl/>
              <w:spacing w:line="0" w:lineRule="atLeast"/>
              <w:jc w:val="left"/>
              <w:rPr>
                <w:rFonts w:ascii="宋体" w:hAnsi="宋体" w:cs="宋体"/>
                <w:color w:val="000000"/>
                <w:kern w:val="0"/>
                <w:szCs w:val="21"/>
              </w:rPr>
            </w:pPr>
            <w:r>
              <w:rPr>
                <w:rFonts w:ascii="宋体" w:hAnsi="宋体" w:cs="宋体"/>
                <w:color w:val="000000"/>
                <w:kern w:val="0"/>
                <w:szCs w:val="21"/>
              </w:rPr>
              <w:t>2011</w:t>
            </w:r>
          </w:p>
        </w:tc>
        <w:tc>
          <w:tcPr>
            <w:tcW w:w="534" w:type="pct"/>
          </w:tcPr>
          <w:p w14:paraId="05563A0E">
            <w:pPr>
              <w:widowControl/>
              <w:spacing w:line="0" w:lineRule="atLeast"/>
              <w:jc w:val="left"/>
              <w:rPr>
                <w:rFonts w:ascii="宋体" w:hAnsi="宋体" w:cs="宋体"/>
                <w:color w:val="000000"/>
                <w:kern w:val="0"/>
                <w:szCs w:val="21"/>
              </w:rPr>
            </w:pPr>
            <w:r>
              <w:rPr>
                <w:rFonts w:ascii="宋体" w:hAnsi="宋体" w:cs="宋体"/>
                <w:color w:val="000000"/>
                <w:kern w:val="0"/>
                <w:szCs w:val="21"/>
              </w:rPr>
              <w:t>2012</w:t>
            </w:r>
          </w:p>
        </w:tc>
        <w:tc>
          <w:tcPr>
            <w:tcW w:w="464" w:type="pct"/>
          </w:tcPr>
          <w:p w14:paraId="481F3066">
            <w:pPr>
              <w:widowControl/>
              <w:spacing w:line="0" w:lineRule="atLeast"/>
              <w:jc w:val="left"/>
              <w:rPr>
                <w:rFonts w:ascii="宋体" w:hAnsi="宋体" w:cs="宋体"/>
                <w:color w:val="000000"/>
                <w:kern w:val="0"/>
                <w:szCs w:val="21"/>
              </w:rPr>
            </w:pPr>
            <w:r>
              <w:rPr>
                <w:rFonts w:ascii="宋体" w:hAnsi="宋体" w:cs="宋体"/>
                <w:color w:val="000000"/>
                <w:kern w:val="0"/>
                <w:szCs w:val="21"/>
              </w:rPr>
              <w:t>2013</w:t>
            </w:r>
          </w:p>
        </w:tc>
        <w:tc>
          <w:tcPr>
            <w:tcW w:w="499" w:type="pct"/>
          </w:tcPr>
          <w:p w14:paraId="2F907BC1">
            <w:pPr>
              <w:widowControl/>
              <w:spacing w:line="0" w:lineRule="atLeast"/>
              <w:jc w:val="left"/>
              <w:rPr>
                <w:rFonts w:ascii="宋体" w:hAnsi="宋体" w:cs="宋体"/>
                <w:color w:val="000000"/>
                <w:kern w:val="0"/>
                <w:szCs w:val="21"/>
              </w:rPr>
            </w:pPr>
            <w:r>
              <w:rPr>
                <w:rFonts w:ascii="宋体" w:hAnsi="宋体" w:cs="宋体"/>
                <w:color w:val="000000"/>
                <w:kern w:val="0"/>
                <w:szCs w:val="21"/>
              </w:rPr>
              <w:t>2014</w:t>
            </w:r>
          </w:p>
        </w:tc>
        <w:tc>
          <w:tcPr>
            <w:tcW w:w="499" w:type="pct"/>
            <w:tcBorders>
              <w:right w:val="single" w:color="auto" w:sz="4" w:space="0"/>
            </w:tcBorders>
          </w:tcPr>
          <w:p w14:paraId="76358907">
            <w:pPr>
              <w:widowControl/>
              <w:spacing w:line="0" w:lineRule="atLeast"/>
              <w:jc w:val="left"/>
              <w:rPr>
                <w:rFonts w:ascii="宋体" w:hAnsi="宋体" w:cs="宋体"/>
                <w:color w:val="000000"/>
                <w:kern w:val="0"/>
                <w:szCs w:val="21"/>
              </w:rPr>
            </w:pPr>
            <w:r>
              <w:rPr>
                <w:rFonts w:ascii="宋体" w:hAnsi="宋体" w:cs="宋体"/>
                <w:color w:val="000000"/>
                <w:kern w:val="0"/>
                <w:szCs w:val="21"/>
              </w:rPr>
              <w:t>2015</w:t>
            </w:r>
          </w:p>
        </w:tc>
        <w:tc>
          <w:tcPr>
            <w:tcW w:w="528" w:type="pct"/>
            <w:gridSpan w:val="2"/>
            <w:tcBorders>
              <w:left w:val="single" w:color="auto" w:sz="4" w:space="0"/>
            </w:tcBorders>
          </w:tcPr>
          <w:p w14:paraId="0EF970C3">
            <w:pPr>
              <w:widowControl/>
              <w:spacing w:line="0" w:lineRule="atLeast"/>
              <w:jc w:val="left"/>
              <w:rPr>
                <w:rFonts w:ascii="宋体" w:hAnsi="宋体" w:cs="宋体"/>
                <w:color w:val="000000"/>
                <w:kern w:val="0"/>
                <w:szCs w:val="21"/>
              </w:rPr>
            </w:pPr>
            <w:r>
              <w:rPr>
                <w:rFonts w:hint="eastAsia" w:ascii="宋体" w:hAnsi="宋体" w:cs="宋体"/>
                <w:color w:val="000000"/>
                <w:kern w:val="0"/>
                <w:szCs w:val="21"/>
              </w:rPr>
              <w:t>合计</w:t>
            </w:r>
          </w:p>
        </w:tc>
      </w:tr>
      <w:tr w14:paraId="3A3EDD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52" w:type="pct"/>
          </w:tcPr>
          <w:p w14:paraId="25C9C3A2">
            <w:pPr>
              <w:widowControl/>
              <w:spacing w:line="0" w:lineRule="atLeast"/>
              <w:jc w:val="left"/>
              <w:rPr>
                <w:rFonts w:ascii="宋体" w:hAnsi="宋体" w:cs="宋体"/>
                <w:color w:val="000000"/>
                <w:kern w:val="0"/>
                <w:szCs w:val="21"/>
              </w:rPr>
            </w:pPr>
            <w:r>
              <w:rPr>
                <w:rFonts w:hint="eastAsia" w:ascii="宋体" w:hAnsi="宋体" w:cs="宋体"/>
                <w:color w:val="000000"/>
                <w:kern w:val="0"/>
                <w:szCs w:val="21"/>
              </w:rPr>
              <w:t>认定高新技术企业（家）</w:t>
            </w:r>
          </w:p>
        </w:tc>
        <w:tc>
          <w:tcPr>
            <w:tcW w:w="424" w:type="pct"/>
          </w:tcPr>
          <w:p w14:paraId="413C474A">
            <w:pPr>
              <w:widowControl/>
              <w:spacing w:line="0" w:lineRule="atLeast"/>
              <w:jc w:val="left"/>
              <w:rPr>
                <w:rFonts w:ascii="宋体" w:hAnsi="宋体" w:cs="宋体"/>
                <w:color w:val="000000"/>
                <w:kern w:val="0"/>
                <w:szCs w:val="21"/>
              </w:rPr>
            </w:pPr>
            <w:r>
              <w:rPr>
                <w:rFonts w:ascii="宋体" w:hAnsi="宋体" w:cs="宋体"/>
                <w:color w:val="000000"/>
                <w:kern w:val="0"/>
                <w:szCs w:val="21"/>
              </w:rPr>
              <w:t>6</w:t>
            </w:r>
          </w:p>
        </w:tc>
        <w:tc>
          <w:tcPr>
            <w:tcW w:w="534" w:type="pct"/>
          </w:tcPr>
          <w:p w14:paraId="342D9B67">
            <w:pPr>
              <w:widowControl/>
              <w:spacing w:line="0" w:lineRule="atLeast"/>
              <w:jc w:val="left"/>
              <w:rPr>
                <w:rFonts w:ascii="宋体" w:hAnsi="宋体" w:cs="宋体"/>
                <w:color w:val="000000"/>
                <w:kern w:val="0"/>
                <w:szCs w:val="21"/>
              </w:rPr>
            </w:pPr>
            <w:r>
              <w:rPr>
                <w:rFonts w:ascii="宋体" w:hAnsi="宋体" w:cs="宋体"/>
                <w:color w:val="000000"/>
                <w:kern w:val="0"/>
                <w:szCs w:val="21"/>
              </w:rPr>
              <w:t>7</w:t>
            </w:r>
          </w:p>
        </w:tc>
        <w:tc>
          <w:tcPr>
            <w:tcW w:w="464" w:type="pct"/>
          </w:tcPr>
          <w:p w14:paraId="2D14838E">
            <w:pPr>
              <w:widowControl/>
              <w:spacing w:line="0" w:lineRule="atLeast"/>
              <w:jc w:val="left"/>
              <w:rPr>
                <w:rFonts w:ascii="宋体" w:hAnsi="宋体" w:cs="宋体"/>
                <w:color w:val="000000"/>
                <w:kern w:val="0"/>
                <w:szCs w:val="21"/>
              </w:rPr>
            </w:pPr>
            <w:r>
              <w:rPr>
                <w:rFonts w:ascii="宋体" w:hAnsi="宋体" w:cs="宋体"/>
                <w:color w:val="000000"/>
                <w:kern w:val="0"/>
                <w:szCs w:val="21"/>
              </w:rPr>
              <w:t>3</w:t>
            </w:r>
          </w:p>
        </w:tc>
        <w:tc>
          <w:tcPr>
            <w:tcW w:w="499" w:type="pct"/>
          </w:tcPr>
          <w:p w14:paraId="16879A07">
            <w:pPr>
              <w:widowControl/>
              <w:spacing w:line="0" w:lineRule="atLeast"/>
              <w:jc w:val="left"/>
              <w:rPr>
                <w:rFonts w:ascii="宋体" w:hAnsi="宋体" w:cs="宋体"/>
                <w:color w:val="000000"/>
                <w:kern w:val="0"/>
                <w:szCs w:val="21"/>
              </w:rPr>
            </w:pPr>
            <w:r>
              <w:rPr>
                <w:rFonts w:ascii="宋体" w:hAnsi="宋体" w:cs="宋体"/>
                <w:color w:val="000000"/>
                <w:kern w:val="0"/>
                <w:szCs w:val="21"/>
              </w:rPr>
              <w:t>7</w:t>
            </w:r>
          </w:p>
        </w:tc>
        <w:tc>
          <w:tcPr>
            <w:tcW w:w="499" w:type="pct"/>
            <w:tcBorders>
              <w:right w:val="single" w:color="auto" w:sz="4" w:space="0"/>
            </w:tcBorders>
          </w:tcPr>
          <w:p w14:paraId="33E0640C">
            <w:pPr>
              <w:widowControl/>
              <w:spacing w:line="0" w:lineRule="atLeast"/>
              <w:jc w:val="left"/>
              <w:rPr>
                <w:rFonts w:ascii="宋体" w:hAnsi="宋体" w:cs="宋体"/>
                <w:color w:val="000000"/>
                <w:kern w:val="0"/>
                <w:szCs w:val="21"/>
              </w:rPr>
            </w:pPr>
            <w:r>
              <w:rPr>
                <w:rFonts w:ascii="宋体" w:hAnsi="宋体" w:cs="宋体"/>
                <w:color w:val="000000"/>
                <w:kern w:val="0"/>
                <w:szCs w:val="21"/>
              </w:rPr>
              <w:t>3</w:t>
            </w:r>
          </w:p>
        </w:tc>
        <w:tc>
          <w:tcPr>
            <w:tcW w:w="528" w:type="pct"/>
            <w:gridSpan w:val="2"/>
            <w:tcBorders>
              <w:left w:val="single" w:color="auto" w:sz="4" w:space="0"/>
            </w:tcBorders>
          </w:tcPr>
          <w:p w14:paraId="42BFBD27">
            <w:pPr>
              <w:widowControl/>
              <w:spacing w:line="0" w:lineRule="atLeast"/>
              <w:jc w:val="left"/>
              <w:rPr>
                <w:rFonts w:ascii="宋体" w:hAnsi="宋体" w:cs="宋体"/>
                <w:color w:val="000000"/>
                <w:kern w:val="0"/>
                <w:szCs w:val="21"/>
              </w:rPr>
            </w:pPr>
            <w:r>
              <w:rPr>
                <w:rFonts w:ascii="宋体" w:hAnsi="宋体" w:cs="宋体"/>
                <w:color w:val="000000"/>
                <w:kern w:val="0"/>
                <w:szCs w:val="21"/>
              </w:rPr>
              <w:t>26</w:t>
            </w:r>
          </w:p>
        </w:tc>
      </w:tr>
      <w:tr w14:paraId="2E4A2E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3" w:hRule="atLeast"/>
        </w:trPr>
        <w:tc>
          <w:tcPr>
            <w:tcW w:w="2052" w:type="pct"/>
            <w:vMerge w:val="restart"/>
          </w:tcPr>
          <w:p w14:paraId="74241539">
            <w:pPr>
              <w:widowControl/>
              <w:spacing w:line="0" w:lineRule="atLeast"/>
              <w:jc w:val="left"/>
              <w:rPr>
                <w:rFonts w:ascii="宋体" w:hAnsi="宋体" w:cs="宋体"/>
                <w:color w:val="000000"/>
                <w:kern w:val="0"/>
                <w:szCs w:val="21"/>
              </w:rPr>
            </w:pPr>
            <w:r>
              <w:rPr>
                <w:rFonts w:hint="eastAsia" w:ascii="宋体" w:hAnsi="宋体" w:cs="宋体"/>
                <w:color w:val="000000"/>
                <w:kern w:val="0"/>
                <w:szCs w:val="21"/>
              </w:rPr>
              <w:t>认定高新技术产品（个）</w:t>
            </w:r>
          </w:p>
        </w:tc>
        <w:tc>
          <w:tcPr>
            <w:tcW w:w="424" w:type="pct"/>
            <w:vMerge w:val="restart"/>
          </w:tcPr>
          <w:p w14:paraId="59A1DE77">
            <w:pPr>
              <w:widowControl/>
              <w:spacing w:line="0" w:lineRule="atLeast"/>
              <w:jc w:val="left"/>
              <w:rPr>
                <w:rFonts w:ascii="宋体" w:hAnsi="宋体" w:cs="宋体"/>
                <w:color w:val="000000"/>
                <w:kern w:val="0"/>
                <w:szCs w:val="21"/>
              </w:rPr>
            </w:pPr>
            <w:r>
              <w:rPr>
                <w:rFonts w:ascii="宋体" w:hAnsi="宋体" w:cs="宋体"/>
                <w:color w:val="000000"/>
                <w:kern w:val="0"/>
                <w:szCs w:val="21"/>
              </w:rPr>
              <w:t>34</w:t>
            </w:r>
          </w:p>
        </w:tc>
        <w:tc>
          <w:tcPr>
            <w:tcW w:w="534" w:type="pct"/>
            <w:vMerge w:val="restart"/>
          </w:tcPr>
          <w:p w14:paraId="6D079889">
            <w:pPr>
              <w:widowControl/>
              <w:spacing w:line="0" w:lineRule="atLeast"/>
              <w:jc w:val="left"/>
              <w:rPr>
                <w:rFonts w:ascii="宋体" w:hAnsi="宋体" w:cs="宋体"/>
                <w:color w:val="000000"/>
                <w:kern w:val="0"/>
                <w:szCs w:val="21"/>
              </w:rPr>
            </w:pPr>
            <w:r>
              <w:rPr>
                <w:rFonts w:ascii="宋体" w:hAnsi="宋体" w:cs="宋体"/>
                <w:color w:val="000000"/>
                <w:kern w:val="0"/>
                <w:szCs w:val="21"/>
              </w:rPr>
              <w:t>39</w:t>
            </w:r>
          </w:p>
        </w:tc>
        <w:tc>
          <w:tcPr>
            <w:tcW w:w="464" w:type="pct"/>
            <w:tcBorders>
              <w:bottom w:val="single" w:color="auto" w:sz="4" w:space="0"/>
            </w:tcBorders>
          </w:tcPr>
          <w:p w14:paraId="75288BC5">
            <w:pPr>
              <w:widowControl/>
              <w:spacing w:line="0" w:lineRule="atLeast"/>
              <w:jc w:val="left"/>
              <w:rPr>
                <w:rFonts w:ascii="宋体" w:hAnsi="宋体" w:cs="宋体"/>
                <w:color w:val="000000"/>
                <w:kern w:val="0"/>
                <w:szCs w:val="21"/>
              </w:rPr>
            </w:pPr>
            <w:r>
              <w:rPr>
                <w:rFonts w:hint="eastAsia" w:ascii="宋体" w:hAnsi="宋体" w:cs="宋体"/>
                <w:color w:val="000000"/>
                <w:kern w:val="0"/>
                <w:szCs w:val="21"/>
              </w:rPr>
              <w:t>省：</w:t>
            </w:r>
            <w:r>
              <w:rPr>
                <w:rFonts w:ascii="宋体" w:hAnsi="宋体" w:cs="宋体"/>
                <w:color w:val="000000"/>
                <w:kern w:val="0"/>
                <w:szCs w:val="21"/>
              </w:rPr>
              <w:t>30</w:t>
            </w:r>
          </w:p>
        </w:tc>
        <w:tc>
          <w:tcPr>
            <w:tcW w:w="499" w:type="pct"/>
            <w:tcBorders>
              <w:bottom w:val="single" w:color="auto" w:sz="4" w:space="0"/>
            </w:tcBorders>
          </w:tcPr>
          <w:p w14:paraId="1BA307D7">
            <w:pPr>
              <w:widowControl/>
              <w:spacing w:line="0" w:lineRule="atLeast"/>
              <w:jc w:val="left"/>
              <w:rPr>
                <w:rFonts w:ascii="宋体" w:hAnsi="宋体" w:cs="宋体"/>
                <w:color w:val="000000"/>
                <w:kern w:val="0"/>
                <w:szCs w:val="21"/>
              </w:rPr>
            </w:pPr>
            <w:r>
              <w:rPr>
                <w:rFonts w:hint="eastAsia" w:ascii="宋体" w:hAnsi="宋体" w:cs="宋体"/>
                <w:color w:val="000000"/>
                <w:kern w:val="0"/>
                <w:szCs w:val="21"/>
              </w:rPr>
              <w:t>省：</w:t>
            </w:r>
            <w:r>
              <w:rPr>
                <w:rFonts w:ascii="宋体" w:hAnsi="宋体" w:cs="宋体"/>
                <w:color w:val="000000"/>
                <w:kern w:val="0"/>
                <w:szCs w:val="21"/>
              </w:rPr>
              <w:t>58</w:t>
            </w:r>
          </w:p>
        </w:tc>
        <w:tc>
          <w:tcPr>
            <w:tcW w:w="499" w:type="pct"/>
            <w:tcBorders>
              <w:bottom w:val="single" w:color="auto" w:sz="4" w:space="0"/>
              <w:right w:val="single" w:color="auto" w:sz="4" w:space="0"/>
            </w:tcBorders>
          </w:tcPr>
          <w:p w14:paraId="02092948">
            <w:pPr>
              <w:widowControl/>
              <w:spacing w:line="0" w:lineRule="atLeast"/>
              <w:jc w:val="left"/>
              <w:rPr>
                <w:rFonts w:ascii="宋体" w:hAnsi="宋体" w:cs="宋体"/>
                <w:color w:val="000000"/>
                <w:kern w:val="0"/>
                <w:szCs w:val="21"/>
              </w:rPr>
            </w:pPr>
            <w:r>
              <w:rPr>
                <w:rFonts w:hint="eastAsia" w:ascii="宋体" w:hAnsi="宋体" w:cs="宋体"/>
                <w:color w:val="000000"/>
                <w:kern w:val="0"/>
                <w:szCs w:val="21"/>
              </w:rPr>
              <w:t>省：</w:t>
            </w:r>
            <w:r>
              <w:rPr>
                <w:rFonts w:ascii="宋体" w:hAnsi="宋体" w:cs="宋体"/>
                <w:color w:val="000000"/>
                <w:kern w:val="0"/>
                <w:szCs w:val="21"/>
              </w:rPr>
              <w:t>62</w:t>
            </w:r>
          </w:p>
        </w:tc>
        <w:tc>
          <w:tcPr>
            <w:tcW w:w="528" w:type="pct"/>
            <w:gridSpan w:val="2"/>
            <w:vMerge w:val="restart"/>
            <w:tcBorders>
              <w:left w:val="single" w:color="auto" w:sz="4" w:space="0"/>
            </w:tcBorders>
          </w:tcPr>
          <w:p w14:paraId="068856E2">
            <w:pPr>
              <w:widowControl/>
              <w:spacing w:line="0" w:lineRule="atLeast"/>
              <w:jc w:val="left"/>
              <w:rPr>
                <w:rFonts w:ascii="宋体" w:hAnsi="宋体" w:cs="宋体"/>
                <w:color w:val="000000"/>
                <w:kern w:val="0"/>
                <w:szCs w:val="21"/>
              </w:rPr>
            </w:pPr>
            <w:r>
              <w:rPr>
                <w:rFonts w:ascii="宋体" w:hAnsi="宋体" w:cs="宋体"/>
                <w:color w:val="000000"/>
                <w:kern w:val="0"/>
                <w:szCs w:val="21"/>
              </w:rPr>
              <w:t>337</w:t>
            </w:r>
          </w:p>
        </w:tc>
      </w:tr>
      <w:tr w14:paraId="70BE2E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8" w:hRule="atLeast"/>
        </w:trPr>
        <w:tc>
          <w:tcPr>
            <w:tcW w:w="2052" w:type="pct"/>
            <w:vMerge w:val="continue"/>
          </w:tcPr>
          <w:p w14:paraId="32757C24">
            <w:pPr>
              <w:widowControl/>
              <w:spacing w:line="0" w:lineRule="atLeast"/>
              <w:jc w:val="left"/>
              <w:rPr>
                <w:rFonts w:ascii="宋体" w:hAnsi="宋体" w:cs="宋体"/>
                <w:color w:val="000000"/>
                <w:kern w:val="0"/>
                <w:szCs w:val="21"/>
              </w:rPr>
            </w:pPr>
          </w:p>
        </w:tc>
        <w:tc>
          <w:tcPr>
            <w:tcW w:w="424" w:type="pct"/>
            <w:vMerge w:val="continue"/>
          </w:tcPr>
          <w:p w14:paraId="69332CF6">
            <w:pPr>
              <w:widowControl/>
              <w:spacing w:line="0" w:lineRule="atLeast"/>
              <w:jc w:val="left"/>
              <w:rPr>
                <w:rFonts w:ascii="宋体" w:hAnsi="宋体" w:cs="宋体"/>
                <w:color w:val="000000"/>
                <w:kern w:val="0"/>
                <w:szCs w:val="21"/>
              </w:rPr>
            </w:pPr>
          </w:p>
        </w:tc>
        <w:tc>
          <w:tcPr>
            <w:tcW w:w="534" w:type="pct"/>
            <w:vMerge w:val="continue"/>
          </w:tcPr>
          <w:p w14:paraId="6C9273B1">
            <w:pPr>
              <w:widowControl/>
              <w:spacing w:line="0" w:lineRule="atLeast"/>
              <w:jc w:val="left"/>
              <w:rPr>
                <w:rFonts w:ascii="宋体" w:hAnsi="宋体" w:cs="宋体"/>
                <w:color w:val="000000"/>
                <w:kern w:val="0"/>
                <w:szCs w:val="21"/>
              </w:rPr>
            </w:pPr>
          </w:p>
        </w:tc>
        <w:tc>
          <w:tcPr>
            <w:tcW w:w="464" w:type="pct"/>
            <w:tcBorders>
              <w:top w:val="single" w:color="auto" w:sz="4" w:space="0"/>
            </w:tcBorders>
          </w:tcPr>
          <w:p w14:paraId="496C3181">
            <w:pPr>
              <w:spacing w:line="0" w:lineRule="atLeast"/>
              <w:jc w:val="left"/>
              <w:rPr>
                <w:rFonts w:ascii="宋体" w:hAnsi="宋体" w:cs="宋体"/>
                <w:color w:val="000000"/>
                <w:kern w:val="0"/>
                <w:szCs w:val="21"/>
              </w:rPr>
            </w:pPr>
            <w:r>
              <w:rPr>
                <w:rFonts w:hint="eastAsia" w:ascii="宋体" w:hAnsi="宋体" w:cs="宋体"/>
                <w:color w:val="000000"/>
                <w:kern w:val="0"/>
                <w:szCs w:val="21"/>
              </w:rPr>
              <w:t>市：</w:t>
            </w:r>
            <w:r>
              <w:rPr>
                <w:rFonts w:ascii="宋体" w:hAnsi="宋体" w:cs="宋体"/>
                <w:color w:val="000000"/>
                <w:kern w:val="0"/>
                <w:szCs w:val="21"/>
              </w:rPr>
              <w:t>59</w:t>
            </w:r>
          </w:p>
        </w:tc>
        <w:tc>
          <w:tcPr>
            <w:tcW w:w="499" w:type="pct"/>
            <w:tcBorders>
              <w:top w:val="single" w:color="auto" w:sz="4" w:space="0"/>
            </w:tcBorders>
          </w:tcPr>
          <w:p w14:paraId="2686462D">
            <w:pPr>
              <w:spacing w:line="0" w:lineRule="atLeast"/>
              <w:jc w:val="left"/>
              <w:rPr>
                <w:rFonts w:ascii="宋体" w:hAnsi="宋体" w:cs="宋体"/>
                <w:color w:val="000000"/>
                <w:kern w:val="0"/>
                <w:szCs w:val="21"/>
              </w:rPr>
            </w:pPr>
            <w:r>
              <w:rPr>
                <w:rFonts w:hint="eastAsia" w:ascii="宋体" w:hAnsi="宋体" w:cs="宋体"/>
                <w:color w:val="000000"/>
                <w:kern w:val="0"/>
                <w:szCs w:val="21"/>
              </w:rPr>
              <w:t>市：</w:t>
            </w:r>
            <w:r>
              <w:rPr>
                <w:rFonts w:ascii="宋体" w:hAnsi="宋体" w:cs="宋体"/>
                <w:color w:val="000000"/>
                <w:kern w:val="0"/>
                <w:szCs w:val="21"/>
              </w:rPr>
              <w:t>35</w:t>
            </w:r>
          </w:p>
        </w:tc>
        <w:tc>
          <w:tcPr>
            <w:tcW w:w="499" w:type="pct"/>
            <w:tcBorders>
              <w:top w:val="single" w:color="auto" w:sz="4" w:space="0"/>
              <w:right w:val="single" w:color="auto" w:sz="4" w:space="0"/>
            </w:tcBorders>
          </w:tcPr>
          <w:p w14:paraId="6387011B">
            <w:pPr>
              <w:spacing w:line="0" w:lineRule="atLeast"/>
              <w:jc w:val="left"/>
              <w:rPr>
                <w:rFonts w:ascii="宋体" w:hAnsi="宋体" w:cs="宋体"/>
                <w:color w:val="000000"/>
                <w:kern w:val="0"/>
                <w:szCs w:val="21"/>
              </w:rPr>
            </w:pPr>
            <w:r>
              <w:rPr>
                <w:rFonts w:hint="eastAsia" w:ascii="宋体" w:hAnsi="宋体" w:cs="宋体"/>
                <w:color w:val="000000"/>
                <w:kern w:val="0"/>
                <w:szCs w:val="21"/>
              </w:rPr>
              <w:t>市：</w:t>
            </w:r>
            <w:r>
              <w:rPr>
                <w:rFonts w:ascii="宋体" w:hAnsi="宋体" w:cs="宋体"/>
                <w:color w:val="000000"/>
                <w:kern w:val="0"/>
                <w:szCs w:val="21"/>
              </w:rPr>
              <w:t>20</w:t>
            </w:r>
          </w:p>
        </w:tc>
        <w:tc>
          <w:tcPr>
            <w:tcW w:w="528" w:type="pct"/>
            <w:gridSpan w:val="2"/>
            <w:vMerge w:val="continue"/>
            <w:tcBorders>
              <w:left w:val="single" w:color="auto" w:sz="4" w:space="0"/>
            </w:tcBorders>
          </w:tcPr>
          <w:p w14:paraId="430888C7">
            <w:pPr>
              <w:spacing w:line="0" w:lineRule="atLeast"/>
              <w:jc w:val="left"/>
              <w:rPr>
                <w:rFonts w:ascii="宋体" w:hAnsi="宋体" w:cs="宋体"/>
                <w:color w:val="000000"/>
                <w:kern w:val="0"/>
                <w:szCs w:val="21"/>
              </w:rPr>
            </w:pPr>
          </w:p>
        </w:tc>
      </w:tr>
      <w:tr w14:paraId="2EB50E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52" w:type="pct"/>
          </w:tcPr>
          <w:p w14:paraId="19C04910">
            <w:pPr>
              <w:widowControl/>
              <w:spacing w:line="0" w:lineRule="atLeast"/>
              <w:jc w:val="left"/>
              <w:rPr>
                <w:rFonts w:ascii="宋体" w:hAnsi="宋体" w:cs="宋体"/>
                <w:color w:val="000000"/>
                <w:kern w:val="0"/>
                <w:szCs w:val="21"/>
              </w:rPr>
            </w:pPr>
            <w:r>
              <w:rPr>
                <w:rFonts w:hint="eastAsia" w:ascii="宋体" w:hAnsi="宋体" w:cs="宋体"/>
                <w:color w:val="000000"/>
                <w:kern w:val="0"/>
                <w:szCs w:val="21"/>
              </w:rPr>
              <w:t>申报发明专利（个）</w:t>
            </w:r>
          </w:p>
        </w:tc>
        <w:tc>
          <w:tcPr>
            <w:tcW w:w="424" w:type="pct"/>
          </w:tcPr>
          <w:p w14:paraId="2C69C944">
            <w:pPr>
              <w:widowControl/>
              <w:spacing w:line="0" w:lineRule="atLeast"/>
              <w:jc w:val="left"/>
              <w:rPr>
                <w:rFonts w:ascii="宋体" w:hAnsi="宋体" w:cs="宋体"/>
                <w:color w:val="000000"/>
                <w:kern w:val="0"/>
                <w:szCs w:val="21"/>
              </w:rPr>
            </w:pPr>
            <w:r>
              <w:rPr>
                <w:rFonts w:ascii="宋体" w:hAnsi="宋体" w:cs="宋体"/>
                <w:color w:val="000000"/>
                <w:kern w:val="0"/>
                <w:szCs w:val="21"/>
              </w:rPr>
              <w:t>174</w:t>
            </w:r>
          </w:p>
        </w:tc>
        <w:tc>
          <w:tcPr>
            <w:tcW w:w="534" w:type="pct"/>
          </w:tcPr>
          <w:p w14:paraId="22172A1B">
            <w:pPr>
              <w:widowControl/>
              <w:spacing w:line="0" w:lineRule="atLeast"/>
              <w:jc w:val="left"/>
              <w:rPr>
                <w:rFonts w:ascii="宋体" w:hAnsi="宋体" w:cs="宋体"/>
                <w:color w:val="000000"/>
                <w:kern w:val="0"/>
                <w:szCs w:val="21"/>
              </w:rPr>
            </w:pPr>
            <w:r>
              <w:rPr>
                <w:rFonts w:ascii="宋体" w:hAnsi="宋体" w:cs="宋体"/>
                <w:color w:val="000000"/>
                <w:kern w:val="0"/>
                <w:szCs w:val="21"/>
              </w:rPr>
              <w:t>179</w:t>
            </w:r>
          </w:p>
        </w:tc>
        <w:tc>
          <w:tcPr>
            <w:tcW w:w="464" w:type="pct"/>
          </w:tcPr>
          <w:p w14:paraId="29DE1312">
            <w:pPr>
              <w:widowControl/>
              <w:spacing w:line="0" w:lineRule="atLeast"/>
              <w:jc w:val="left"/>
              <w:rPr>
                <w:rFonts w:ascii="宋体" w:hAnsi="宋体" w:cs="宋体"/>
                <w:color w:val="000000"/>
                <w:kern w:val="0"/>
                <w:szCs w:val="21"/>
              </w:rPr>
            </w:pPr>
            <w:r>
              <w:rPr>
                <w:rFonts w:ascii="宋体" w:hAnsi="宋体" w:cs="宋体"/>
                <w:color w:val="000000"/>
                <w:kern w:val="0"/>
                <w:szCs w:val="21"/>
              </w:rPr>
              <w:t>424</w:t>
            </w:r>
          </w:p>
        </w:tc>
        <w:tc>
          <w:tcPr>
            <w:tcW w:w="499" w:type="pct"/>
          </w:tcPr>
          <w:p w14:paraId="1924CD0E">
            <w:pPr>
              <w:widowControl/>
              <w:spacing w:line="0" w:lineRule="atLeast"/>
              <w:jc w:val="left"/>
              <w:rPr>
                <w:rFonts w:ascii="宋体" w:hAnsi="宋体" w:cs="宋体"/>
                <w:color w:val="000000"/>
                <w:kern w:val="0"/>
                <w:szCs w:val="21"/>
              </w:rPr>
            </w:pPr>
            <w:r>
              <w:rPr>
                <w:rFonts w:ascii="宋体" w:hAnsi="宋体" w:cs="宋体"/>
                <w:color w:val="000000"/>
                <w:kern w:val="0"/>
                <w:szCs w:val="21"/>
              </w:rPr>
              <w:t>730</w:t>
            </w:r>
          </w:p>
        </w:tc>
        <w:tc>
          <w:tcPr>
            <w:tcW w:w="499" w:type="pct"/>
            <w:tcBorders>
              <w:right w:val="single" w:color="auto" w:sz="4" w:space="0"/>
            </w:tcBorders>
          </w:tcPr>
          <w:p w14:paraId="0E385079">
            <w:pPr>
              <w:widowControl/>
              <w:spacing w:line="0" w:lineRule="atLeast"/>
              <w:jc w:val="left"/>
              <w:rPr>
                <w:rFonts w:ascii="宋体" w:hAnsi="宋体" w:cs="宋体"/>
                <w:color w:val="000000"/>
                <w:kern w:val="0"/>
                <w:szCs w:val="21"/>
              </w:rPr>
            </w:pPr>
            <w:r>
              <w:rPr>
                <w:rFonts w:ascii="宋体" w:hAnsi="宋体" w:cs="宋体"/>
                <w:color w:val="000000"/>
                <w:kern w:val="0"/>
                <w:szCs w:val="21"/>
              </w:rPr>
              <w:t>750</w:t>
            </w:r>
          </w:p>
        </w:tc>
        <w:tc>
          <w:tcPr>
            <w:tcW w:w="528" w:type="pct"/>
            <w:gridSpan w:val="2"/>
            <w:tcBorders>
              <w:left w:val="single" w:color="auto" w:sz="4" w:space="0"/>
            </w:tcBorders>
          </w:tcPr>
          <w:p w14:paraId="227D13CF">
            <w:pPr>
              <w:widowControl/>
              <w:spacing w:line="0" w:lineRule="atLeast"/>
              <w:jc w:val="left"/>
              <w:rPr>
                <w:rFonts w:ascii="宋体" w:hAnsi="宋体" w:cs="宋体"/>
                <w:color w:val="000000"/>
                <w:kern w:val="0"/>
                <w:szCs w:val="21"/>
              </w:rPr>
            </w:pPr>
            <w:r>
              <w:rPr>
                <w:rFonts w:ascii="宋体" w:hAnsi="宋体" w:cs="宋体"/>
                <w:color w:val="000000"/>
                <w:kern w:val="0"/>
                <w:szCs w:val="21"/>
              </w:rPr>
              <w:t>2257</w:t>
            </w:r>
          </w:p>
        </w:tc>
      </w:tr>
      <w:tr w14:paraId="678711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52" w:type="pct"/>
          </w:tcPr>
          <w:p w14:paraId="18E4BCF9">
            <w:pPr>
              <w:widowControl/>
              <w:spacing w:line="0" w:lineRule="atLeast"/>
              <w:jc w:val="left"/>
              <w:rPr>
                <w:rFonts w:ascii="宋体" w:hAnsi="宋体" w:cs="宋体"/>
                <w:color w:val="000000"/>
                <w:kern w:val="0"/>
                <w:szCs w:val="21"/>
              </w:rPr>
            </w:pPr>
            <w:r>
              <w:rPr>
                <w:rFonts w:hint="eastAsia" w:ascii="宋体" w:hAnsi="宋体" w:cs="宋体"/>
                <w:color w:val="000000"/>
                <w:kern w:val="0"/>
                <w:szCs w:val="21"/>
              </w:rPr>
              <w:t>引进国家“千人计划”人才（个）</w:t>
            </w:r>
          </w:p>
        </w:tc>
        <w:tc>
          <w:tcPr>
            <w:tcW w:w="424" w:type="pct"/>
          </w:tcPr>
          <w:p w14:paraId="2B0089CC">
            <w:pPr>
              <w:widowControl/>
              <w:spacing w:line="0" w:lineRule="atLeast"/>
              <w:jc w:val="left"/>
              <w:rPr>
                <w:rFonts w:ascii="宋体" w:hAnsi="宋体" w:cs="宋体"/>
                <w:color w:val="000000"/>
                <w:kern w:val="0"/>
                <w:szCs w:val="21"/>
              </w:rPr>
            </w:pPr>
            <w:r>
              <w:rPr>
                <w:rFonts w:ascii="宋体" w:hAnsi="宋体" w:cs="宋体"/>
                <w:color w:val="000000"/>
                <w:kern w:val="0"/>
                <w:szCs w:val="21"/>
              </w:rPr>
              <w:t>1</w:t>
            </w:r>
          </w:p>
        </w:tc>
        <w:tc>
          <w:tcPr>
            <w:tcW w:w="534" w:type="pct"/>
          </w:tcPr>
          <w:p w14:paraId="478FD06F">
            <w:pPr>
              <w:widowControl/>
              <w:spacing w:line="0" w:lineRule="atLeast"/>
              <w:jc w:val="left"/>
              <w:rPr>
                <w:rFonts w:ascii="宋体" w:hAnsi="宋体" w:cs="宋体"/>
                <w:color w:val="000000"/>
                <w:kern w:val="0"/>
                <w:szCs w:val="21"/>
              </w:rPr>
            </w:pPr>
            <w:r>
              <w:rPr>
                <w:rFonts w:ascii="宋体" w:hAnsi="宋体" w:cs="宋体"/>
                <w:color w:val="000000"/>
                <w:kern w:val="0"/>
                <w:szCs w:val="21"/>
              </w:rPr>
              <w:t>1</w:t>
            </w:r>
          </w:p>
        </w:tc>
        <w:tc>
          <w:tcPr>
            <w:tcW w:w="464" w:type="pct"/>
          </w:tcPr>
          <w:p w14:paraId="2D056270">
            <w:pPr>
              <w:widowControl/>
              <w:spacing w:line="0" w:lineRule="atLeast"/>
              <w:jc w:val="left"/>
              <w:rPr>
                <w:rFonts w:ascii="宋体" w:hAnsi="宋体" w:cs="宋体"/>
                <w:color w:val="000000"/>
                <w:kern w:val="0"/>
                <w:szCs w:val="21"/>
              </w:rPr>
            </w:pPr>
            <w:r>
              <w:rPr>
                <w:rFonts w:ascii="宋体" w:hAnsi="宋体" w:cs="宋体"/>
                <w:color w:val="000000"/>
                <w:kern w:val="0"/>
                <w:szCs w:val="21"/>
              </w:rPr>
              <w:t>8</w:t>
            </w:r>
          </w:p>
        </w:tc>
        <w:tc>
          <w:tcPr>
            <w:tcW w:w="499" w:type="pct"/>
          </w:tcPr>
          <w:p w14:paraId="63323B39">
            <w:pPr>
              <w:widowControl/>
              <w:spacing w:line="0" w:lineRule="atLeast"/>
              <w:jc w:val="left"/>
              <w:rPr>
                <w:rFonts w:ascii="宋体" w:hAnsi="宋体" w:cs="宋体"/>
                <w:color w:val="000000"/>
                <w:kern w:val="0"/>
                <w:szCs w:val="21"/>
              </w:rPr>
            </w:pPr>
            <w:r>
              <w:rPr>
                <w:rFonts w:ascii="宋体" w:hAnsi="宋体" w:cs="宋体"/>
                <w:color w:val="000000"/>
                <w:kern w:val="0"/>
                <w:szCs w:val="21"/>
              </w:rPr>
              <w:t>14</w:t>
            </w:r>
          </w:p>
        </w:tc>
        <w:tc>
          <w:tcPr>
            <w:tcW w:w="499" w:type="pct"/>
            <w:tcBorders>
              <w:right w:val="single" w:color="auto" w:sz="4" w:space="0"/>
            </w:tcBorders>
          </w:tcPr>
          <w:p w14:paraId="2E1B1666">
            <w:pPr>
              <w:widowControl/>
              <w:spacing w:line="0" w:lineRule="atLeast"/>
              <w:jc w:val="left"/>
              <w:rPr>
                <w:rFonts w:ascii="宋体" w:hAnsi="宋体" w:cs="宋体"/>
                <w:color w:val="000000"/>
                <w:kern w:val="0"/>
                <w:szCs w:val="21"/>
              </w:rPr>
            </w:pPr>
            <w:r>
              <w:rPr>
                <w:rFonts w:ascii="宋体" w:hAnsi="宋体" w:cs="宋体"/>
                <w:color w:val="000000"/>
                <w:kern w:val="0"/>
                <w:szCs w:val="21"/>
              </w:rPr>
              <w:t>0</w:t>
            </w:r>
          </w:p>
        </w:tc>
        <w:tc>
          <w:tcPr>
            <w:tcW w:w="528" w:type="pct"/>
            <w:gridSpan w:val="2"/>
            <w:tcBorders>
              <w:left w:val="single" w:color="auto" w:sz="4" w:space="0"/>
            </w:tcBorders>
          </w:tcPr>
          <w:p w14:paraId="489FE2BD">
            <w:pPr>
              <w:widowControl/>
              <w:spacing w:line="0" w:lineRule="atLeast"/>
              <w:jc w:val="left"/>
              <w:rPr>
                <w:rFonts w:ascii="宋体" w:hAnsi="宋体" w:cs="宋体"/>
                <w:color w:val="000000"/>
                <w:kern w:val="0"/>
                <w:szCs w:val="21"/>
              </w:rPr>
            </w:pPr>
            <w:r>
              <w:rPr>
                <w:rFonts w:ascii="宋体" w:hAnsi="宋体" w:cs="宋体"/>
                <w:color w:val="000000"/>
                <w:kern w:val="0"/>
                <w:szCs w:val="21"/>
              </w:rPr>
              <w:t>24</w:t>
            </w:r>
          </w:p>
        </w:tc>
      </w:tr>
      <w:tr w14:paraId="2DD438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9" w:hRule="atLeast"/>
        </w:trPr>
        <w:tc>
          <w:tcPr>
            <w:tcW w:w="2052" w:type="pct"/>
            <w:vMerge w:val="restart"/>
          </w:tcPr>
          <w:p w14:paraId="03BDBE17">
            <w:pPr>
              <w:widowControl/>
              <w:spacing w:line="0" w:lineRule="atLeast"/>
              <w:jc w:val="left"/>
              <w:rPr>
                <w:rFonts w:ascii="宋体" w:hAnsi="宋体" w:cs="宋体"/>
                <w:color w:val="000000"/>
                <w:kern w:val="0"/>
                <w:szCs w:val="21"/>
              </w:rPr>
            </w:pPr>
            <w:r>
              <w:rPr>
                <w:rFonts w:hint="eastAsia" w:ascii="宋体" w:hAnsi="宋体" w:cs="宋体"/>
                <w:color w:val="000000"/>
                <w:kern w:val="0"/>
                <w:szCs w:val="21"/>
              </w:rPr>
              <w:t>引进江苏“双创计划”项目（个）</w:t>
            </w:r>
          </w:p>
        </w:tc>
        <w:tc>
          <w:tcPr>
            <w:tcW w:w="424" w:type="pct"/>
            <w:tcBorders>
              <w:bottom w:val="single" w:color="auto" w:sz="4" w:space="0"/>
            </w:tcBorders>
          </w:tcPr>
          <w:p w14:paraId="48B26F67">
            <w:pPr>
              <w:spacing w:line="0" w:lineRule="atLeast"/>
              <w:ind w:left="31" w:leftChars="-30" w:right="-69" w:rightChars="-33" w:hanging="94" w:hangingChars="45"/>
              <w:jc w:val="left"/>
              <w:rPr>
                <w:rFonts w:ascii="宋体" w:hAnsi="宋体" w:cs="宋体"/>
                <w:color w:val="000000"/>
                <w:kern w:val="0"/>
                <w:szCs w:val="21"/>
              </w:rPr>
            </w:pPr>
            <w:r>
              <w:rPr>
                <w:rFonts w:hint="eastAsia" w:ascii="宋体" w:hAnsi="宋体" w:cs="宋体"/>
                <w:color w:val="000000"/>
                <w:kern w:val="0"/>
                <w:szCs w:val="21"/>
              </w:rPr>
              <w:t>双创</w:t>
            </w:r>
            <w:r>
              <w:rPr>
                <w:rFonts w:ascii="宋体" w:hAnsi="宋体" w:cs="宋体"/>
                <w:color w:val="000000"/>
                <w:kern w:val="0"/>
                <w:szCs w:val="21"/>
              </w:rPr>
              <w:t>:0</w:t>
            </w:r>
          </w:p>
        </w:tc>
        <w:tc>
          <w:tcPr>
            <w:tcW w:w="534" w:type="pct"/>
            <w:tcBorders>
              <w:bottom w:val="single" w:color="auto" w:sz="4" w:space="0"/>
            </w:tcBorders>
          </w:tcPr>
          <w:p w14:paraId="286A4BF5">
            <w:pPr>
              <w:spacing w:line="0" w:lineRule="atLeast"/>
              <w:jc w:val="left"/>
              <w:rPr>
                <w:rFonts w:ascii="宋体" w:hAnsi="宋体" w:cs="宋体"/>
                <w:color w:val="000000"/>
                <w:kern w:val="0"/>
                <w:szCs w:val="21"/>
              </w:rPr>
            </w:pPr>
            <w:r>
              <w:rPr>
                <w:rFonts w:hint="eastAsia" w:ascii="宋体" w:hAnsi="宋体" w:cs="宋体"/>
                <w:color w:val="000000"/>
                <w:kern w:val="0"/>
                <w:szCs w:val="21"/>
              </w:rPr>
              <w:t>双创</w:t>
            </w:r>
            <w:r>
              <w:rPr>
                <w:rFonts w:ascii="宋体" w:hAnsi="宋体" w:cs="宋体"/>
                <w:color w:val="000000"/>
                <w:kern w:val="0"/>
                <w:szCs w:val="21"/>
              </w:rPr>
              <w:t>:2</w:t>
            </w:r>
          </w:p>
        </w:tc>
        <w:tc>
          <w:tcPr>
            <w:tcW w:w="464" w:type="pct"/>
            <w:tcBorders>
              <w:bottom w:val="single" w:color="auto" w:sz="4" w:space="0"/>
            </w:tcBorders>
          </w:tcPr>
          <w:p w14:paraId="3A69ADAE">
            <w:pPr>
              <w:spacing w:line="0" w:lineRule="atLeast"/>
              <w:ind w:left="59" w:leftChars="-2" w:right="-69" w:rightChars="-33" w:hanging="63" w:hangingChars="30"/>
              <w:jc w:val="left"/>
              <w:rPr>
                <w:rFonts w:ascii="宋体" w:hAnsi="宋体" w:cs="宋体"/>
                <w:color w:val="000000"/>
                <w:kern w:val="0"/>
                <w:szCs w:val="21"/>
              </w:rPr>
            </w:pPr>
            <w:r>
              <w:rPr>
                <w:rFonts w:hint="eastAsia" w:ascii="宋体" w:hAnsi="宋体" w:cs="宋体"/>
                <w:color w:val="000000"/>
                <w:kern w:val="0"/>
                <w:szCs w:val="21"/>
              </w:rPr>
              <w:t>双创</w:t>
            </w:r>
            <w:r>
              <w:rPr>
                <w:rFonts w:ascii="宋体" w:hAnsi="宋体" w:cs="宋体"/>
                <w:color w:val="000000"/>
                <w:kern w:val="0"/>
                <w:szCs w:val="21"/>
              </w:rPr>
              <w:t>:2</w:t>
            </w:r>
          </w:p>
        </w:tc>
        <w:tc>
          <w:tcPr>
            <w:tcW w:w="499" w:type="pct"/>
            <w:tcBorders>
              <w:bottom w:val="single" w:color="auto" w:sz="4" w:space="0"/>
            </w:tcBorders>
          </w:tcPr>
          <w:p w14:paraId="2EB97C1D">
            <w:pPr>
              <w:spacing w:line="0" w:lineRule="atLeast"/>
              <w:ind w:left="41" w:leftChars="-39" w:hanging="123" w:hangingChars="59"/>
              <w:jc w:val="left"/>
              <w:rPr>
                <w:rFonts w:ascii="宋体" w:hAnsi="宋体" w:cs="宋体"/>
                <w:color w:val="000000"/>
                <w:kern w:val="0"/>
                <w:szCs w:val="21"/>
              </w:rPr>
            </w:pPr>
            <w:r>
              <w:rPr>
                <w:rFonts w:hint="eastAsia" w:ascii="宋体" w:hAnsi="宋体" w:cs="宋体"/>
                <w:color w:val="000000"/>
                <w:kern w:val="0"/>
                <w:szCs w:val="21"/>
              </w:rPr>
              <w:t>双创</w:t>
            </w:r>
            <w:r>
              <w:rPr>
                <w:rFonts w:ascii="宋体" w:hAnsi="宋体" w:cs="宋体"/>
                <w:color w:val="000000"/>
                <w:kern w:val="0"/>
                <w:szCs w:val="21"/>
              </w:rPr>
              <w:t>:5</w:t>
            </w:r>
          </w:p>
        </w:tc>
        <w:tc>
          <w:tcPr>
            <w:tcW w:w="499" w:type="pct"/>
            <w:tcBorders>
              <w:bottom w:val="single" w:color="auto" w:sz="4" w:space="0"/>
              <w:right w:val="single" w:color="auto" w:sz="4" w:space="0"/>
            </w:tcBorders>
          </w:tcPr>
          <w:p w14:paraId="1AC783A6">
            <w:pPr>
              <w:spacing w:line="0" w:lineRule="atLeast"/>
              <w:ind w:left="36" w:leftChars="-34" w:hanging="107" w:hangingChars="51"/>
              <w:jc w:val="left"/>
              <w:rPr>
                <w:rFonts w:ascii="宋体" w:hAnsi="宋体" w:cs="宋体"/>
                <w:color w:val="000000"/>
                <w:kern w:val="0"/>
                <w:szCs w:val="21"/>
              </w:rPr>
            </w:pPr>
            <w:r>
              <w:rPr>
                <w:rFonts w:hint="eastAsia" w:ascii="宋体" w:hAnsi="宋体" w:cs="宋体"/>
                <w:color w:val="000000"/>
                <w:kern w:val="0"/>
                <w:szCs w:val="21"/>
              </w:rPr>
              <w:t>双创</w:t>
            </w:r>
            <w:r>
              <w:rPr>
                <w:rFonts w:ascii="宋体" w:hAnsi="宋体" w:cs="宋体"/>
                <w:color w:val="000000"/>
                <w:kern w:val="0"/>
                <w:szCs w:val="21"/>
              </w:rPr>
              <w:t>:3</w:t>
            </w:r>
          </w:p>
        </w:tc>
        <w:tc>
          <w:tcPr>
            <w:tcW w:w="268" w:type="pct"/>
            <w:tcBorders>
              <w:left w:val="single" w:color="auto" w:sz="4" w:space="0"/>
              <w:bottom w:val="single" w:color="auto" w:sz="4" w:space="0"/>
              <w:right w:val="single" w:color="auto" w:sz="4" w:space="0"/>
            </w:tcBorders>
          </w:tcPr>
          <w:p w14:paraId="20DF9BDC">
            <w:pPr>
              <w:spacing w:line="0" w:lineRule="atLeast"/>
              <w:jc w:val="left"/>
              <w:rPr>
                <w:rFonts w:ascii="宋体" w:hAnsi="宋体" w:cs="宋体"/>
                <w:color w:val="000000"/>
                <w:kern w:val="0"/>
                <w:szCs w:val="21"/>
              </w:rPr>
            </w:pPr>
            <w:r>
              <w:rPr>
                <w:rFonts w:ascii="宋体" w:hAnsi="宋体" w:cs="宋体"/>
                <w:color w:val="000000"/>
                <w:kern w:val="0"/>
                <w:szCs w:val="21"/>
              </w:rPr>
              <w:t>12</w:t>
            </w:r>
          </w:p>
        </w:tc>
        <w:tc>
          <w:tcPr>
            <w:tcW w:w="260" w:type="pct"/>
            <w:vMerge w:val="restart"/>
            <w:tcBorders>
              <w:left w:val="single" w:color="auto" w:sz="4" w:space="0"/>
            </w:tcBorders>
          </w:tcPr>
          <w:p w14:paraId="64DF9C89">
            <w:pPr>
              <w:spacing w:line="0" w:lineRule="atLeast"/>
              <w:jc w:val="left"/>
              <w:rPr>
                <w:rFonts w:ascii="宋体" w:hAnsi="宋体" w:cs="宋体"/>
                <w:color w:val="000000"/>
                <w:kern w:val="0"/>
                <w:szCs w:val="21"/>
              </w:rPr>
            </w:pPr>
            <w:r>
              <w:rPr>
                <w:rFonts w:ascii="宋体" w:hAnsi="宋体" w:cs="宋体"/>
                <w:color w:val="000000"/>
                <w:kern w:val="0"/>
                <w:szCs w:val="21"/>
              </w:rPr>
              <w:t>25</w:t>
            </w:r>
          </w:p>
        </w:tc>
      </w:tr>
      <w:tr w14:paraId="5F95CB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 w:hRule="atLeast"/>
        </w:trPr>
        <w:tc>
          <w:tcPr>
            <w:tcW w:w="2052" w:type="pct"/>
            <w:vMerge w:val="continue"/>
          </w:tcPr>
          <w:p w14:paraId="63FD3073">
            <w:pPr>
              <w:widowControl/>
              <w:spacing w:line="0" w:lineRule="atLeast"/>
              <w:jc w:val="left"/>
              <w:rPr>
                <w:rFonts w:ascii="宋体" w:hAnsi="宋体" w:cs="宋体"/>
                <w:color w:val="000000"/>
                <w:kern w:val="0"/>
                <w:szCs w:val="21"/>
              </w:rPr>
            </w:pPr>
          </w:p>
        </w:tc>
        <w:tc>
          <w:tcPr>
            <w:tcW w:w="424" w:type="pct"/>
            <w:tcBorders>
              <w:top w:val="single" w:color="auto" w:sz="4" w:space="0"/>
              <w:bottom w:val="single" w:color="auto" w:sz="4" w:space="0"/>
            </w:tcBorders>
          </w:tcPr>
          <w:p w14:paraId="0BDCF88E">
            <w:pPr>
              <w:spacing w:line="0" w:lineRule="atLeast"/>
              <w:ind w:left="31" w:leftChars="-30" w:right="-69" w:rightChars="-33" w:hanging="94" w:hangingChars="45"/>
              <w:jc w:val="left"/>
              <w:rPr>
                <w:rFonts w:ascii="宋体" w:hAnsi="宋体" w:cs="宋体"/>
                <w:color w:val="000000"/>
                <w:kern w:val="0"/>
                <w:szCs w:val="21"/>
              </w:rPr>
            </w:pPr>
            <w:r>
              <w:rPr>
                <w:rFonts w:hint="eastAsia" w:ascii="宋体" w:hAnsi="宋体" w:cs="宋体"/>
                <w:color w:val="000000"/>
                <w:kern w:val="0"/>
                <w:szCs w:val="21"/>
              </w:rPr>
              <w:t>团队</w:t>
            </w:r>
            <w:r>
              <w:rPr>
                <w:rFonts w:ascii="宋体" w:hAnsi="宋体" w:cs="宋体"/>
                <w:color w:val="000000"/>
                <w:kern w:val="0"/>
                <w:szCs w:val="21"/>
              </w:rPr>
              <w:t>:0</w:t>
            </w:r>
          </w:p>
        </w:tc>
        <w:tc>
          <w:tcPr>
            <w:tcW w:w="534" w:type="pct"/>
            <w:tcBorders>
              <w:top w:val="single" w:color="auto" w:sz="4" w:space="0"/>
              <w:bottom w:val="single" w:color="auto" w:sz="4" w:space="0"/>
            </w:tcBorders>
          </w:tcPr>
          <w:p w14:paraId="661D8BA0">
            <w:pPr>
              <w:spacing w:line="0" w:lineRule="atLeast"/>
              <w:jc w:val="left"/>
              <w:rPr>
                <w:rFonts w:ascii="宋体" w:hAnsi="宋体" w:cs="宋体"/>
                <w:color w:val="000000"/>
                <w:kern w:val="0"/>
                <w:szCs w:val="21"/>
              </w:rPr>
            </w:pPr>
            <w:r>
              <w:rPr>
                <w:rFonts w:hint="eastAsia" w:ascii="宋体" w:hAnsi="宋体" w:cs="宋体"/>
                <w:color w:val="000000"/>
                <w:kern w:val="0"/>
                <w:szCs w:val="21"/>
              </w:rPr>
              <w:t>团队</w:t>
            </w:r>
            <w:r>
              <w:rPr>
                <w:rFonts w:ascii="宋体" w:hAnsi="宋体" w:cs="宋体"/>
                <w:color w:val="000000"/>
                <w:kern w:val="0"/>
                <w:szCs w:val="21"/>
              </w:rPr>
              <w:t>:0</w:t>
            </w:r>
          </w:p>
        </w:tc>
        <w:tc>
          <w:tcPr>
            <w:tcW w:w="464" w:type="pct"/>
            <w:tcBorders>
              <w:top w:val="single" w:color="auto" w:sz="4" w:space="0"/>
              <w:bottom w:val="single" w:color="auto" w:sz="4" w:space="0"/>
            </w:tcBorders>
          </w:tcPr>
          <w:p w14:paraId="02CFAC80">
            <w:pPr>
              <w:spacing w:line="0" w:lineRule="atLeast"/>
              <w:ind w:right="-69" w:rightChars="-33"/>
              <w:jc w:val="left"/>
              <w:rPr>
                <w:rFonts w:ascii="宋体" w:hAnsi="宋体" w:cs="宋体"/>
                <w:color w:val="000000"/>
                <w:kern w:val="0"/>
                <w:szCs w:val="21"/>
              </w:rPr>
            </w:pPr>
            <w:r>
              <w:rPr>
                <w:rFonts w:hint="eastAsia" w:ascii="宋体" w:hAnsi="宋体" w:cs="宋体"/>
                <w:color w:val="000000"/>
                <w:kern w:val="0"/>
                <w:szCs w:val="21"/>
              </w:rPr>
              <w:t>团队</w:t>
            </w:r>
            <w:r>
              <w:rPr>
                <w:rFonts w:ascii="宋体" w:hAnsi="宋体" w:cs="宋体"/>
                <w:color w:val="000000"/>
                <w:kern w:val="0"/>
                <w:szCs w:val="21"/>
              </w:rPr>
              <w:t>:0</w:t>
            </w:r>
          </w:p>
        </w:tc>
        <w:tc>
          <w:tcPr>
            <w:tcW w:w="499" w:type="pct"/>
            <w:tcBorders>
              <w:top w:val="single" w:color="auto" w:sz="4" w:space="0"/>
              <w:bottom w:val="single" w:color="auto" w:sz="4" w:space="0"/>
            </w:tcBorders>
          </w:tcPr>
          <w:p w14:paraId="25D60146">
            <w:pPr>
              <w:spacing w:line="0" w:lineRule="atLeast"/>
              <w:jc w:val="left"/>
              <w:rPr>
                <w:rFonts w:ascii="宋体" w:hAnsi="宋体" w:cs="宋体"/>
                <w:color w:val="000000"/>
                <w:kern w:val="0"/>
                <w:szCs w:val="21"/>
              </w:rPr>
            </w:pPr>
            <w:r>
              <w:rPr>
                <w:rFonts w:hint="eastAsia" w:ascii="宋体" w:hAnsi="宋体" w:cs="宋体"/>
                <w:color w:val="000000"/>
                <w:kern w:val="0"/>
                <w:szCs w:val="21"/>
              </w:rPr>
              <w:t>团队</w:t>
            </w:r>
            <w:r>
              <w:rPr>
                <w:rFonts w:ascii="宋体" w:hAnsi="宋体" w:cs="宋体"/>
                <w:color w:val="000000"/>
                <w:kern w:val="0"/>
                <w:szCs w:val="21"/>
              </w:rPr>
              <w:t>:0</w:t>
            </w:r>
          </w:p>
        </w:tc>
        <w:tc>
          <w:tcPr>
            <w:tcW w:w="499" w:type="pct"/>
            <w:tcBorders>
              <w:top w:val="single" w:color="auto" w:sz="4" w:space="0"/>
              <w:bottom w:val="single" w:color="auto" w:sz="4" w:space="0"/>
              <w:right w:val="single" w:color="auto" w:sz="4" w:space="0"/>
            </w:tcBorders>
          </w:tcPr>
          <w:p w14:paraId="039B3D77">
            <w:pPr>
              <w:spacing w:line="0" w:lineRule="atLeast"/>
              <w:ind w:left="36" w:leftChars="-34" w:hanging="107" w:hangingChars="51"/>
              <w:jc w:val="left"/>
              <w:rPr>
                <w:rFonts w:ascii="宋体" w:hAnsi="宋体" w:cs="宋体"/>
                <w:color w:val="000000"/>
                <w:kern w:val="0"/>
                <w:szCs w:val="21"/>
              </w:rPr>
            </w:pPr>
            <w:r>
              <w:rPr>
                <w:rFonts w:hint="eastAsia" w:ascii="宋体" w:hAnsi="宋体" w:cs="宋体"/>
                <w:color w:val="000000"/>
                <w:kern w:val="0"/>
                <w:szCs w:val="21"/>
              </w:rPr>
              <w:t>团队</w:t>
            </w:r>
            <w:r>
              <w:rPr>
                <w:rFonts w:ascii="宋体" w:hAnsi="宋体" w:cs="宋体"/>
                <w:color w:val="000000"/>
                <w:kern w:val="0"/>
                <w:szCs w:val="21"/>
              </w:rPr>
              <w:t>:0</w:t>
            </w:r>
          </w:p>
        </w:tc>
        <w:tc>
          <w:tcPr>
            <w:tcW w:w="268" w:type="pct"/>
            <w:tcBorders>
              <w:top w:val="single" w:color="auto" w:sz="4" w:space="0"/>
              <w:left w:val="single" w:color="auto" w:sz="4" w:space="0"/>
              <w:bottom w:val="single" w:color="auto" w:sz="4" w:space="0"/>
              <w:right w:val="single" w:color="auto" w:sz="4" w:space="0"/>
            </w:tcBorders>
          </w:tcPr>
          <w:p w14:paraId="63F87E35">
            <w:pPr>
              <w:spacing w:line="0" w:lineRule="atLeast"/>
              <w:jc w:val="left"/>
              <w:rPr>
                <w:rFonts w:ascii="宋体" w:hAnsi="宋体" w:cs="宋体"/>
                <w:color w:val="000000"/>
                <w:kern w:val="0"/>
                <w:szCs w:val="21"/>
              </w:rPr>
            </w:pPr>
            <w:r>
              <w:rPr>
                <w:rFonts w:ascii="宋体" w:hAnsi="宋体" w:cs="宋体"/>
                <w:color w:val="000000"/>
                <w:kern w:val="0"/>
                <w:szCs w:val="21"/>
              </w:rPr>
              <w:t>0</w:t>
            </w:r>
          </w:p>
        </w:tc>
        <w:tc>
          <w:tcPr>
            <w:tcW w:w="260" w:type="pct"/>
            <w:vMerge w:val="continue"/>
            <w:tcBorders>
              <w:left w:val="single" w:color="auto" w:sz="4" w:space="0"/>
            </w:tcBorders>
          </w:tcPr>
          <w:p w14:paraId="30F6CA4E">
            <w:pPr>
              <w:spacing w:line="0" w:lineRule="atLeast"/>
              <w:jc w:val="left"/>
              <w:rPr>
                <w:rFonts w:ascii="宋体" w:hAnsi="宋体" w:cs="宋体"/>
                <w:color w:val="000000"/>
                <w:kern w:val="0"/>
                <w:szCs w:val="21"/>
              </w:rPr>
            </w:pPr>
          </w:p>
        </w:tc>
      </w:tr>
      <w:tr w14:paraId="381A3A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 w:hRule="atLeast"/>
        </w:trPr>
        <w:tc>
          <w:tcPr>
            <w:tcW w:w="2052" w:type="pct"/>
            <w:vMerge w:val="continue"/>
          </w:tcPr>
          <w:p w14:paraId="0AED9511">
            <w:pPr>
              <w:widowControl/>
              <w:spacing w:line="0" w:lineRule="atLeast"/>
              <w:jc w:val="left"/>
              <w:rPr>
                <w:rFonts w:ascii="宋体" w:hAnsi="宋体" w:cs="宋体"/>
                <w:color w:val="000000"/>
                <w:kern w:val="0"/>
                <w:szCs w:val="21"/>
              </w:rPr>
            </w:pPr>
          </w:p>
        </w:tc>
        <w:tc>
          <w:tcPr>
            <w:tcW w:w="424" w:type="pct"/>
            <w:tcBorders>
              <w:top w:val="single" w:color="auto" w:sz="4" w:space="0"/>
            </w:tcBorders>
          </w:tcPr>
          <w:p w14:paraId="6BA53451">
            <w:pPr>
              <w:spacing w:line="0" w:lineRule="atLeast"/>
              <w:ind w:left="31" w:leftChars="-30" w:right="-69" w:rightChars="-33" w:hanging="94" w:hangingChars="45"/>
              <w:jc w:val="left"/>
              <w:rPr>
                <w:rFonts w:ascii="宋体" w:hAnsi="宋体" w:cs="宋体"/>
                <w:color w:val="000000"/>
                <w:kern w:val="0"/>
                <w:szCs w:val="21"/>
              </w:rPr>
            </w:pPr>
            <w:r>
              <w:rPr>
                <w:rFonts w:hint="eastAsia" w:ascii="宋体" w:hAnsi="宋体" w:cs="宋体"/>
                <w:color w:val="000000"/>
                <w:kern w:val="0"/>
                <w:szCs w:val="21"/>
              </w:rPr>
              <w:t>博士</w:t>
            </w:r>
            <w:r>
              <w:rPr>
                <w:rFonts w:ascii="宋体" w:hAnsi="宋体" w:cs="宋体"/>
                <w:color w:val="000000"/>
                <w:kern w:val="0"/>
                <w:szCs w:val="21"/>
              </w:rPr>
              <w:t>:4</w:t>
            </w:r>
          </w:p>
        </w:tc>
        <w:tc>
          <w:tcPr>
            <w:tcW w:w="534" w:type="pct"/>
            <w:tcBorders>
              <w:top w:val="single" w:color="auto" w:sz="4" w:space="0"/>
            </w:tcBorders>
          </w:tcPr>
          <w:p w14:paraId="0E7DE83E">
            <w:pPr>
              <w:spacing w:line="0" w:lineRule="atLeast"/>
              <w:jc w:val="left"/>
              <w:rPr>
                <w:rFonts w:ascii="宋体" w:hAnsi="宋体" w:cs="宋体"/>
                <w:color w:val="000000"/>
                <w:kern w:val="0"/>
                <w:szCs w:val="21"/>
              </w:rPr>
            </w:pPr>
            <w:r>
              <w:rPr>
                <w:rFonts w:hint="eastAsia" w:ascii="宋体" w:hAnsi="宋体" w:cs="宋体"/>
                <w:color w:val="000000"/>
                <w:kern w:val="0"/>
                <w:szCs w:val="21"/>
              </w:rPr>
              <w:t>博士</w:t>
            </w:r>
            <w:r>
              <w:rPr>
                <w:rFonts w:ascii="宋体" w:hAnsi="宋体" w:cs="宋体"/>
                <w:color w:val="000000"/>
                <w:kern w:val="0"/>
                <w:szCs w:val="21"/>
              </w:rPr>
              <w:t>:1</w:t>
            </w:r>
          </w:p>
        </w:tc>
        <w:tc>
          <w:tcPr>
            <w:tcW w:w="464" w:type="pct"/>
            <w:tcBorders>
              <w:top w:val="single" w:color="auto" w:sz="4" w:space="0"/>
            </w:tcBorders>
          </w:tcPr>
          <w:p w14:paraId="391AC009">
            <w:pPr>
              <w:spacing w:line="0" w:lineRule="atLeast"/>
              <w:ind w:left="59" w:leftChars="-2" w:right="-69" w:rightChars="-33" w:hanging="63" w:hangingChars="30"/>
              <w:jc w:val="left"/>
              <w:rPr>
                <w:rFonts w:ascii="宋体" w:hAnsi="宋体" w:cs="宋体"/>
                <w:color w:val="000000"/>
                <w:kern w:val="0"/>
                <w:szCs w:val="21"/>
              </w:rPr>
            </w:pPr>
            <w:r>
              <w:rPr>
                <w:rFonts w:hint="eastAsia" w:ascii="宋体" w:hAnsi="宋体" w:cs="宋体"/>
                <w:color w:val="000000"/>
                <w:kern w:val="0"/>
                <w:szCs w:val="21"/>
              </w:rPr>
              <w:t>博士</w:t>
            </w:r>
            <w:r>
              <w:rPr>
                <w:rFonts w:ascii="宋体" w:hAnsi="宋体" w:cs="宋体"/>
                <w:color w:val="000000"/>
                <w:kern w:val="0"/>
                <w:szCs w:val="21"/>
              </w:rPr>
              <w:t>:4</w:t>
            </w:r>
          </w:p>
        </w:tc>
        <w:tc>
          <w:tcPr>
            <w:tcW w:w="499" w:type="pct"/>
            <w:tcBorders>
              <w:top w:val="single" w:color="auto" w:sz="4" w:space="0"/>
            </w:tcBorders>
          </w:tcPr>
          <w:p w14:paraId="42A4D4FB">
            <w:pPr>
              <w:spacing w:line="0" w:lineRule="atLeast"/>
              <w:jc w:val="left"/>
              <w:rPr>
                <w:rFonts w:ascii="宋体" w:hAnsi="宋体" w:cs="宋体"/>
                <w:color w:val="000000"/>
                <w:kern w:val="0"/>
                <w:szCs w:val="21"/>
              </w:rPr>
            </w:pPr>
            <w:r>
              <w:rPr>
                <w:rFonts w:hint="eastAsia" w:ascii="宋体" w:hAnsi="宋体" w:cs="宋体"/>
                <w:color w:val="000000"/>
                <w:kern w:val="0"/>
                <w:szCs w:val="21"/>
              </w:rPr>
              <w:t>博士</w:t>
            </w:r>
            <w:r>
              <w:rPr>
                <w:rFonts w:ascii="宋体" w:hAnsi="宋体" w:cs="宋体"/>
                <w:color w:val="000000"/>
                <w:kern w:val="0"/>
                <w:szCs w:val="21"/>
              </w:rPr>
              <w:t>:2</w:t>
            </w:r>
          </w:p>
        </w:tc>
        <w:tc>
          <w:tcPr>
            <w:tcW w:w="499" w:type="pct"/>
            <w:tcBorders>
              <w:top w:val="single" w:color="auto" w:sz="4" w:space="0"/>
              <w:right w:val="single" w:color="auto" w:sz="4" w:space="0"/>
            </w:tcBorders>
          </w:tcPr>
          <w:p w14:paraId="02B04EC2">
            <w:pPr>
              <w:spacing w:line="0" w:lineRule="atLeast"/>
              <w:jc w:val="left"/>
              <w:rPr>
                <w:rFonts w:ascii="宋体" w:hAnsi="宋体" w:cs="宋体"/>
                <w:color w:val="000000"/>
                <w:kern w:val="0"/>
                <w:szCs w:val="21"/>
              </w:rPr>
            </w:pPr>
            <w:r>
              <w:rPr>
                <w:rFonts w:hint="eastAsia" w:ascii="宋体" w:hAnsi="宋体" w:cs="宋体"/>
                <w:color w:val="000000"/>
                <w:kern w:val="0"/>
                <w:szCs w:val="21"/>
              </w:rPr>
              <w:t>博士</w:t>
            </w:r>
            <w:r>
              <w:rPr>
                <w:rFonts w:ascii="宋体" w:hAnsi="宋体" w:cs="宋体"/>
                <w:color w:val="000000"/>
                <w:kern w:val="0"/>
                <w:szCs w:val="21"/>
              </w:rPr>
              <w:t>:2</w:t>
            </w:r>
          </w:p>
        </w:tc>
        <w:tc>
          <w:tcPr>
            <w:tcW w:w="268" w:type="pct"/>
            <w:tcBorders>
              <w:top w:val="single" w:color="auto" w:sz="4" w:space="0"/>
              <w:left w:val="single" w:color="auto" w:sz="4" w:space="0"/>
              <w:right w:val="single" w:color="auto" w:sz="4" w:space="0"/>
            </w:tcBorders>
          </w:tcPr>
          <w:p w14:paraId="317DBFA9">
            <w:pPr>
              <w:spacing w:line="0" w:lineRule="atLeast"/>
              <w:jc w:val="left"/>
              <w:rPr>
                <w:rFonts w:ascii="宋体" w:hAnsi="宋体" w:cs="宋体"/>
                <w:color w:val="000000"/>
                <w:kern w:val="0"/>
                <w:szCs w:val="21"/>
              </w:rPr>
            </w:pPr>
            <w:r>
              <w:rPr>
                <w:rFonts w:ascii="宋体" w:hAnsi="宋体" w:cs="宋体"/>
                <w:color w:val="000000"/>
                <w:kern w:val="0"/>
                <w:szCs w:val="21"/>
              </w:rPr>
              <w:t>13</w:t>
            </w:r>
          </w:p>
        </w:tc>
        <w:tc>
          <w:tcPr>
            <w:tcW w:w="260" w:type="pct"/>
            <w:vMerge w:val="continue"/>
            <w:tcBorders>
              <w:left w:val="single" w:color="auto" w:sz="4" w:space="0"/>
            </w:tcBorders>
          </w:tcPr>
          <w:p w14:paraId="79010BBA">
            <w:pPr>
              <w:spacing w:line="0" w:lineRule="atLeast"/>
              <w:jc w:val="left"/>
              <w:rPr>
                <w:rFonts w:ascii="宋体" w:hAnsi="宋体" w:cs="宋体"/>
                <w:color w:val="000000"/>
                <w:kern w:val="0"/>
                <w:szCs w:val="21"/>
              </w:rPr>
            </w:pPr>
          </w:p>
        </w:tc>
      </w:tr>
      <w:tr w14:paraId="630304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 w:hRule="atLeast"/>
        </w:trPr>
        <w:tc>
          <w:tcPr>
            <w:tcW w:w="2052" w:type="pct"/>
            <w:vMerge w:val="restart"/>
          </w:tcPr>
          <w:p w14:paraId="70376975">
            <w:pPr>
              <w:widowControl/>
              <w:spacing w:line="0" w:lineRule="atLeast"/>
              <w:jc w:val="left"/>
              <w:rPr>
                <w:rFonts w:ascii="宋体" w:hAnsi="宋体" w:cs="宋体"/>
                <w:color w:val="000000"/>
                <w:kern w:val="0"/>
                <w:szCs w:val="21"/>
              </w:rPr>
            </w:pPr>
            <w:r>
              <w:rPr>
                <w:rFonts w:hint="eastAsia" w:ascii="宋体" w:hAnsi="宋体" w:cs="宋体"/>
                <w:color w:val="000000"/>
                <w:kern w:val="0"/>
                <w:szCs w:val="21"/>
              </w:rPr>
              <w:t>引进常州“龙城英才计划”项目（个）</w:t>
            </w:r>
          </w:p>
        </w:tc>
        <w:tc>
          <w:tcPr>
            <w:tcW w:w="424" w:type="pct"/>
            <w:tcBorders>
              <w:bottom w:val="single" w:color="auto" w:sz="4" w:space="0"/>
            </w:tcBorders>
          </w:tcPr>
          <w:p w14:paraId="5EAD0B42">
            <w:pPr>
              <w:spacing w:line="0" w:lineRule="atLeast"/>
              <w:jc w:val="left"/>
              <w:rPr>
                <w:rFonts w:ascii="宋体" w:hAnsi="宋体" w:cs="宋体"/>
                <w:color w:val="000000"/>
                <w:kern w:val="0"/>
                <w:szCs w:val="21"/>
              </w:rPr>
            </w:pPr>
            <w:r>
              <w:rPr>
                <w:rFonts w:ascii="宋体" w:hAnsi="宋体" w:cs="宋体"/>
                <w:color w:val="000000"/>
                <w:kern w:val="0"/>
                <w:szCs w:val="21"/>
              </w:rPr>
              <w:t>A:0</w:t>
            </w:r>
          </w:p>
        </w:tc>
        <w:tc>
          <w:tcPr>
            <w:tcW w:w="534" w:type="pct"/>
            <w:tcBorders>
              <w:bottom w:val="single" w:color="auto" w:sz="4" w:space="0"/>
            </w:tcBorders>
          </w:tcPr>
          <w:p w14:paraId="06E00060">
            <w:pPr>
              <w:spacing w:line="0" w:lineRule="atLeast"/>
              <w:jc w:val="left"/>
              <w:rPr>
                <w:rFonts w:ascii="宋体" w:hAnsi="宋体" w:cs="宋体"/>
                <w:color w:val="000000"/>
                <w:kern w:val="0"/>
                <w:szCs w:val="21"/>
              </w:rPr>
            </w:pPr>
            <w:r>
              <w:rPr>
                <w:rFonts w:ascii="宋体" w:hAnsi="宋体" w:cs="宋体"/>
                <w:color w:val="000000"/>
                <w:kern w:val="0"/>
                <w:szCs w:val="21"/>
              </w:rPr>
              <w:t>A:0</w:t>
            </w:r>
          </w:p>
        </w:tc>
        <w:tc>
          <w:tcPr>
            <w:tcW w:w="464" w:type="pct"/>
            <w:tcBorders>
              <w:bottom w:val="single" w:color="auto" w:sz="4" w:space="0"/>
            </w:tcBorders>
          </w:tcPr>
          <w:p w14:paraId="1D9A87CE">
            <w:pPr>
              <w:spacing w:line="0" w:lineRule="atLeast"/>
              <w:jc w:val="left"/>
              <w:rPr>
                <w:rFonts w:ascii="宋体" w:hAnsi="宋体" w:cs="宋体"/>
                <w:color w:val="000000"/>
                <w:kern w:val="0"/>
                <w:szCs w:val="21"/>
              </w:rPr>
            </w:pPr>
            <w:r>
              <w:rPr>
                <w:rFonts w:ascii="宋体" w:hAnsi="宋体" w:cs="宋体"/>
                <w:color w:val="000000"/>
                <w:kern w:val="0"/>
                <w:szCs w:val="21"/>
              </w:rPr>
              <w:t>A:0</w:t>
            </w:r>
          </w:p>
        </w:tc>
        <w:tc>
          <w:tcPr>
            <w:tcW w:w="499" w:type="pct"/>
            <w:tcBorders>
              <w:bottom w:val="single" w:color="auto" w:sz="4" w:space="0"/>
            </w:tcBorders>
          </w:tcPr>
          <w:p w14:paraId="68111E86">
            <w:pPr>
              <w:spacing w:line="0" w:lineRule="atLeast"/>
              <w:jc w:val="left"/>
              <w:rPr>
                <w:rFonts w:ascii="宋体" w:hAnsi="宋体" w:cs="宋体"/>
                <w:color w:val="000000"/>
                <w:kern w:val="0"/>
                <w:szCs w:val="21"/>
              </w:rPr>
            </w:pPr>
            <w:r>
              <w:rPr>
                <w:rFonts w:ascii="宋体" w:hAnsi="宋体" w:cs="宋体"/>
                <w:color w:val="000000"/>
                <w:kern w:val="0"/>
                <w:szCs w:val="21"/>
              </w:rPr>
              <w:t>A:0</w:t>
            </w:r>
          </w:p>
        </w:tc>
        <w:tc>
          <w:tcPr>
            <w:tcW w:w="499" w:type="pct"/>
            <w:tcBorders>
              <w:bottom w:val="single" w:color="auto" w:sz="4" w:space="0"/>
              <w:right w:val="single" w:color="auto" w:sz="4" w:space="0"/>
            </w:tcBorders>
          </w:tcPr>
          <w:p w14:paraId="5EB62F85">
            <w:pPr>
              <w:spacing w:line="0" w:lineRule="atLeast"/>
              <w:jc w:val="left"/>
              <w:rPr>
                <w:rFonts w:ascii="宋体" w:hAnsi="宋体" w:cs="宋体"/>
                <w:color w:val="000000"/>
                <w:kern w:val="0"/>
                <w:szCs w:val="21"/>
              </w:rPr>
            </w:pPr>
            <w:r>
              <w:rPr>
                <w:rFonts w:ascii="宋体" w:hAnsi="宋体" w:cs="宋体"/>
                <w:color w:val="000000"/>
                <w:kern w:val="0"/>
                <w:szCs w:val="21"/>
              </w:rPr>
              <w:t>A:3</w:t>
            </w:r>
          </w:p>
        </w:tc>
        <w:tc>
          <w:tcPr>
            <w:tcW w:w="268" w:type="pct"/>
            <w:tcBorders>
              <w:left w:val="single" w:color="auto" w:sz="4" w:space="0"/>
              <w:bottom w:val="single" w:color="auto" w:sz="4" w:space="0"/>
              <w:right w:val="single" w:color="auto" w:sz="4" w:space="0"/>
            </w:tcBorders>
          </w:tcPr>
          <w:p w14:paraId="495F7C25">
            <w:pPr>
              <w:spacing w:line="0" w:lineRule="atLeast"/>
              <w:jc w:val="left"/>
              <w:rPr>
                <w:rFonts w:ascii="宋体" w:hAnsi="宋体" w:cs="宋体"/>
                <w:color w:val="000000"/>
                <w:kern w:val="0"/>
                <w:szCs w:val="21"/>
              </w:rPr>
            </w:pPr>
            <w:r>
              <w:rPr>
                <w:rFonts w:ascii="宋体" w:hAnsi="宋体" w:cs="宋体"/>
                <w:color w:val="000000"/>
                <w:kern w:val="0"/>
                <w:szCs w:val="21"/>
              </w:rPr>
              <w:t>3</w:t>
            </w:r>
          </w:p>
        </w:tc>
        <w:tc>
          <w:tcPr>
            <w:tcW w:w="260" w:type="pct"/>
            <w:vMerge w:val="restart"/>
            <w:tcBorders>
              <w:left w:val="single" w:color="auto" w:sz="4" w:space="0"/>
            </w:tcBorders>
          </w:tcPr>
          <w:p w14:paraId="1468454E">
            <w:pPr>
              <w:spacing w:line="0" w:lineRule="atLeast"/>
              <w:jc w:val="left"/>
              <w:rPr>
                <w:rFonts w:ascii="宋体" w:hAnsi="宋体" w:cs="宋体"/>
                <w:color w:val="000000"/>
                <w:kern w:val="0"/>
                <w:szCs w:val="21"/>
              </w:rPr>
            </w:pPr>
            <w:r>
              <w:rPr>
                <w:rFonts w:ascii="宋体" w:hAnsi="宋体" w:cs="宋体"/>
                <w:color w:val="000000"/>
                <w:kern w:val="0"/>
                <w:szCs w:val="21"/>
              </w:rPr>
              <w:t>92</w:t>
            </w:r>
          </w:p>
        </w:tc>
      </w:tr>
      <w:tr w14:paraId="0EF122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 w:hRule="atLeast"/>
        </w:trPr>
        <w:tc>
          <w:tcPr>
            <w:tcW w:w="2052" w:type="pct"/>
            <w:vMerge w:val="continue"/>
          </w:tcPr>
          <w:p w14:paraId="65BEA48C">
            <w:pPr>
              <w:widowControl/>
              <w:spacing w:line="0" w:lineRule="atLeast"/>
              <w:jc w:val="left"/>
              <w:rPr>
                <w:rFonts w:ascii="宋体" w:hAnsi="宋体" w:cs="宋体"/>
                <w:color w:val="000000"/>
                <w:kern w:val="0"/>
                <w:szCs w:val="21"/>
              </w:rPr>
            </w:pPr>
          </w:p>
        </w:tc>
        <w:tc>
          <w:tcPr>
            <w:tcW w:w="424" w:type="pct"/>
            <w:tcBorders>
              <w:top w:val="single" w:color="auto" w:sz="4" w:space="0"/>
              <w:bottom w:val="single" w:color="auto" w:sz="4" w:space="0"/>
            </w:tcBorders>
          </w:tcPr>
          <w:p w14:paraId="285C44C4">
            <w:pPr>
              <w:spacing w:line="0" w:lineRule="atLeast"/>
              <w:jc w:val="left"/>
              <w:rPr>
                <w:rFonts w:ascii="宋体" w:hAnsi="宋体" w:cs="宋体"/>
                <w:color w:val="000000"/>
                <w:kern w:val="0"/>
                <w:szCs w:val="21"/>
              </w:rPr>
            </w:pPr>
            <w:r>
              <w:rPr>
                <w:rFonts w:ascii="宋体" w:hAnsi="宋体" w:cs="宋体"/>
                <w:color w:val="000000"/>
                <w:kern w:val="0"/>
                <w:szCs w:val="21"/>
              </w:rPr>
              <w:t>B:0</w:t>
            </w:r>
          </w:p>
        </w:tc>
        <w:tc>
          <w:tcPr>
            <w:tcW w:w="534" w:type="pct"/>
            <w:tcBorders>
              <w:top w:val="single" w:color="auto" w:sz="4" w:space="0"/>
              <w:bottom w:val="single" w:color="auto" w:sz="4" w:space="0"/>
            </w:tcBorders>
          </w:tcPr>
          <w:p w14:paraId="1D1FFC83">
            <w:pPr>
              <w:spacing w:line="0" w:lineRule="atLeast"/>
              <w:jc w:val="left"/>
              <w:rPr>
                <w:rFonts w:ascii="宋体" w:hAnsi="宋体" w:cs="宋体"/>
                <w:color w:val="000000"/>
                <w:kern w:val="0"/>
                <w:szCs w:val="21"/>
              </w:rPr>
            </w:pPr>
            <w:r>
              <w:rPr>
                <w:rFonts w:ascii="宋体" w:hAnsi="宋体" w:cs="宋体"/>
                <w:color w:val="000000"/>
                <w:kern w:val="0"/>
                <w:szCs w:val="21"/>
              </w:rPr>
              <w:t>B:2</w:t>
            </w:r>
          </w:p>
        </w:tc>
        <w:tc>
          <w:tcPr>
            <w:tcW w:w="464" w:type="pct"/>
            <w:tcBorders>
              <w:top w:val="single" w:color="auto" w:sz="4" w:space="0"/>
              <w:bottom w:val="single" w:color="auto" w:sz="4" w:space="0"/>
            </w:tcBorders>
          </w:tcPr>
          <w:p w14:paraId="4E264440">
            <w:pPr>
              <w:spacing w:line="0" w:lineRule="atLeast"/>
              <w:jc w:val="left"/>
              <w:rPr>
                <w:rFonts w:ascii="宋体" w:hAnsi="宋体" w:cs="宋体"/>
                <w:color w:val="000000"/>
                <w:kern w:val="0"/>
                <w:szCs w:val="21"/>
              </w:rPr>
            </w:pPr>
            <w:r>
              <w:rPr>
                <w:rFonts w:ascii="宋体" w:hAnsi="宋体" w:cs="宋体"/>
                <w:color w:val="000000"/>
                <w:kern w:val="0"/>
                <w:szCs w:val="21"/>
              </w:rPr>
              <w:t>B:3</w:t>
            </w:r>
          </w:p>
        </w:tc>
        <w:tc>
          <w:tcPr>
            <w:tcW w:w="499" w:type="pct"/>
            <w:tcBorders>
              <w:top w:val="single" w:color="auto" w:sz="4" w:space="0"/>
              <w:bottom w:val="single" w:color="auto" w:sz="4" w:space="0"/>
            </w:tcBorders>
          </w:tcPr>
          <w:p w14:paraId="791EB020">
            <w:pPr>
              <w:spacing w:line="0" w:lineRule="atLeast"/>
              <w:jc w:val="left"/>
              <w:rPr>
                <w:rFonts w:ascii="宋体" w:hAnsi="宋体" w:cs="宋体"/>
                <w:color w:val="000000"/>
                <w:kern w:val="0"/>
                <w:szCs w:val="21"/>
              </w:rPr>
            </w:pPr>
            <w:r>
              <w:rPr>
                <w:rFonts w:ascii="宋体" w:hAnsi="宋体" w:cs="宋体"/>
                <w:color w:val="000000"/>
                <w:kern w:val="0"/>
                <w:szCs w:val="21"/>
              </w:rPr>
              <w:t>B:0</w:t>
            </w:r>
          </w:p>
        </w:tc>
        <w:tc>
          <w:tcPr>
            <w:tcW w:w="499" w:type="pct"/>
            <w:tcBorders>
              <w:top w:val="single" w:color="auto" w:sz="4" w:space="0"/>
              <w:bottom w:val="single" w:color="auto" w:sz="4" w:space="0"/>
              <w:right w:val="single" w:color="auto" w:sz="4" w:space="0"/>
            </w:tcBorders>
          </w:tcPr>
          <w:p w14:paraId="3D683979">
            <w:pPr>
              <w:spacing w:line="0" w:lineRule="atLeast"/>
              <w:jc w:val="left"/>
              <w:rPr>
                <w:rFonts w:ascii="宋体" w:hAnsi="宋体" w:cs="宋体"/>
                <w:color w:val="000000"/>
                <w:kern w:val="0"/>
                <w:szCs w:val="21"/>
              </w:rPr>
            </w:pPr>
            <w:r>
              <w:rPr>
                <w:rFonts w:ascii="宋体" w:hAnsi="宋体" w:cs="宋体"/>
                <w:color w:val="000000"/>
                <w:kern w:val="0"/>
                <w:szCs w:val="21"/>
              </w:rPr>
              <w:t>B:1</w:t>
            </w:r>
          </w:p>
        </w:tc>
        <w:tc>
          <w:tcPr>
            <w:tcW w:w="268" w:type="pct"/>
            <w:tcBorders>
              <w:top w:val="single" w:color="auto" w:sz="4" w:space="0"/>
              <w:left w:val="single" w:color="auto" w:sz="4" w:space="0"/>
              <w:bottom w:val="single" w:color="auto" w:sz="4" w:space="0"/>
              <w:right w:val="single" w:color="auto" w:sz="4" w:space="0"/>
            </w:tcBorders>
          </w:tcPr>
          <w:p w14:paraId="74814AA6">
            <w:pPr>
              <w:spacing w:line="0" w:lineRule="atLeast"/>
              <w:jc w:val="left"/>
              <w:rPr>
                <w:rFonts w:ascii="宋体" w:hAnsi="宋体" w:cs="宋体"/>
                <w:color w:val="000000"/>
                <w:kern w:val="0"/>
                <w:szCs w:val="21"/>
              </w:rPr>
            </w:pPr>
            <w:r>
              <w:rPr>
                <w:rFonts w:ascii="宋体" w:hAnsi="宋体" w:cs="宋体"/>
                <w:color w:val="000000"/>
                <w:kern w:val="0"/>
                <w:szCs w:val="21"/>
              </w:rPr>
              <w:t>6</w:t>
            </w:r>
          </w:p>
        </w:tc>
        <w:tc>
          <w:tcPr>
            <w:tcW w:w="260" w:type="pct"/>
            <w:vMerge w:val="continue"/>
            <w:tcBorders>
              <w:left w:val="single" w:color="auto" w:sz="4" w:space="0"/>
            </w:tcBorders>
          </w:tcPr>
          <w:p w14:paraId="7E1A52E5">
            <w:pPr>
              <w:spacing w:line="0" w:lineRule="atLeast"/>
              <w:jc w:val="left"/>
              <w:rPr>
                <w:rFonts w:ascii="宋体" w:hAnsi="宋体" w:cs="宋体"/>
                <w:color w:val="000000"/>
                <w:kern w:val="0"/>
                <w:szCs w:val="21"/>
              </w:rPr>
            </w:pPr>
          </w:p>
        </w:tc>
      </w:tr>
      <w:tr w14:paraId="6AE7E8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 w:hRule="atLeast"/>
        </w:trPr>
        <w:tc>
          <w:tcPr>
            <w:tcW w:w="2052" w:type="pct"/>
            <w:vMerge w:val="continue"/>
          </w:tcPr>
          <w:p w14:paraId="720D74BE">
            <w:pPr>
              <w:widowControl/>
              <w:spacing w:line="0" w:lineRule="atLeast"/>
              <w:jc w:val="left"/>
              <w:rPr>
                <w:rFonts w:ascii="宋体" w:hAnsi="宋体" w:cs="宋体"/>
                <w:color w:val="000000"/>
                <w:kern w:val="0"/>
                <w:szCs w:val="21"/>
              </w:rPr>
            </w:pPr>
          </w:p>
        </w:tc>
        <w:tc>
          <w:tcPr>
            <w:tcW w:w="424" w:type="pct"/>
            <w:tcBorders>
              <w:top w:val="single" w:color="auto" w:sz="4" w:space="0"/>
            </w:tcBorders>
          </w:tcPr>
          <w:p w14:paraId="6A869ADB">
            <w:pPr>
              <w:spacing w:line="0" w:lineRule="atLeast"/>
              <w:jc w:val="left"/>
              <w:rPr>
                <w:rFonts w:ascii="宋体" w:hAnsi="宋体" w:cs="宋体"/>
                <w:color w:val="000000"/>
                <w:kern w:val="0"/>
                <w:szCs w:val="21"/>
              </w:rPr>
            </w:pPr>
            <w:r>
              <w:rPr>
                <w:rFonts w:ascii="宋体" w:hAnsi="宋体" w:cs="宋体"/>
                <w:color w:val="000000"/>
                <w:kern w:val="0"/>
                <w:szCs w:val="21"/>
              </w:rPr>
              <w:t>C:11</w:t>
            </w:r>
          </w:p>
        </w:tc>
        <w:tc>
          <w:tcPr>
            <w:tcW w:w="534" w:type="pct"/>
            <w:tcBorders>
              <w:top w:val="single" w:color="auto" w:sz="4" w:space="0"/>
            </w:tcBorders>
          </w:tcPr>
          <w:p w14:paraId="19111BEA">
            <w:pPr>
              <w:spacing w:line="0" w:lineRule="atLeast"/>
              <w:jc w:val="left"/>
              <w:rPr>
                <w:rFonts w:ascii="宋体" w:hAnsi="宋体" w:cs="宋体"/>
                <w:color w:val="000000"/>
                <w:kern w:val="0"/>
                <w:szCs w:val="21"/>
              </w:rPr>
            </w:pPr>
            <w:r>
              <w:rPr>
                <w:rFonts w:ascii="宋体" w:hAnsi="宋体" w:cs="宋体"/>
                <w:color w:val="000000"/>
                <w:kern w:val="0"/>
                <w:szCs w:val="21"/>
              </w:rPr>
              <w:t>C:12</w:t>
            </w:r>
          </w:p>
        </w:tc>
        <w:tc>
          <w:tcPr>
            <w:tcW w:w="464" w:type="pct"/>
            <w:tcBorders>
              <w:top w:val="single" w:color="auto" w:sz="4" w:space="0"/>
            </w:tcBorders>
          </w:tcPr>
          <w:p w14:paraId="2ABB717A">
            <w:pPr>
              <w:spacing w:line="0" w:lineRule="atLeast"/>
              <w:jc w:val="left"/>
              <w:rPr>
                <w:rFonts w:ascii="宋体" w:hAnsi="宋体" w:cs="宋体"/>
                <w:color w:val="000000"/>
                <w:kern w:val="0"/>
                <w:szCs w:val="21"/>
              </w:rPr>
            </w:pPr>
            <w:r>
              <w:rPr>
                <w:rFonts w:ascii="宋体" w:hAnsi="宋体" w:cs="宋体"/>
                <w:color w:val="000000"/>
                <w:kern w:val="0"/>
                <w:szCs w:val="21"/>
              </w:rPr>
              <w:t>C:27</w:t>
            </w:r>
          </w:p>
        </w:tc>
        <w:tc>
          <w:tcPr>
            <w:tcW w:w="499" w:type="pct"/>
            <w:tcBorders>
              <w:top w:val="single" w:color="auto" w:sz="4" w:space="0"/>
            </w:tcBorders>
          </w:tcPr>
          <w:p w14:paraId="3D5C5DC7">
            <w:pPr>
              <w:spacing w:line="0" w:lineRule="atLeast"/>
              <w:jc w:val="left"/>
              <w:rPr>
                <w:rFonts w:ascii="宋体" w:hAnsi="宋体" w:cs="宋体"/>
                <w:color w:val="000000"/>
                <w:kern w:val="0"/>
                <w:szCs w:val="21"/>
              </w:rPr>
            </w:pPr>
            <w:r>
              <w:rPr>
                <w:rFonts w:ascii="宋体" w:hAnsi="宋体" w:cs="宋体"/>
                <w:color w:val="000000"/>
                <w:kern w:val="0"/>
                <w:szCs w:val="21"/>
              </w:rPr>
              <w:t>C:25</w:t>
            </w:r>
          </w:p>
        </w:tc>
        <w:tc>
          <w:tcPr>
            <w:tcW w:w="499" w:type="pct"/>
            <w:tcBorders>
              <w:top w:val="single" w:color="auto" w:sz="4" w:space="0"/>
              <w:right w:val="single" w:color="auto" w:sz="4" w:space="0"/>
            </w:tcBorders>
          </w:tcPr>
          <w:p w14:paraId="7C28909D">
            <w:pPr>
              <w:spacing w:line="0" w:lineRule="atLeast"/>
              <w:jc w:val="left"/>
              <w:rPr>
                <w:rFonts w:ascii="宋体" w:hAnsi="宋体" w:cs="宋体"/>
                <w:color w:val="000000"/>
                <w:kern w:val="0"/>
                <w:szCs w:val="21"/>
              </w:rPr>
            </w:pPr>
            <w:r>
              <w:rPr>
                <w:rFonts w:ascii="宋体" w:hAnsi="宋体" w:cs="宋体"/>
                <w:color w:val="000000"/>
                <w:kern w:val="0"/>
                <w:szCs w:val="21"/>
              </w:rPr>
              <w:t>C:8</w:t>
            </w:r>
          </w:p>
        </w:tc>
        <w:tc>
          <w:tcPr>
            <w:tcW w:w="268" w:type="pct"/>
            <w:tcBorders>
              <w:top w:val="single" w:color="auto" w:sz="4" w:space="0"/>
              <w:left w:val="single" w:color="auto" w:sz="4" w:space="0"/>
              <w:right w:val="single" w:color="auto" w:sz="4" w:space="0"/>
            </w:tcBorders>
          </w:tcPr>
          <w:p w14:paraId="06EC6E1E">
            <w:pPr>
              <w:spacing w:line="0" w:lineRule="atLeast"/>
              <w:jc w:val="left"/>
              <w:rPr>
                <w:rFonts w:ascii="宋体" w:hAnsi="宋体" w:cs="宋体"/>
                <w:color w:val="000000"/>
                <w:kern w:val="0"/>
                <w:szCs w:val="21"/>
              </w:rPr>
            </w:pPr>
            <w:r>
              <w:rPr>
                <w:rFonts w:ascii="宋体" w:hAnsi="宋体" w:cs="宋体"/>
                <w:color w:val="000000"/>
                <w:kern w:val="0"/>
                <w:szCs w:val="21"/>
              </w:rPr>
              <w:t>83</w:t>
            </w:r>
          </w:p>
        </w:tc>
        <w:tc>
          <w:tcPr>
            <w:tcW w:w="260" w:type="pct"/>
            <w:vMerge w:val="continue"/>
            <w:tcBorders>
              <w:left w:val="single" w:color="auto" w:sz="4" w:space="0"/>
            </w:tcBorders>
          </w:tcPr>
          <w:p w14:paraId="506E7E90">
            <w:pPr>
              <w:spacing w:line="0" w:lineRule="atLeast"/>
              <w:jc w:val="left"/>
              <w:rPr>
                <w:rFonts w:ascii="宋体" w:hAnsi="宋体" w:cs="宋体"/>
                <w:color w:val="000000"/>
                <w:kern w:val="0"/>
                <w:szCs w:val="21"/>
              </w:rPr>
            </w:pPr>
          </w:p>
        </w:tc>
      </w:tr>
    </w:tbl>
    <w:p w14:paraId="16231D5E">
      <w:pPr>
        <w:widowControl/>
        <w:spacing w:line="360" w:lineRule="auto"/>
        <w:ind w:firstLine="560"/>
        <w:jc w:val="left"/>
        <w:rPr>
          <w:rFonts w:ascii="宋体" w:hAnsi="宋体" w:cs="宋体"/>
          <w:color w:val="000000"/>
          <w:kern w:val="0"/>
          <w:sz w:val="28"/>
          <w:szCs w:val="28"/>
        </w:rPr>
      </w:pPr>
      <w:r>
        <w:rPr>
          <w:rFonts w:hint="eastAsia" w:ascii="宋体" w:hAnsi="宋体" w:cs="宋体"/>
          <w:color w:val="000000"/>
          <w:kern w:val="0"/>
          <w:sz w:val="28"/>
          <w:szCs w:val="28"/>
        </w:rPr>
        <w:t>在社会发展方面，“十二五”期间针对实际居住人口不断增加的具体情况，以民生工程建设为重点，街道及其下属社区加大了包括幼儿园、小学、医院、公园和文体中心、老年生活服务中心、小区儿童寄托中心等在内的公共服务投入，方便了居民就医和子女入园、上学，丰富了居民文化娱乐和体育健身内容，改善了缺乏自理能力老年人就餐质量，解决了双职工子女放学后无人看管后顾之忧。</w:t>
      </w:r>
    </w:p>
    <w:p w14:paraId="280AE4D5">
      <w:pPr>
        <w:widowControl/>
        <w:spacing w:line="360" w:lineRule="auto"/>
        <w:ind w:firstLine="560"/>
        <w:jc w:val="left"/>
        <w:rPr>
          <w:rFonts w:ascii="宋体" w:hAnsi="宋体" w:cs="宋体"/>
          <w:color w:val="000000"/>
          <w:kern w:val="0"/>
          <w:sz w:val="28"/>
          <w:szCs w:val="28"/>
        </w:rPr>
      </w:pPr>
      <w:r>
        <w:rPr>
          <w:rFonts w:hint="eastAsia" w:ascii="宋体" w:hAnsi="宋体" w:cs="宋体"/>
          <w:color w:val="000000"/>
          <w:kern w:val="0"/>
          <w:sz w:val="28"/>
          <w:szCs w:val="28"/>
        </w:rPr>
        <w:t>在城市建设方面，“十二五”期间街道通过加强城市建设，功能区划更加明晰，形成了具有鲜明特色的功能分区，整个街道分成了创意旅游区、商业商务区、都市工业区、中心行政区、文体活动区、高档居住区等功能区；同时，城区服务功能趋于完善，都市商贸繁荣活跃，街道以万达商业广场、太湖路为核心已成为常州北部城区的商业商务中心。</w:t>
      </w:r>
    </w:p>
    <w:p w14:paraId="38C62F23">
      <w:pPr>
        <w:widowControl/>
        <w:tabs>
          <w:tab w:val="left" w:pos="4890"/>
        </w:tabs>
        <w:spacing w:line="360" w:lineRule="auto"/>
        <w:ind w:firstLine="560"/>
        <w:jc w:val="left"/>
        <w:rPr>
          <w:rFonts w:ascii="宋体" w:hAnsi="宋体" w:cs="宋体"/>
          <w:color w:val="000000"/>
          <w:kern w:val="0"/>
          <w:sz w:val="28"/>
          <w:szCs w:val="28"/>
        </w:rPr>
      </w:pPr>
      <w:r>
        <w:rPr>
          <w:rFonts w:hint="eastAsia" w:ascii="宋体" w:hAnsi="宋体" w:cs="宋体"/>
          <w:color w:val="000000"/>
          <w:kern w:val="0"/>
          <w:sz w:val="28"/>
          <w:szCs w:val="28"/>
        </w:rPr>
        <w:t>在城市管理方面，“十二五”期间街道通过理顺社区管理体制，推行星级社区创建，加强基层组织建设，营造社区“造血”机制，加大了民生保障力度，提升了公共事务管理和服务水平，促进了社会动态平衡与和谐发展。街道除了藻江社区为纯城市社区外，其余</w:t>
      </w:r>
      <w:r>
        <w:rPr>
          <w:rFonts w:ascii="宋体" w:hAnsi="宋体" w:cs="宋体"/>
          <w:color w:val="000000"/>
          <w:kern w:val="0"/>
          <w:sz w:val="28"/>
          <w:szCs w:val="28"/>
        </w:rPr>
        <w:t>7</w:t>
      </w:r>
      <w:r>
        <w:rPr>
          <w:rFonts w:hint="eastAsia" w:ascii="宋体" w:hAnsi="宋体" w:cs="宋体"/>
          <w:color w:val="000000"/>
          <w:kern w:val="0"/>
          <w:sz w:val="28"/>
          <w:szCs w:val="28"/>
        </w:rPr>
        <w:t>个社区均由行政村转化而来，社区居民来源复杂，但通过创新社区管理模式，坚持以人为本，以社区组织建设为龙头，以社区服务为重点，以网格管理为抓手，不断完善计划生育、人民调解、综合治理、安全、信访、环境卫生等各项工作，有效地提升了城市管理水平。</w:t>
      </w:r>
    </w:p>
    <w:p w14:paraId="4B2F18F6">
      <w:pPr>
        <w:widowControl/>
        <w:tabs>
          <w:tab w:val="left" w:pos="4890"/>
        </w:tabs>
        <w:spacing w:line="480" w:lineRule="auto"/>
        <w:ind w:firstLine="560"/>
        <w:jc w:val="left"/>
        <w:rPr>
          <w:rFonts w:cs="宋体" w:asciiTheme="minorEastAsia" w:hAnsiTheme="minorEastAsia" w:eastAsiaTheme="minorEastAsia"/>
          <w:color w:val="000000" w:themeColor="text1"/>
          <w:kern w:val="0"/>
          <w:sz w:val="28"/>
          <w:szCs w:val="28"/>
          <w14:textFill>
            <w14:solidFill>
              <w14:schemeClr w14:val="tx1"/>
            </w14:solidFill>
          </w14:textFill>
        </w:rPr>
      </w:pPr>
    </w:p>
    <w:p w14:paraId="3AE07CCC">
      <w:pPr>
        <w:widowControl/>
        <w:spacing w:line="480" w:lineRule="auto"/>
        <w:jc w:val="left"/>
        <w:rPr>
          <w:rFonts w:ascii="黑体" w:hAnsi="宋体" w:eastAsia="黑体" w:cs="宋体"/>
          <w:b/>
          <w:color w:val="000000" w:themeColor="text1"/>
          <w:kern w:val="0"/>
          <w:sz w:val="32"/>
          <w:szCs w:val="32"/>
          <w14:textFill>
            <w14:solidFill>
              <w14:schemeClr w14:val="tx1"/>
            </w14:solidFill>
          </w14:textFill>
        </w:rPr>
      </w:pPr>
      <w:r>
        <w:rPr>
          <w:rFonts w:hint="eastAsia" w:ascii="黑体" w:hAnsi="宋体" w:eastAsia="黑体" w:cs="宋体"/>
          <w:b/>
          <w:color w:val="000000" w:themeColor="text1"/>
          <w:kern w:val="0"/>
          <w:sz w:val="32"/>
          <w:szCs w:val="32"/>
          <w14:textFill>
            <w14:solidFill>
              <w14:schemeClr w14:val="tx1"/>
            </w14:solidFill>
          </w14:textFill>
        </w:rPr>
        <w:t>（二）“十二五”期间三井街道经济社会发展主要特点</w:t>
      </w:r>
    </w:p>
    <w:p w14:paraId="11DA95C4">
      <w:pPr>
        <w:widowControl/>
        <w:spacing w:line="480" w:lineRule="auto"/>
        <w:ind w:firstLine="560" w:firstLineChars="200"/>
        <w:jc w:val="left"/>
        <w:rPr>
          <w:rFonts w:cs="宋体" w:asciiTheme="minorEastAsia" w:hAnsiTheme="minorEastAsia" w:eastAsiaTheme="minorEastAsia"/>
          <w:color w:val="000000" w:themeColor="text1"/>
          <w:kern w:val="0"/>
          <w:sz w:val="28"/>
          <w:szCs w:val="28"/>
          <w14:textFill>
            <w14:solidFill>
              <w14:schemeClr w14:val="tx1"/>
            </w14:solidFill>
          </w14:textFill>
        </w:rPr>
      </w:pPr>
      <w:r>
        <w:rPr>
          <w:rFonts w:hint="eastAsia" w:cs="宋体" w:asciiTheme="minorEastAsia" w:hAnsiTheme="minorEastAsia" w:eastAsiaTheme="minorEastAsia"/>
          <w:color w:val="000000" w:themeColor="text1"/>
          <w:kern w:val="0"/>
          <w:sz w:val="28"/>
          <w:szCs w:val="28"/>
          <w14:textFill>
            <w14:solidFill>
              <w14:schemeClr w14:val="tx1"/>
            </w14:solidFill>
          </w14:textFill>
        </w:rPr>
        <w:t>在经济发展方面，三井街道以转型升级为目标，确立“优化第二产业、主攻第三产业”发展战略，坚持集约发展、突出科技创新，全面提升产业层次，增强经济发展的内生动力。在第三产业发展上，一是重点发展特色楼宇、品牌楼宇和智慧楼宇，加快发展现代金融、电子商务、工业设计、服务外包、信息物流、文化娱乐等新兴业态；二是完善落实第三产业发展扶持优惠政策，促进第三产业发展；三是健全三井街道、工商与税务、企业三方协调沟通机制，在“零干扰”服务的基础上，强化主动服务意识，及时掌握企业运营状况，做到为企业提供及时无偿的一条龙服务。在第二产业发展上，一是全面梳理辖区工业企业用地情况，根据不同企业情况，盘活存量土地，实现对有限土地资源的最大化利用；二是推进企业科技创新，落实和完善鼓励企业创新的政策措施，支持和扶持企业增加研发投入、建立研发平台、开展产学研对接活动，形成了一批具有引领优势、规模优势、集聚优势的产业和一批具有行业争先、技术领先、效益优先的行业小巨人；三是充分发挥</w:t>
      </w:r>
      <w:r>
        <w:rPr>
          <w:rFonts w:hint="eastAsia" w:asciiTheme="minorEastAsia" w:hAnsiTheme="minorEastAsia" w:eastAsiaTheme="minorEastAsia"/>
          <w:color w:val="000000" w:themeColor="text1"/>
          <w:sz w:val="28"/>
          <w:szCs w:val="28"/>
          <w14:textFill>
            <w14:solidFill>
              <w14:schemeClr w14:val="tx1"/>
            </w14:solidFill>
          </w14:textFill>
        </w:rPr>
        <w:t>三晶电子信息技术孵化器、海博生物医疗器械科技园、常州广告产业园三井基地</w:t>
      </w:r>
      <w:r>
        <w:rPr>
          <w:rFonts w:hint="eastAsia" w:cs="宋体" w:asciiTheme="minorEastAsia" w:hAnsiTheme="minorEastAsia" w:eastAsiaTheme="minorEastAsia"/>
          <w:color w:val="000000" w:themeColor="text1"/>
          <w:kern w:val="0"/>
          <w:sz w:val="28"/>
          <w:szCs w:val="28"/>
          <w14:textFill>
            <w14:solidFill>
              <w14:schemeClr w14:val="tx1"/>
            </w14:solidFill>
          </w14:textFill>
        </w:rPr>
        <w:t>作用，使之成为创新创业高地。在发展集体经济方面，按照“留资产，不留资金；办物业，不办企业”要求，大力发展资产运营型、为民服务型、异地发展型等多种形式的集体经济，保证集体资产保值增值，持续地让原籍居民享受开发建设成果；另外，利用街区“金角银边”，置办一批物业，拓展社区社会管理经费来源。</w:t>
      </w:r>
    </w:p>
    <w:p w14:paraId="6A940FDD">
      <w:pPr>
        <w:widowControl/>
        <w:spacing w:line="480" w:lineRule="auto"/>
        <w:ind w:firstLine="548" w:firstLineChars="196"/>
        <w:jc w:val="left"/>
        <w:rPr>
          <w:rFonts w:cs="宋体" w:asciiTheme="minorEastAsia" w:hAnsiTheme="minorEastAsia" w:eastAsiaTheme="minorEastAsia"/>
          <w:color w:val="000000" w:themeColor="text1"/>
          <w:kern w:val="0"/>
          <w:sz w:val="28"/>
          <w:szCs w:val="28"/>
          <w14:textFill>
            <w14:solidFill>
              <w14:schemeClr w14:val="tx1"/>
            </w14:solidFill>
          </w14:textFill>
        </w:rPr>
      </w:pPr>
      <w:r>
        <w:rPr>
          <w:rFonts w:hint="eastAsia" w:cs="宋体" w:asciiTheme="minorEastAsia" w:hAnsiTheme="minorEastAsia" w:eastAsiaTheme="minorEastAsia"/>
          <w:color w:val="000000" w:themeColor="text1"/>
          <w:kern w:val="0"/>
          <w:sz w:val="28"/>
          <w:szCs w:val="28"/>
          <w14:textFill>
            <w14:solidFill>
              <w14:schemeClr w14:val="tx1"/>
            </w14:solidFill>
          </w14:textFill>
        </w:rPr>
        <w:t>在城市建设方面，主动顺应常州市创建生态城市、高新区打造北部国际化新城的发展趋势，明确“现代化新中心城区”的功能定位，按照“优化布局、完善功能、提升品位”的原则，强化功能片区理念，加快推进重点区域开发建设，完善城市功能、提升城市形象。一是依托环球恐龙园和创意产业基地，以东经120子午线为坐标，借力发展以创意旅游产业为核心的文化体育、创意设计、时尚居住等现代服务业，使之成为具有鲜明特色创意旅游区；二是以通江路为轴、以沿路商业楼宇和商业综合体为核，按照国际化、现代化的高标准建设集商务办公、商务交流、酒店宾馆、商业文化及城市居住于一体的商务集聚区；三是以</w:t>
      </w:r>
      <w:r>
        <w:rPr>
          <w:rFonts w:hint="eastAsia" w:asciiTheme="minorEastAsia" w:hAnsiTheme="minorEastAsia" w:eastAsiaTheme="minorEastAsia"/>
          <w:color w:val="000000" w:themeColor="text1"/>
          <w:sz w:val="28"/>
          <w:szCs w:val="28"/>
          <w14:textFill>
            <w14:solidFill>
              <w14:schemeClr w14:val="tx1"/>
            </w14:solidFill>
          </w14:textFill>
        </w:rPr>
        <w:t>三晶电子信息技术孵化器、海博生物医疗器械科技园、常州广告产业园三井基地</w:t>
      </w:r>
      <w:r>
        <w:rPr>
          <w:rFonts w:hint="eastAsia" w:cs="宋体" w:asciiTheme="minorEastAsia" w:hAnsiTheme="minorEastAsia" w:eastAsiaTheme="minorEastAsia"/>
          <w:color w:val="000000" w:themeColor="text1"/>
          <w:kern w:val="0"/>
          <w:sz w:val="28"/>
          <w:szCs w:val="28"/>
          <w14:textFill>
            <w14:solidFill>
              <w14:schemeClr w14:val="tx1"/>
            </w14:solidFill>
          </w14:textFill>
        </w:rPr>
        <w:t>为载体，引导和支持企业加大科技创新、加速产业升级，调整淘汰高耗能、低效能、重污染企业，大力发展绿色循环经济，打造绿色科技工业区；四是按照常州政治经济文化中心所在地的标准，加强城市长效化、规范化、制度化管理，保持整洁优美有序城市形象，提升老小区（安置小区）环境品质，打造宜居新城区。</w:t>
      </w:r>
    </w:p>
    <w:p w14:paraId="11C2D50E">
      <w:pPr>
        <w:widowControl/>
        <w:spacing w:line="480" w:lineRule="auto"/>
        <w:ind w:firstLine="560"/>
        <w:jc w:val="left"/>
        <w:rPr>
          <w:rFonts w:cs="宋体" w:asciiTheme="minorEastAsia" w:hAnsiTheme="minorEastAsia" w:eastAsiaTheme="minorEastAsia"/>
          <w:color w:val="000000" w:themeColor="text1"/>
          <w:kern w:val="0"/>
          <w:sz w:val="28"/>
          <w:szCs w:val="28"/>
          <w14:textFill>
            <w14:solidFill>
              <w14:schemeClr w14:val="tx1"/>
            </w14:solidFill>
          </w14:textFill>
        </w:rPr>
      </w:pPr>
      <w:r>
        <w:rPr>
          <w:rFonts w:hint="eastAsia" w:cs="宋体" w:asciiTheme="minorEastAsia" w:hAnsiTheme="minorEastAsia" w:eastAsiaTheme="minorEastAsia"/>
          <w:color w:val="000000" w:themeColor="text1"/>
          <w:kern w:val="0"/>
          <w:sz w:val="28"/>
          <w:szCs w:val="28"/>
          <w14:textFill>
            <w14:solidFill>
              <w14:schemeClr w14:val="tx1"/>
            </w14:solidFill>
          </w14:textFill>
        </w:rPr>
        <w:t>在社会管理方面，坚持以服务群众为宗旨，以创新社区管理体制为重点，积极构建“党委领导、政府负责、社会协同、公众参与”的社会管理新格局，实现社会管理服务常态化、规范化和精细化。一是明确树立“以人为本、服务为先，多方参与、共同治理，依法管理、综合施策”理念，把社会管理与群众需求紧密结合起来，探索构建源头治理、动态协调、应急处置相互衔接、相互支撑的工作机制；二是对现有社区优化设置，标准化、规范化地建设社区一站式综合服务中心，建立健全社区居民代表会议制度、民主决策和民主监督制度、服务承诺制度等工作制度，选好配强以社区党组织书记为主的社区干部，建立科学、有效的社区干部考评机制和教育培训机制，建立健全社会管理工作网格，健全社区公共服务、便民利民服务、志愿服务、居民互助等服务体系；三是加强民生保障，进一步建立健全公共卫生服务体系，加大新型农村合作医疗投入力度，提高了三井街道群众合作医疗支付标准，加强三井实验小学、三井中心幼儿园等公立学校、幼儿园财政投入，建立社区图书馆和三井街道文体活动中心，加强就业培训和就业推荐工作，加大困难群体的救助力度；四是维护社会稳定，将社会稳定风险评估机制纳入街道决策程序，推行行政执法责任制，完善矛盾排查预警机制、群体事件处置机制，及时发现、排查、处置矛盾，逐步稳妥地解决好历史遗留的拆迁问题，健全公共安全保障机制，推进安全生产标准化建设，进一步完善信息排查、信息报告、风险评估和事故调查、应急处置等工作机制，切实加强对生产、消防、食品安全方面的监管力度，避免安全事故发生。</w:t>
      </w:r>
    </w:p>
    <w:p w14:paraId="6542B3CE">
      <w:pPr>
        <w:widowControl/>
        <w:spacing w:line="480" w:lineRule="auto"/>
        <w:jc w:val="left"/>
        <w:rPr>
          <w:rFonts w:ascii="黑体" w:hAnsi="宋体" w:eastAsia="黑体"/>
          <w:b/>
          <w:color w:val="000000" w:themeColor="text1"/>
          <w14:textFill>
            <w14:solidFill>
              <w14:schemeClr w14:val="tx1"/>
            </w14:solidFill>
          </w14:textFill>
        </w:rPr>
      </w:pPr>
    </w:p>
    <w:p w14:paraId="3A500958">
      <w:pPr>
        <w:widowControl/>
        <w:spacing w:line="480" w:lineRule="auto"/>
        <w:rPr>
          <w:rFonts w:ascii="宋体" w:hAnsi="宋体" w:cs="宋体"/>
          <w:color w:val="000000" w:themeColor="text1"/>
          <w:kern w:val="0"/>
          <w:sz w:val="32"/>
          <w:szCs w:val="32"/>
          <w14:textFill>
            <w14:solidFill>
              <w14:schemeClr w14:val="tx1"/>
            </w14:solidFill>
          </w14:textFill>
        </w:rPr>
      </w:pPr>
      <w:r>
        <w:rPr>
          <w:rFonts w:hint="eastAsia" w:ascii="黑体" w:hAnsi="宋体" w:eastAsia="黑体"/>
          <w:b/>
          <w:color w:val="000000" w:themeColor="text1"/>
          <w:sz w:val="32"/>
          <w:szCs w:val="32"/>
          <w14:textFill>
            <w14:solidFill>
              <w14:schemeClr w14:val="tx1"/>
            </w14:solidFill>
          </w14:textFill>
        </w:rPr>
        <w:t>（三）“十二五”期间三井街道有待解决问题</w:t>
      </w:r>
    </w:p>
    <w:p w14:paraId="534FDA9C">
      <w:pPr>
        <w:pStyle w:val="8"/>
        <w:spacing w:line="480" w:lineRule="auto"/>
        <w:ind w:firstLine="560"/>
        <w:jc w:val="both"/>
        <w:rPr>
          <w:rFonts w:asciiTheme="minorEastAsia" w:hAnsiTheme="minorEastAsia" w:eastAsiaTheme="minorEastAsia"/>
          <w:color w:val="000000" w:themeColor="text1"/>
          <w:sz w:val="28"/>
          <w:szCs w:val="28"/>
          <w14:textFill>
            <w14:solidFill>
              <w14:schemeClr w14:val="tx1"/>
            </w14:solidFill>
          </w14:textFill>
        </w:rPr>
      </w:pPr>
      <w:r>
        <w:rPr>
          <w:rFonts w:hint="eastAsia" w:asciiTheme="minorEastAsia" w:hAnsiTheme="minorEastAsia" w:eastAsiaTheme="minorEastAsia"/>
          <w:color w:val="000000" w:themeColor="text1"/>
          <w:sz w:val="28"/>
          <w:szCs w:val="28"/>
          <w14:textFill>
            <w14:solidFill>
              <w14:schemeClr w14:val="tx1"/>
            </w14:solidFill>
          </w14:textFill>
        </w:rPr>
        <w:t>虽然“十二五”期间三井街道各项事业取得了巨大成就，但还存在着许多发展中矛盾，有待解决。</w:t>
      </w:r>
    </w:p>
    <w:p w14:paraId="59A37A78">
      <w:pPr>
        <w:pStyle w:val="8"/>
        <w:spacing w:line="480" w:lineRule="auto"/>
        <w:ind w:firstLine="560"/>
        <w:jc w:val="both"/>
        <w:rPr>
          <w:rFonts w:asciiTheme="minorEastAsia" w:hAnsiTheme="minorEastAsia" w:eastAsiaTheme="minorEastAsia"/>
          <w:color w:val="000000" w:themeColor="text1"/>
          <w:sz w:val="28"/>
          <w:szCs w:val="28"/>
          <w14:textFill>
            <w14:solidFill>
              <w14:schemeClr w14:val="tx1"/>
            </w14:solidFill>
          </w14:textFill>
        </w:rPr>
      </w:pPr>
      <w:r>
        <w:rPr>
          <w:rFonts w:hint="eastAsia" w:asciiTheme="minorEastAsia" w:hAnsiTheme="minorEastAsia" w:eastAsiaTheme="minorEastAsia"/>
          <w:color w:val="000000" w:themeColor="text1"/>
          <w:sz w:val="28"/>
          <w:szCs w:val="28"/>
          <w14:textFill>
            <w14:solidFill>
              <w14:schemeClr w14:val="tx1"/>
            </w14:solidFill>
          </w14:textFill>
        </w:rPr>
        <w:t>一是三井街道没有经济增量发展承载空间，所有的土地已被开发，目前工业缺乏大规模投资项目，房地产项目大多处于收尾阶段，外资无增资意向；</w:t>
      </w:r>
    </w:p>
    <w:p w14:paraId="76DC0E2D">
      <w:pPr>
        <w:pStyle w:val="8"/>
        <w:spacing w:line="480" w:lineRule="auto"/>
        <w:ind w:firstLine="560"/>
        <w:jc w:val="both"/>
        <w:rPr>
          <w:rFonts w:asciiTheme="minorEastAsia" w:hAnsiTheme="minorEastAsia" w:eastAsiaTheme="minorEastAsia"/>
          <w:color w:val="000000" w:themeColor="text1"/>
          <w:sz w:val="28"/>
          <w:szCs w:val="28"/>
          <w14:textFill>
            <w14:solidFill>
              <w14:schemeClr w14:val="tx1"/>
            </w14:solidFill>
          </w14:textFill>
        </w:rPr>
      </w:pPr>
      <w:r>
        <w:rPr>
          <w:rFonts w:hint="eastAsia" w:asciiTheme="minorEastAsia" w:hAnsiTheme="minorEastAsia" w:eastAsiaTheme="minorEastAsia"/>
          <w:color w:val="000000" w:themeColor="text1"/>
          <w:sz w:val="28"/>
          <w:szCs w:val="28"/>
          <w14:textFill>
            <w14:solidFill>
              <w14:schemeClr w14:val="tx1"/>
            </w14:solidFill>
          </w14:textFill>
        </w:rPr>
        <w:t>二是服务业比重偏低、工业比重偏高的产业结构与三井街道城区功能定位错位，且工业企业中虽然不乏行业领先企业，但工业内部结构还存在“多而散、散而小、小而弱”等不合理情况；</w:t>
      </w:r>
    </w:p>
    <w:p w14:paraId="7C4F8794">
      <w:pPr>
        <w:pStyle w:val="8"/>
        <w:spacing w:line="480" w:lineRule="auto"/>
        <w:ind w:firstLine="560"/>
        <w:jc w:val="both"/>
        <w:rPr>
          <w:rFonts w:asciiTheme="minorEastAsia" w:hAnsiTheme="minorEastAsia" w:eastAsiaTheme="minorEastAsia"/>
          <w:color w:val="000000" w:themeColor="text1"/>
          <w:sz w:val="28"/>
          <w:szCs w:val="28"/>
          <w14:textFill>
            <w14:solidFill>
              <w14:schemeClr w14:val="tx1"/>
            </w14:solidFill>
          </w14:textFill>
        </w:rPr>
      </w:pPr>
      <w:r>
        <w:rPr>
          <w:rFonts w:hint="eastAsia" w:asciiTheme="minorEastAsia" w:hAnsiTheme="minorEastAsia" w:eastAsiaTheme="minorEastAsia"/>
          <w:color w:val="000000" w:themeColor="text1"/>
          <w:sz w:val="28"/>
          <w:szCs w:val="28"/>
          <w14:textFill>
            <w14:solidFill>
              <w14:schemeClr w14:val="tx1"/>
            </w14:solidFill>
          </w14:textFill>
        </w:rPr>
        <w:t>三是三井街道房地产业投资尤其住宅房地产业投资比重偏高，在土地资源越来越稀缺和住房空置率居高不下情况下，“十三五”期间房地产业难以继续成为三井街道支柱产业；</w:t>
      </w:r>
    </w:p>
    <w:p w14:paraId="3992D5C6">
      <w:pPr>
        <w:pStyle w:val="8"/>
        <w:spacing w:line="480" w:lineRule="auto"/>
        <w:ind w:firstLine="560"/>
        <w:jc w:val="both"/>
        <w:rPr>
          <w:rFonts w:asciiTheme="minorEastAsia" w:hAnsiTheme="minorEastAsia" w:eastAsiaTheme="minorEastAsia"/>
          <w:color w:val="000000" w:themeColor="text1"/>
          <w:sz w:val="28"/>
          <w:szCs w:val="28"/>
          <w14:textFill>
            <w14:solidFill>
              <w14:schemeClr w14:val="tx1"/>
            </w14:solidFill>
          </w14:textFill>
        </w:rPr>
      </w:pPr>
      <w:r>
        <w:rPr>
          <w:rFonts w:hint="eastAsia" w:asciiTheme="minorEastAsia" w:hAnsiTheme="minorEastAsia" w:eastAsiaTheme="minorEastAsia"/>
          <w:color w:val="000000" w:themeColor="text1"/>
          <w:sz w:val="28"/>
          <w:szCs w:val="28"/>
          <w14:textFill>
            <w14:solidFill>
              <w14:schemeClr w14:val="tx1"/>
            </w14:solidFill>
          </w14:textFill>
        </w:rPr>
        <w:t>四是三井街道虽然拥有常州独一无二的行政中心资源、文体中心资源、传媒中心资源，又有吸引人气的环球恐龙城、万达商业广场等经典项目和具有浓厚商业氛围的太湖路商业一条街，但“人气”并没有充分转变为“财气”，现代都市服务业依然是三井街道“短板”产业；</w:t>
      </w:r>
    </w:p>
    <w:p w14:paraId="0A45A08C">
      <w:pPr>
        <w:pStyle w:val="8"/>
        <w:spacing w:line="480" w:lineRule="auto"/>
        <w:ind w:firstLine="560"/>
        <w:jc w:val="both"/>
        <w:rPr>
          <w:rFonts w:asciiTheme="minorEastAsia" w:hAnsiTheme="minorEastAsia" w:eastAsiaTheme="minorEastAsia"/>
          <w:bCs/>
          <w:color w:val="000000" w:themeColor="text1"/>
          <w:sz w:val="28"/>
          <w:szCs w:val="28"/>
          <w14:textFill>
            <w14:solidFill>
              <w14:schemeClr w14:val="tx1"/>
            </w14:solidFill>
          </w14:textFill>
        </w:rPr>
      </w:pPr>
      <w:r>
        <w:rPr>
          <w:rFonts w:hint="eastAsia" w:asciiTheme="minorEastAsia" w:hAnsiTheme="minorEastAsia" w:eastAsiaTheme="minorEastAsia"/>
          <w:color w:val="000000" w:themeColor="text1"/>
          <w:sz w:val="28"/>
          <w:szCs w:val="28"/>
          <w14:textFill>
            <w14:solidFill>
              <w14:schemeClr w14:val="tx1"/>
            </w14:solidFill>
          </w14:textFill>
        </w:rPr>
        <w:t>五是三井街道作为常州新城区，户籍人口虽然不多，但不断增长的实际居住人口很多，且以“新常州人”和中青年人口为主，由于没有充分实现公共服务均等化和商业服务便利化，居民就医、子女上学入园等存在一定程度不便，许多“新常州人”还没有真正融入融合到常州，</w:t>
      </w:r>
      <w:r>
        <w:rPr>
          <w:rFonts w:hint="eastAsia" w:asciiTheme="minorEastAsia" w:hAnsiTheme="minorEastAsia" w:eastAsiaTheme="minorEastAsia"/>
          <w:bCs/>
          <w:color w:val="000000" w:themeColor="text1"/>
          <w:sz w:val="28"/>
          <w:szCs w:val="28"/>
          <w14:textFill>
            <w14:solidFill>
              <w14:schemeClr w14:val="tx1"/>
            </w14:solidFill>
          </w14:textFill>
        </w:rPr>
        <w:t>服务民生、改善民生成为三井街道急待解决问题；</w:t>
      </w:r>
    </w:p>
    <w:p w14:paraId="56038303">
      <w:pPr>
        <w:pStyle w:val="8"/>
        <w:spacing w:line="480" w:lineRule="auto"/>
        <w:ind w:firstLine="560"/>
        <w:jc w:val="both"/>
        <w:rPr>
          <w:rFonts w:asciiTheme="minorEastAsia" w:hAnsiTheme="minorEastAsia" w:eastAsiaTheme="minorEastAsia"/>
          <w:bCs/>
          <w:color w:val="000000" w:themeColor="text1"/>
          <w:sz w:val="28"/>
          <w:szCs w:val="28"/>
          <w14:textFill>
            <w14:solidFill>
              <w14:schemeClr w14:val="tx1"/>
            </w14:solidFill>
          </w14:textFill>
        </w:rPr>
      </w:pPr>
      <w:r>
        <w:rPr>
          <w:rFonts w:hint="eastAsia" w:asciiTheme="minorEastAsia" w:hAnsiTheme="minorEastAsia" w:eastAsiaTheme="minorEastAsia"/>
          <w:bCs/>
          <w:color w:val="000000" w:themeColor="text1"/>
          <w:sz w:val="28"/>
          <w:szCs w:val="28"/>
          <w14:textFill>
            <w14:solidFill>
              <w14:schemeClr w14:val="tx1"/>
            </w14:solidFill>
          </w14:textFill>
        </w:rPr>
        <w:t>六是城市社区管理跟不上城市化步伐，不仅老的问题（如物业费、停车费、电梯费收费难等）没有彻底解决，而且新的问题又不断涌现，一些小区随着使用时间增加和住房业主、住户频繁更换，为社区管理增添了复杂性。</w:t>
      </w:r>
    </w:p>
    <w:p w14:paraId="73AF66D2">
      <w:pPr>
        <w:spacing w:line="54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 </w:t>
      </w:r>
    </w:p>
    <w:p w14:paraId="29B6ABE1">
      <w:pPr>
        <w:widowControl/>
        <w:jc w:val="left"/>
        <w:rPr>
          <w:rFonts w:ascii="仿宋_GB2312" w:eastAsia="仿宋_GB2312"/>
          <w:color w:val="000000" w:themeColor="text1"/>
          <w:sz w:val="32"/>
          <w:szCs w:val="32"/>
          <w14:textFill>
            <w14:solidFill>
              <w14:schemeClr w14:val="tx1"/>
            </w14:solidFill>
          </w14:textFill>
        </w:rPr>
      </w:pPr>
      <w:r>
        <w:rPr>
          <w:rFonts w:ascii="仿宋_GB2312" w:eastAsia="仿宋_GB2312"/>
          <w:color w:val="000000" w:themeColor="text1"/>
          <w:sz w:val="32"/>
          <w:szCs w:val="32"/>
          <w14:textFill>
            <w14:solidFill>
              <w14:schemeClr w14:val="tx1"/>
            </w14:solidFill>
          </w14:textFill>
        </w:rPr>
        <w:br w:type="page"/>
      </w:r>
    </w:p>
    <w:p w14:paraId="3DD31E23">
      <w:pPr>
        <w:rPr>
          <w:rFonts w:ascii="仿宋_GB2312" w:eastAsia="仿宋_GB2312"/>
          <w:color w:val="000000" w:themeColor="text1"/>
          <w:sz w:val="72"/>
          <w:szCs w:val="72"/>
          <w14:textFill>
            <w14:solidFill>
              <w14:schemeClr w14:val="tx1"/>
            </w14:solidFill>
          </w14:textFill>
        </w:rPr>
      </w:pPr>
    </w:p>
    <w:p w14:paraId="42868C52">
      <w:pPr>
        <w:spacing w:line="560" w:lineRule="exact"/>
        <w:ind w:firstLine="663" w:firstLineChars="150"/>
        <w:rPr>
          <w:rFonts w:ascii="黑体" w:hAnsi="宋体" w:eastAsia="黑体"/>
          <w:b/>
          <w:color w:val="000000" w:themeColor="text1"/>
          <w:sz w:val="44"/>
          <w:szCs w:val="44"/>
          <w14:textFill>
            <w14:solidFill>
              <w14:schemeClr w14:val="tx1"/>
            </w14:solidFill>
          </w14:textFill>
        </w:rPr>
      </w:pPr>
      <w:r>
        <w:rPr>
          <w:rFonts w:hint="eastAsia" w:ascii="黑体" w:hAnsi="宋体" w:eastAsia="黑体"/>
          <w:b/>
          <w:bCs/>
          <w:color w:val="000000" w:themeColor="text1"/>
          <w:sz w:val="44"/>
          <w:szCs w:val="44"/>
          <w14:textFill>
            <w14:solidFill>
              <w14:schemeClr w14:val="tx1"/>
            </w14:solidFill>
          </w14:textFill>
        </w:rPr>
        <w:t>二、 “十三五”期间发展</w:t>
      </w:r>
      <w:r>
        <w:rPr>
          <w:rFonts w:hint="eastAsia" w:ascii="黑体" w:hAnsi="宋体" w:eastAsia="黑体"/>
          <w:b/>
          <w:color w:val="000000" w:themeColor="text1"/>
          <w:sz w:val="44"/>
          <w:szCs w:val="44"/>
          <w14:textFill>
            <w14:solidFill>
              <w14:schemeClr w14:val="tx1"/>
            </w14:solidFill>
          </w14:textFill>
        </w:rPr>
        <w:t>形势判断</w:t>
      </w:r>
    </w:p>
    <w:p w14:paraId="24C6EED9">
      <w:pPr>
        <w:widowControl/>
        <w:spacing w:before="100" w:beforeAutospacing="1" w:after="100" w:afterAutospacing="1"/>
        <w:ind w:firstLine="645"/>
        <w:jc w:val="left"/>
        <w:outlineLvl w:val="0"/>
        <w:rPr>
          <w:rFonts w:ascii="宋体" w:hAnsi="宋体"/>
          <w:color w:val="000000" w:themeColor="text1"/>
          <w:sz w:val="13"/>
          <w:szCs w:val="13"/>
          <w14:textFill>
            <w14:solidFill>
              <w14:schemeClr w14:val="tx1"/>
            </w14:solidFill>
          </w14:textFill>
        </w:rPr>
      </w:pPr>
    </w:p>
    <w:p w14:paraId="60658E11">
      <w:pPr>
        <w:pStyle w:val="8"/>
        <w:spacing w:line="480" w:lineRule="auto"/>
        <w:ind w:firstLine="560"/>
        <w:jc w:val="both"/>
        <w:rPr>
          <w:rFonts w:asciiTheme="minorEastAsia" w:hAnsiTheme="minorEastAsia" w:eastAsiaTheme="minorEastAsia"/>
          <w:color w:val="000000" w:themeColor="text1"/>
          <w:sz w:val="28"/>
          <w:szCs w:val="28"/>
          <w14:textFill>
            <w14:solidFill>
              <w14:schemeClr w14:val="tx1"/>
            </w14:solidFill>
          </w14:textFill>
        </w:rPr>
      </w:pPr>
      <w:r>
        <w:rPr>
          <w:rFonts w:ascii="宋体" w:hAnsi="宋体"/>
          <w:bCs/>
          <w:color w:val="000000" w:themeColor="text1"/>
          <w:sz w:val="28"/>
          <w:szCs w:val="28"/>
          <w14:textFill>
            <w14:solidFill>
              <w14:schemeClr w14:val="tx1"/>
            </w14:solidFill>
          </w14:textFill>
        </w:rPr>
        <w:t>2014</w:t>
      </w:r>
      <w:r>
        <w:rPr>
          <w:rFonts w:hint="eastAsia" w:ascii="宋体" w:hAnsi="宋体"/>
          <w:bCs/>
          <w:color w:val="000000" w:themeColor="text1"/>
          <w:sz w:val="28"/>
          <w:szCs w:val="28"/>
          <w14:textFill>
            <w14:solidFill>
              <w14:schemeClr w14:val="tx1"/>
            </w14:solidFill>
          </w14:textFill>
        </w:rPr>
        <w:t>年</w:t>
      </w:r>
      <w:r>
        <w:rPr>
          <w:rFonts w:ascii="宋体" w:hAnsi="宋体"/>
          <w:bCs/>
          <w:color w:val="000000" w:themeColor="text1"/>
          <w:sz w:val="28"/>
          <w:szCs w:val="28"/>
          <w14:textFill>
            <w14:solidFill>
              <w14:schemeClr w14:val="tx1"/>
            </w14:solidFill>
          </w14:textFill>
        </w:rPr>
        <w:t>5</w:t>
      </w:r>
      <w:r>
        <w:rPr>
          <w:rFonts w:hint="eastAsia" w:ascii="宋体" w:hAnsi="宋体"/>
          <w:bCs/>
          <w:color w:val="000000" w:themeColor="text1"/>
          <w:sz w:val="28"/>
          <w:szCs w:val="28"/>
          <w14:textFill>
            <w14:solidFill>
              <w14:schemeClr w14:val="tx1"/>
            </w14:solidFill>
          </w14:textFill>
        </w:rPr>
        <w:t>月</w:t>
      </w:r>
      <w:r>
        <w:rPr>
          <w:rFonts w:ascii="宋体" w:hAnsi="宋体"/>
          <w:bCs/>
          <w:color w:val="000000" w:themeColor="text1"/>
          <w:sz w:val="28"/>
          <w:szCs w:val="28"/>
          <w14:textFill>
            <w14:solidFill>
              <w14:schemeClr w14:val="tx1"/>
            </w14:solidFill>
          </w14:textFill>
        </w:rPr>
        <w:t>13</w:t>
      </w:r>
      <w:r>
        <w:rPr>
          <w:rFonts w:hint="eastAsia" w:ascii="宋体" w:hAnsi="宋体"/>
          <w:bCs/>
          <w:color w:val="000000" w:themeColor="text1"/>
          <w:sz w:val="28"/>
          <w:szCs w:val="28"/>
          <w14:textFill>
            <w14:solidFill>
              <w14:schemeClr w14:val="tx1"/>
            </w14:solidFill>
          </w14:textFill>
        </w:rPr>
        <w:t>日国家主席习近平在河南考察时第一次用了新常态，指出“我国发展仍处于重要战略机遇期，我们要增强信心，从当前我国经济发展的阶段性特征出发，适应新常态</w:t>
      </w:r>
      <w:r>
        <w:rPr>
          <w:rStyle w:val="14"/>
          <w:rFonts w:ascii="宋体" w:hAnsi="宋体"/>
          <w:bCs/>
          <w:color w:val="000000" w:themeColor="text1"/>
          <w:sz w:val="28"/>
          <w:szCs w:val="28"/>
          <w14:textFill>
            <w14:solidFill>
              <w14:schemeClr w14:val="tx1"/>
            </w14:solidFill>
          </w14:textFill>
        </w:rPr>
        <w:footnoteReference w:id="5"/>
      </w:r>
      <w:r>
        <w:rPr>
          <w:rFonts w:hint="eastAsia" w:ascii="宋体" w:hAnsi="宋体"/>
          <w:bCs/>
          <w:color w:val="000000" w:themeColor="text1"/>
          <w:sz w:val="28"/>
          <w:szCs w:val="28"/>
          <w14:textFill>
            <w14:solidFill>
              <w14:schemeClr w14:val="tx1"/>
            </w14:solidFill>
          </w14:textFill>
        </w:rPr>
        <w:t>，保持战略上的平常心态”。同年，国家主席</w:t>
      </w:r>
      <w:r>
        <w:rPr>
          <w:rFonts w:hint="eastAsia" w:asciiTheme="minorEastAsia" w:hAnsiTheme="minorEastAsia" w:eastAsiaTheme="minorEastAsia"/>
          <w:color w:val="000000" w:themeColor="text1"/>
          <w:sz w:val="28"/>
          <w:szCs w:val="28"/>
          <w14:textFill>
            <w14:solidFill>
              <w14:schemeClr w14:val="tx1"/>
            </w14:solidFill>
          </w14:textFill>
        </w:rPr>
        <w:t>习近平在2014年中央外事工作会议上指出：“当今世界是一个变革的世界，是一个新机遇新挑战层出不穷的世界，是一个国际体系和国际秩序深度调整的世界，是一个国际力量对比深刻变化并朝着有利于和平和发展方向变化的世界。”大时代需要大格局，大格局需要大智慧，大智慧需要大担当。只有认清这个时代特征，才能借势而为，顺势发展。</w:t>
      </w:r>
    </w:p>
    <w:p w14:paraId="44A88E04">
      <w:pPr>
        <w:pStyle w:val="8"/>
        <w:spacing w:line="480" w:lineRule="auto"/>
        <w:ind w:firstLine="560"/>
        <w:jc w:val="both"/>
        <w:rPr>
          <w:rFonts w:asciiTheme="minorEastAsia" w:hAnsiTheme="minorEastAsia" w:eastAsiaTheme="minorEastAsia"/>
          <w:color w:val="000000" w:themeColor="text1"/>
          <w:sz w:val="28"/>
          <w:szCs w:val="28"/>
          <w14:textFill>
            <w14:solidFill>
              <w14:schemeClr w14:val="tx1"/>
            </w14:solidFill>
          </w14:textFill>
        </w:rPr>
      </w:pPr>
    </w:p>
    <w:p w14:paraId="1F5BC4F8">
      <w:pPr>
        <w:spacing w:line="720" w:lineRule="auto"/>
        <w:rPr>
          <w:rFonts w:ascii="黑体" w:eastAsia="黑体" w:hAnsiTheme="minorEastAsia"/>
          <w:b/>
          <w:sz w:val="32"/>
          <w:szCs w:val="32"/>
        </w:rPr>
      </w:pPr>
      <w:r>
        <w:rPr>
          <w:rFonts w:hint="eastAsia" w:ascii="黑体" w:eastAsia="黑体" w:hAnsiTheme="minorEastAsia"/>
          <w:b/>
          <w:sz w:val="32"/>
          <w:szCs w:val="32"/>
        </w:rPr>
        <w:t>（一）国际国内发展形势</w:t>
      </w:r>
    </w:p>
    <w:p w14:paraId="15CC5FD2">
      <w:pPr>
        <w:pStyle w:val="8"/>
        <w:spacing w:line="480" w:lineRule="auto"/>
        <w:ind w:firstLine="420" w:firstLineChars="150"/>
        <w:rPr>
          <w:rFonts w:cs="Arial" w:asciiTheme="minorEastAsia" w:hAnsiTheme="minorEastAsia" w:eastAsiaTheme="minorEastAsia"/>
          <w:color w:val="000000" w:themeColor="text1"/>
          <w:kern w:val="0"/>
          <w:sz w:val="28"/>
          <w:szCs w:val="28"/>
          <w14:textFill>
            <w14:solidFill>
              <w14:schemeClr w14:val="tx1"/>
            </w14:solidFill>
          </w14:textFill>
        </w:rPr>
      </w:pPr>
      <w:r>
        <w:rPr>
          <w:rFonts w:hint="eastAsia" w:cs="Arial" w:asciiTheme="minorEastAsia" w:hAnsiTheme="minorEastAsia" w:eastAsiaTheme="minorEastAsia"/>
          <w:color w:val="000000" w:themeColor="text1"/>
          <w:kern w:val="0"/>
          <w:sz w:val="28"/>
          <w:szCs w:val="28"/>
          <w14:textFill>
            <w14:solidFill>
              <w14:schemeClr w14:val="tx1"/>
            </w14:solidFill>
          </w14:textFill>
        </w:rPr>
        <w:t>“十三五”时期，</w:t>
      </w:r>
      <w:r>
        <w:rPr>
          <w:rFonts w:cs="Arial" w:asciiTheme="minorEastAsia" w:hAnsiTheme="minorEastAsia" w:eastAsiaTheme="minorEastAsia"/>
          <w:color w:val="000000" w:themeColor="text1"/>
          <w:kern w:val="0"/>
          <w:sz w:val="28"/>
          <w:szCs w:val="28"/>
          <w14:textFill>
            <w14:solidFill>
              <w14:schemeClr w14:val="tx1"/>
            </w14:solidFill>
          </w14:textFill>
        </w:rPr>
        <w:t>和平与发展的时代主题没有变，世界多极化、经济全球化、文化多样化、社会信息化深入发展，世界经济在深度调整中曲折复苏，新一轮科技革命和产业变革蓄势待发，</w:t>
      </w:r>
      <w:r>
        <w:rPr>
          <w:rFonts w:hint="eastAsia" w:cs="Arial" w:asciiTheme="minorEastAsia" w:hAnsiTheme="minorEastAsia" w:eastAsiaTheme="minorEastAsia"/>
          <w:color w:val="000000" w:themeColor="text1"/>
          <w:kern w:val="0"/>
          <w:sz w:val="28"/>
          <w:szCs w:val="28"/>
          <w14:textFill>
            <w14:solidFill>
              <w14:schemeClr w14:val="tx1"/>
            </w14:solidFill>
          </w14:textFill>
        </w:rPr>
        <w:t>工业4.0</w:t>
      </w:r>
      <w:r>
        <w:rPr>
          <w:rStyle w:val="14"/>
          <w:rFonts w:cs="Arial" w:asciiTheme="minorEastAsia" w:hAnsiTheme="minorEastAsia" w:eastAsiaTheme="minorEastAsia"/>
          <w:color w:val="000000" w:themeColor="text1"/>
          <w:kern w:val="0"/>
          <w:sz w:val="28"/>
          <w:szCs w:val="28"/>
          <w14:textFill>
            <w14:solidFill>
              <w14:schemeClr w14:val="tx1"/>
            </w14:solidFill>
          </w14:textFill>
        </w:rPr>
        <w:footnoteReference w:id="6"/>
      </w:r>
      <w:r>
        <w:rPr>
          <w:rFonts w:hint="eastAsia" w:cs="Arial" w:asciiTheme="minorEastAsia" w:hAnsiTheme="minorEastAsia" w:eastAsiaTheme="minorEastAsia"/>
          <w:color w:val="000000" w:themeColor="text1"/>
          <w:kern w:val="0"/>
          <w:sz w:val="28"/>
          <w:szCs w:val="28"/>
          <w14:textFill>
            <w14:solidFill>
              <w14:schemeClr w14:val="tx1"/>
            </w14:solidFill>
          </w14:textFill>
        </w:rPr>
        <w:t>和互联网3.0</w:t>
      </w:r>
      <w:r>
        <w:rPr>
          <w:rStyle w:val="14"/>
          <w:rFonts w:cs="Arial" w:asciiTheme="minorEastAsia" w:hAnsiTheme="minorEastAsia" w:eastAsiaTheme="minorEastAsia"/>
          <w:color w:val="000000" w:themeColor="text1"/>
          <w:kern w:val="0"/>
          <w:sz w:val="28"/>
          <w:szCs w:val="28"/>
          <w14:textFill>
            <w14:solidFill>
              <w14:schemeClr w14:val="tx1"/>
            </w14:solidFill>
          </w14:textFill>
        </w:rPr>
        <w:footnoteReference w:id="7"/>
      </w:r>
      <w:r>
        <w:rPr>
          <w:rFonts w:hint="eastAsia" w:cs="Arial" w:asciiTheme="minorEastAsia" w:hAnsiTheme="minorEastAsia" w:eastAsiaTheme="minorEastAsia"/>
          <w:color w:val="000000" w:themeColor="text1"/>
          <w:kern w:val="0"/>
          <w:sz w:val="28"/>
          <w:szCs w:val="28"/>
          <w14:textFill>
            <w14:solidFill>
              <w14:schemeClr w14:val="tx1"/>
            </w14:solidFill>
          </w14:textFill>
        </w:rPr>
        <w:t>已经走来，</w:t>
      </w:r>
      <w:r>
        <w:rPr>
          <w:rFonts w:cs="Arial" w:asciiTheme="minorEastAsia" w:hAnsiTheme="minorEastAsia" w:eastAsiaTheme="minorEastAsia"/>
          <w:color w:val="000000" w:themeColor="text1"/>
          <w:kern w:val="0"/>
          <w:sz w:val="28"/>
          <w:szCs w:val="28"/>
          <w14:textFill>
            <w14:solidFill>
              <w14:schemeClr w14:val="tx1"/>
            </w14:solidFill>
          </w14:textFill>
        </w:rPr>
        <w:t>全球治理体系深刻变革，发展中国家群体力量继续增强，国际力量对比逐步趋向平衡。同时，国际金融危机深层次影响在相当长时期依然存在，全球经济贸易增长乏力，保护主义抬头，地缘政治关系复杂变化，传统安全威胁和非传统安全威胁交织，外部环境不稳定不确定因素增多。</w:t>
      </w:r>
    </w:p>
    <w:p w14:paraId="468B9117">
      <w:pPr>
        <w:widowControl/>
        <w:shd w:val="clear" w:color="auto" w:fill="FFFFFF"/>
        <w:spacing w:line="480" w:lineRule="auto"/>
        <w:ind w:firstLine="560"/>
        <w:rPr>
          <w:rFonts w:cs="Arial" w:asciiTheme="minorEastAsia" w:hAnsiTheme="minorEastAsia" w:eastAsiaTheme="minorEastAsia"/>
          <w:color w:val="000000" w:themeColor="text1"/>
          <w:kern w:val="0"/>
          <w:sz w:val="28"/>
          <w:szCs w:val="28"/>
          <w14:textFill>
            <w14:solidFill>
              <w14:schemeClr w14:val="tx1"/>
            </w14:solidFill>
          </w14:textFill>
        </w:rPr>
      </w:pPr>
      <w:r>
        <w:rPr>
          <w:rFonts w:hint="eastAsia" w:cs="Arial" w:asciiTheme="minorEastAsia" w:hAnsiTheme="minorEastAsia" w:eastAsiaTheme="minorEastAsia"/>
          <w:color w:val="000000" w:themeColor="text1"/>
          <w:kern w:val="0"/>
          <w:sz w:val="28"/>
          <w:szCs w:val="28"/>
          <w14:textFill>
            <w14:solidFill>
              <w14:schemeClr w14:val="tx1"/>
            </w14:solidFill>
          </w14:textFill>
        </w:rPr>
        <w:t>中国国内</w:t>
      </w:r>
      <w:r>
        <w:rPr>
          <w:rFonts w:cs="Arial" w:asciiTheme="minorEastAsia" w:hAnsiTheme="minorEastAsia" w:eastAsiaTheme="minorEastAsia"/>
          <w:color w:val="000000" w:themeColor="text1"/>
          <w:kern w:val="0"/>
          <w:sz w:val="28"/>
          <w:szCs w:val="28"/>
          <w14:textFill>
            <w14:solidFill>
              <w14:schemeClr w14:val="tx1"/>
            </w14:solidFill>
          </w14:textFill>
        </w:rPr>
        <w:t>物质基础雄厚、人力资本丰富、市场空间广阔、发展潜力巨大，经济发展方式加快转变，新的增长动力正在孕育形成，经济长期向好基本面没有改变。同时，发展不平衡、不协调、不可持续问题仍然突出，主要是发展方式粗放，创新能力不强，部分行业产能过剩严重，企业效益下滑，重大安全事故频发；城乡区域发展不平衡；资源约束趋紧，生态环境恶化趋势尚未得到根本扭转；基本公共服务供给不足，收入差距较大，人口老龄化加快，消除贫困任务艰巨；人们文明素质和社会文明程度有待提高；法治建设有待加强；领导干部思想作风和能力水平有待提高，党员、干部先锋模范作用有待强化。</w:t>
      </w:r>
    </w:p>
    <w:p w14:paraId="20036FDC">
      <w:pPr>
        <w:widowControl/>
        <w:shd w:val="clear" w:color="auto" w:fill="FFFFFF"/>
        <w:spacing w:line="480" w:lineRule="auto"/>
        <w:ind w:firstLine="560"/>
        <w:rPr>
          <w:rFonts w:asciiTheme="minorEastAsia" w:hAnsiTheme="minorEastAsia" w:eastAsiaTheme="minorEastAsia"/>
          <w:color w:val="000000" w:themeColor="text1"/>
          <w:sz w:val="28"/>
          <w:szCs w:val="28"/>
          <w14:textFill>
            <w14:solidFill>
              <w14:schemeClr w14:val="tx1"/>
            </w14:solidFill>
          </w14:textFill>
        </w:rPr>
      </w:pPr>
      <w:r>
        <w:rPr>
          <w:rFonts w:cs="Arial" w:asciiTheme="minorEastAsia" w:hAnsiTheme="minorEastAsia" w:eastAsiaTheme="minorEastAsia"/>
          <w:color w:val="000000" w:themeColor="text1"/>
          <w:kern w:val="0"/>
          <w:sz w:val="28"/>
          <w:szCs w:val="28"/>
          <w14:textFill>
            <w14:solidFill>
              <w14:schemeClr w14:val="tx1"/>
            </w14:solidFill>
          </w14:textFill>
        </w:rPr>
        <w:t>综合判断，</w:t>
      </w:r>
      <w:r>
        <w:rPr>
          <w:rFonts w:hint="eastAsia" w:cs="Arial" w:asciiTheme="minorEastAsia" w:hAnsiTheme="minorEastAsia" w:eastAsiaTheme="minorEastAsia"/>
          <w:color w:val="000000" w:themeColor="text1"/>
          <w:kern w:val="0"/>
          <w:sz w:val="28"/>
          <w:szCs w:val="28"/>
          <w14:textFill>
            <w14:solidFill>
              <w14:schemeClr w14:val="tx1"/>
            </w14:solidFill>
          </w14:textFill>
        </w:rPr>
        <w:t>“十三五”时期，</w:t>
      </w:r>
      <w:r>
        <w:rPr>
          <w:rFonts w:hint="eastAsia" w:asciiTheme="minorEastAsia" w:hAnsiTheme="minorEastAsia" w:eastAsiaTheme="minorEastAsia"/>
          <w:color w:val="000000" w:themeColor="text1"/>
          <w:sz w:val="28"/>
          <w:szCs w:val="28"/>
          <w14:textFill>
            <w14:solidFill>
              <w14:schemeClr w14:val="tx1"/>
            </w14:solidFill>
          </w14:textFill>
        </w:rPr>
        <w:t>中国经济社会发展虽处于“三期叠加”（增长速度换挡期、结构调整阵痛期、前期刺激政策消化期）和发达国家“高端制造业回流”、发展中国家“中低端制造分流”的双重挤压阶段，又</w:t>
      </w:r>
      <w:r>
        <w:rPr>
          <w:rFonts w:cs="Arial" w:asciiTheme="minorEastAsia" w:hAnsiTheme="minorEastAsia" w:eastAsiaTheme="minorEastAsia"/>
          <w:color w:val="000000" w:themeColor="text1"/>
          <w:kern w:val="0"/>
          <w:sz w:val="28"/>
          <w:szCs w:val="28"/>
          <w14:textFill>
            <w14:solidFill>
              <w14:schemeClr w14:val="tx1"/>
            </w14:solidFill>
          </w14:textFill>
        </w:rPr>
        <w:t>面临诸多矛盾叠加、风险隐患增多的严峻挑战</w:t>
      </w:r>
      <w:r>
        <w:rPr>
          <w:rFonts w:hint="eastAsia" w:cs="Arial" w:asciiTheme="minorEastAsia" w:hAnsiTheme="minorEastAsia" w:eastAsiaTheme="minorEastAsia"/>
          <w:color w:val="000000" w:themeColor="text1"/>
          <w:kern w:val="0"/>
          <w:sz w:val="28"/>
          <w:szCs w:val="28"/>
          <w14:textFill>
            <w14:solidFill>
              <w14:schemeClr w14:val="tx1"/>
            </w14:solidFill>
          </w14:textFill>
        </w:rPr>
        <w:t>，但中国</w:t>
      </w:r>
      <w:r>
        <w:rPr>
          <w:rFonts w:cs="Arial" w:asciiTheme="minorEastAsia" w:hAnsiTheme="minorEastAsia" w:eastAsiaTheme="minorEastAsia"/>
          <w:color w:val="000000" w:themeColor="text1"/>
          <w:kern w:val="0"/>
          <w:sz w:val="28"/>
          <w:szCs w:val="28"/>
          <w14:textFill>
            <w14:solidFill>
              <w14:schemeClr w14:val="tx1"/>
            </w14:solidFill>
          </w14:textFill>
        </w:rPr>
        <w:t>仍处于可以大有作为的重要战略机遇期。</w:t>
      </w:r>
      <w:r>
        <w:rPr>
          <w:rFonts w:hint="eastAsia" w:asciiTheme="minorEastAsia" w:hAnsiTheme="minorEastAsia" w:eastAsiaTheme="minorEastAsia"/>
          <w:color w:val="000000" w:themeColor="text1"/>
          <w:sz w:val="28"/>
          <w:szCs w:val="28"/>
          <w14:textFill>
            <w14:solidFill>
              <w14:schemeClr w14:val="tx1"/>
            </w14:solidFill>
          </w14:textFill>
        </w:rPr>
        <w:t>党的十八届三中全会对全面深化改革作出了顶层设计，党的十八届四中全会对依法治国作出了顶层设计，党的十八届五中全会提出了创新、协调、绿色、开放、共享为未来发展理念，这些为三井街道“十三五”时期发展指明了方向</w:t>
      </w:r>
      <w:r>
        <w:rPr>
          <w:rFonts w:hint="eastAsia" w:asciiTheme="minorEastAsia" w:hAnsiTheme="minorEastAsia" w:eastAsiaTheme="minorEastAsia"/>
          <w:color w:val="000000" w:themeColor="text1"/>
          <w:kern w:val="0"/>
          <w:sz w:val="28"/>
          <w:szCs w:val="28"/>
          <w14:textFill>
            <w14:solidFill>
              <w14:schemeClr w14:val="tx1"/>
            </w14:solidFill>
          </w14:textFill>
        </w:rPr>
        <w:t>。同时，国家实施</w:t>
      </w:r>
      <w:r>
        <w:rPr>
          <w:rFonts w:hint="eastAsia" w:asciiTheme="minorEastAsia" w:hAnsiTheme="minorEastAsia" w:eastAsiaTheme="minorEastAsia"/>
          <w:color w:val="000000" w:themeColor="text1"/>
          <w:sz w:val="28"/>
          <w:szCs w:val="28"/>
          <w14:textFill>
            <w14:solidFill>
              <w14:schemeClr w14:val="tx1"/>
            </w14:solidFill>
          </w14:textFill>
        </w:rPr>
        <w:t>“中国制造2025”</w:t>
      </w:r>
      <w:r>
        <w:rPr>
          <w:rStyle w:val="14"/>
          <w:rFonts w:asciiTheme="minorEastAsia" w:hAnsiTheme="minorEastAsia" w:eastAsiaTheme="minorEastAsia"/>
          <w:color w:val="000000" w:themeColor="text1"/>
          <w:sz w:val="28"/>
          <w:szCs w:val="28"/>
          <w14:textFill>
            <w14:solidFill>
              <w14:schemeClr w14:val="tx1"/>
            </w14:solidFill>
          </w14:textFill>
        </w:rPr>
        <w:footnoteReference w:id="8"/>
      </w:r>
      <w:r>
        <w:rPr>
          <w:rFonts w:hint="eastAsia" w:asciiTheme="minorEastAsia" w:hAnsiTheme="minorEastAsia" w:eastAsiaTheme="minorEastAsia"/>
          <w:color w:val="000000" w:themeColor="text1"/>
          <w:sz w:val="28"/>
          <w:szCs w:val="28"/>
          <w14:textFill>
            <w14:solidFill>
              <w14:schemeClr w14:val="tx1"/>
            </w14:solidFill>
          </w14:textFill>
        </w:rPr>
        <w:t>战略为三井街道制造业转型升级指明了方向；另外，国家实施“一带一路”</w:t>
      </w:r>
      <w:r>
        <w:rPr>
          <w:rStyle w:val="14"/>
          <w:rFonts w:asciiTheme="minorEastAsia" w:hAnsiTheme="minorEastAsia" w:eastAsiaTheme="minorEastAsia"/>
          <w:color w:val="000000" w:themeColor="text1"/>
          <w:sz w:val="28"/>
          <w:szCs w:val="28"/>
          <w14:textFill>
            <w14:solidFill>
              <w14:schemeClr w14:val="tx1"/>
            </w14:solidFill>
          </w14:textFill>
        </w:rPr>
        <w:footnoteReference w:id="9"/>
      </w:r>
      <w:r>
        <w:rPr>
          <w:rFonts w:hint="eastAsia" w:asciiTheme="minorEastAsia" w:hAnsiTheme="minorEastAsia" w:eastAsiaTheme="minorEastAsia"/>
          <w:color w:val="000000" w:themeColor="text1"/>
          <w:sz w:val="28"/>
          <w:szCs w:val="28"/>
          <w14:textFill>
            <w14:solidFill>
              <w14:schemeClr w14:val="tx1"/>
            </w14:solidFill>
          </w14:textFill>
        </w:rPr>
        <w:t>战略，既为三井街道制造企业“走出去”提供了便利条件，也为一些入驻三井街道商务大楼的对外贸易企业扩大国际订单提供了可能。</w:t>
      </w:r>
    </w:p>
    <w:p w14:paraId="4A05F5FB">
      <w:pPr>
        <w:widowControl/>
        <w:shd w:val="clear" w:color="auto" w:fill="FFFFFF"/>
        <w:spacing w:line="480" w:lineRule="auto"/>
        <w:ind w:firstLine="560"/>
        <w:rPr>
          <w:rFonts w:asciiTheme="minorEastAsia" w:hAnsiTheme="minorEastAsia" w:eastAsiaTheme="minorEastAsia"/>
          <w:color w:val="000000" w:themeColor="text1"/>
          <w:sz w:val="28"/>
          <w:szCs w:val="28"/>
          <w14:textFill>
            <w14:solidFill>
              <w14:schemeClr w14:val="tx1"/>
            </w14:solidFill>
          </w14:textFill>
        </w:rPr>
      </w:pPr>
    </w:p>
    <w:p w14:paraId="37AA4884">
      <w:pPr>
        <w:spacing w:line="480" w:lineRule="auto"/>
        <w:rPr>
          <w:rFonts w:ascii="黑体" w:eastAsia="黑体" w:hAnsiTheme="minorEastAsia"/>
          <w:b/>
          <w:sz w:val="32"/>
          <w:szCs w:val="32"/>
        </w:rPr>
      </w:pPr>
      <w:r>
        <w:rPr>
          <w:rFonts w:hint="eastAsia" w:ascii="黑体" w:eastAsia="黑体" w:hAnsiTheme="minorEastAsia"/>
          <w:b/>
          <w:sz w:val="32"/>
          <w:szCs w:val="32"/>
        </w:rPr>
        <w:t>（二）区域发展环境</w:t>
      </w:r>
    </w:p>
    <w:p w14:paraId="6F00708A">
      <w:pPr>
        <w:spacing w:line="480" w:lineRule="auto"/>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长三角区域一体化、沿海大开发、苏南现代化示范区战略深入实施和长江经济带与“一带一路”重大战略加快推进，注定了长三角和</w:t>
      </w:r>
      <w:r>
        <w:rPr>
          <w:rFonts w:asciiTheme="minorEastAsia" w:hAnsiTheme="minorEastAsia" w:eastAsiaTheme="minorEastAsia"/>
          <w:sz w:val="28"/>
          <w:szCs w:val="28"/>
        </w:rPr>
        <w:t>江苏</w:t>
      </w:r>
      <w:r>
        <w:rPr>
          <w:rFonts w:hint="eastAsia" w:asciiTheme="minorEastAsia" w:hAnsiTheme="minorEastAsia" w:eastAsiaTheme="minorEastAsia"/>
          <w:sz w:val="28"/>
          <w:szCs w:val="28"/>
        </w:rPr>
        <w:t>依然是中国“十三五”时期社会经济发展重要引擎。中</w:t>
      </w:r>
      <w:r>
        <w:rPr>
          <w:rFonts w:asciiTheme="minorEastAsia" w:hAnsiTheme="minorEastAsia" w:eastAsiaTheme="minorEastAsia"/>
          <w:sz w:val="28"/>
          <w:szCs w:val="28"/>
        </w:rPr>
        <w:t>国对</w:t>
      </w:r>
      <w:r>
        <w:rPr>
          <w:rFonts w:hint="eastAsia" w:asciiTheme="minorEastAsia" w:hAnsiTheme="minorEastAsia" w:eastAsiaTheme="minorEastAsia"/>
          <w:sz w:val="28"/>
          <w:szCs w:val="28"/>
        </w:rPr>
        <w:t>“一带一路”</w:t>
      </w:r>
      <w:r>
        <w:rPr>
          <w:rFonts w:asciiTheme="minorEastAsia" w:hAnsiTheme="minorEastAsia" w:eastAsiaTheme="minorEastAsia"/>
          <w:sz w:val="28"/>
          <w:szCs w:val="28"/>
        </w:rPr>
        <w:t>沿线国家及城市基础设施建设、资源开发、产业合作等领域的投资将大幅度增加，为</w:t>
      </w:r>
      <w:r>
        <w:rPr>
          <w:rFonts w:hint="eastAsia" w:asciiTheme="minorEastAsia" w:hAnsiTheme="minorEastAsia" w:eastAsiaTheme="minorEastAsia"/>
          <w:sz w:val="28"/>
          <w:szCs w:val="28"/>
        </w:rPr>
        <w:t>三井街道</w:t>
      </w:r>
      <w:r>
        <w:rPr>
          <w:rFonts w:asciiTheme="minorEastAsia" w:hAnsiTheme="minorEastAsia" w:eastAsiaTheme="minorEastAsia"/>
          <w:sz w:val="28"/>
          <w:szCs w:val="28"/>
        </w:rPr>
        <w:t>企业“走出去”</w:t>
      </w:r>
      <w:r>
        <w:rPr>
          <w:rFonts w:hint="eastAsia" w:asciiTheme="minorEastAsia" w:hAnsiTheme="minorEastAsia" w:eastAsiaTheme="minorEastAsia"/>
          <w:sz w:val="28"/>
          <w:szCs w:val="28"/>
        </w:rPr>
        <w:t>、“走进去”</w:t>
      </w:r>
      <w:r>
        <w:rPr>
          <w:rFonts w:asciiTheme="minorEastAsia" w:hAnsiTheme="minorEastAsia" w:eastAsiaTheme="minorEastAsia"/>
          <w:sz w:val="28"/>
          <w:szCs w:val="28"/>
        </w:rPr>
        <w:t>发展开辟了广阔空间。苏南自主创新示范区的</w:t>
      </w:r>
      <w:r>
        <w:rPr>
          <w:rFonts w:hint="eastAsia" w:asciiTheme="minorEastAsia" w:hAnsiTheme="minorEastAsia" w:eastAsiaTheme="minorEastAsia"/>
          <w:sz w:val="28"/>
          <w:szCs w:val="28"/>
        </w:rPr>
        <w:t>建设</w:t>
      </w:r>
      <w:r>
        <w:rPr>
          <w:rFonts w:asciiTheme="minorEastAsia" w:hAnsiTheme="minorEastAsia" w:eastAsiaTheme="minorEastAsia"/>
          <w:sz w:val="28"/>
          <w:szCs w:val="28"/>
        </w:rPr>
        <w:t>及各项试点</w:t>
      </w:r>
      <w:r>
        <w:rPr>
          <w:rFonts w:hint="eastAsia" w:asciiTheme="minorEastAsia" w:hAnsiTheme="minorEastAsia" w:eastAsiaTheme="minorEastAsia"/>
          <w:sz w:val="28"/>
          <w:szCs w:val="28"/>
        </w:rPr>
        <w:t>正在</w:t>
      </w:r>
      <w:r>
        <w:rPr>
          <w:rFonts w:asciiTheme="minorEastAsia" w:hAnsiTheme="minorEastAsia" w:eastAsiaTheme="minorEastAsia"/>
          <w:sz w:val="28"/>
          <w:szCs w:val="28"/>
        </w:rPr>
        <w:t>进行，一系列扶持政策和配套措施</w:t>
      </w:r>
      <w:r>
        <w:rPr>
          <w:rFonts w:hint="eastAsia" w:asciiTheme="minorEastAsia" w:hAnsiTheme="minorEastAsia" w:eastAsiaTheme="minorEastAsia"/>
          <w:sz w:val="28"/>
          <w:szCs w:val="28"/>
        </w:rPr>
        <w:t>陆续</w:t>
      </w:r>
      <w:r>
        <w:rPr>
          <w:rFonts w:asciiTheme="minorEastAsia" w:hAnsiTheme="minorEastAsia" w:eastAsiaTheme="minorEastAsia"/>
          <w:sz w:val="28"/>
          <w:szCs w:val="28"/>
        </w:rPr>
        <w:t>出台，并</w:t>
      </w:r>
      <w:r>
        <w:rPr>
          <w:rFonts w:hint="eastAsia" w:asciiTheme="minorEastAsia" w:hAnsiTheme="minorEastAsia" w:eastAsiaTheme="minorEastAsia"/>
          <w:sz w:val="28"/>
          <w:szCs w:val="28"/>
        </w:rPr>
        <w:t>将</w:t>
      </w:r>
      <w:r>
        <w:rPr>
          <w:rFonts w:asciiTheme="minorEastAsia" w:hAnsiTheme="minorEastAsia" w:eastAsiaTheme="minorEastAsia"/>
          <w:sz w:val="28"/>
          <w:szCs w:val="28"/>
        </w:rPr>
        <w:t>开展激励创新政策的先行先试</w:t>
      </w:r>
      <w:r>
        <w:rPr>
          <w:rFonts w:hint="eastAsia" w:asciiTheme="minorEastAsia" w:hAnsiTheme="minorEastAsia" w:eastAsiaTheme="minorEastAsia"/>
          <w:sz w:val="28"/>
          <w:szCs w:val="28"/>
        </w:rPr>
        <w:t>，有利于</w:t>
      </w:r>
      <w:r>
        <w:rPr>
          <w:rFonts w:asciiTheme="minorEastAsia" w:hAnsiTheme="minorEastAsia" w:eastAsiaTheme="minorEastAsia"/>
          <w:sz w:val="28"/>
          <w:szCs w:val="28"/>
        </w:rPr>
        <w:t>充分发挥</w:t>
      </w:r>
      <w:r>
        <w:rPr>
          <w:rFonts w:hint="eastAsia" w:asciiTheme="minorEastAsia" w:hAnsiTheme="minorEastAsia" w:eastAsiaTheme="minorEastAsia"/>
          <w:sz w:val="28"/>
          <w:szCs w:val="28"/>
        </w:rPr>
        <w:t>三井街道高新技术</w:t>
      </w:r>
      <w:r>
        <w:rPr>
          <w:rFonts w:asciiTheme="minorEastAsia" w:hAnsiTheme="minorEastAsia" w:eastAsiaTheme="minorEastAsia"/>
          <w:sz w:val="28"/>
          <w:szCs w:val="28"/>
        </w:rPr>
        <w:t>企业集中、创新</w:t>
      </w:r>
      <w:r>
        <w:rPr>
          <w:rFonts w:hint="eastAsia" w:asciiTheme="minorEastAsia" w:hAnsiTheme="minorEastAsia" w:eastAsiaTheme="minorEastAsia"/>
          <w:sz w:val="28"/>
          <w:szCs w:val="28"/>
        </w:rPr>
        <w:t>创业</w:t>
      </w:r>
      <w:r>
        <w:rPr>
          <w:rFonts w:asciiTheme="minorEastAsia" w:hAnsiTheme="minorEastAsia" w:eastAsiaTheme="minorEastAsia"/>
          <w:sz w:val="28"/>
          <w:szCs w:val="28"/>
        </w:rPr>
        <w:t>人才集聚优势，积极争取</w:t>
      </w:r>
      <w:r>
        <w:rPr>
          <w:rFonts w:hint="eastAsia" w:asciiTheme="minorEastAsia" w:hAnsiTheme="minorEastAsia" w:eastAsiaTheme="minorEastAsia"/>
          <w:sz w:val="28"/>
          <w:szCs w:val="28"/>
        </w:rPr>
        <w:t>国家</w:t>
      </w:r>
      <w:r>
        <w:rPr>
          <w:rFonts w:asciiTheme="minorEastAsia" w:hAnsiTheme="minorEastAsia" w:eastAsiaTheme="minorEastAsia"/>
          <w:sz w:val="28"/>
          <w:szCs w:val="28"/>
        </w:rPr>
        <w:t>政策支持，有效激发各类创新</w:t>
      </w:r>
      <w:r>
        <w:rPr>
          <w:rFonts w:hint="eastAsia" w:asciiTheme="minorEastAsia" w:hAnsiTheme="minorEastAsia" w:eastAsiaTheme="minorEastAsia"/>
          <w:sz w:val="28"/>
          <w:szCs w:val="28"/>
        </w:rPr>
        <w:t>创业</w:t>
      </w:r>
      <w:r>
        <w:rPr>
          <w:rFonts w:asciiTheme="minorEastAsia" w:hAnsiTheme="minorEastAsia" w:eastAsiaTheme="minorEastAsia"/>
          <w:sz w:val="28"/>
          <w:szCs w:val="28"/>
        </w:rPr>
        <w:t>主体活力，加快科技成果转移转化，提升</w:t>
      </w:r>
      <w:r>
        <w:rPr>
          <w:rFonts w:hint="eastAsia" w:asciiTheme="minorEastAsia" w:hAnsiTheme="minorEastAsia" w:eastAsiaTheme="minorEastAsia"/>
          <w:sz w:val="28"/>
          <w:szCs w:val="28"/>
        </w:rPr>
        <w:t>区域</w:t>
      </w:r>
      <w:r>
        <w:rPr>
          <w:rFonts w:asciiTheme="minorEastAsia" w:hAnsiTheme="minorEastAsia" w:eastAsiaTheme="minorEastAsia"/>
          <w:sz w:val="28"/>
          <w:szCs w:val="28"/>
        </w:rPr>
        <w:t>创新体系效能。</w:t>
      </w:r>
    </w:p>
    <w:p w14:paraId="032A302C">
      <w:pPr>
        <w:spacing w:line="480" w:lineRule="auto"/>
        <w:ind w:firstLine="560"/>
        <w:rPr>
          <w:rFonts w:asciiTheme="minorEastAsia" w:hAnsiTheme="minorEastAsia" w:eastAsiaTheme="minorEastAsia"/>
          <w:sz w:val="28"/>
          <w:szCs w:val="28"/>
        </w:rPr>
      </w:pPr>
      <w:r>
        <w:rPr>
          <w:rFonts w:asciiTheme="minorEastAsia" w:hAnsiTheme="minorEastAsia" w:eastAsiaTheme="minorEastAsia"/>
          <w:sz w:val="28"/>
          <w:szCs w:val="28"/>
        </w:rPr>
        <w:t>江苏省正处于</w:t>
      </w:r>
      <w:r>
        <w:rPr>
          <w:rFonts w:hint="eastAsia" w:asciiTheme="minorEastAsia" w:hAnsiTheme="minorEastAsia" w:eastAsiaTheme="minorEastAsia"/>
          <w:sz w:val="28"/>
          <w:szCs w:val="28"/>
        </w:rPr>
        <w:t>加快推进“两个率先”、朝着“迈上新台阶、建设新江苏”目标奋进的关键时期，常州市作为江苏唯一的产城融合综合改革试点城市，正在加快建设全国重要的智能制造名城和长三角区域中心城市、创新创业中心、文化创意基地、生态休闲旅游目的地。作为常州承载多个功能平台的三井街道，其产业转型发展、城市建设方向与之高度契合，有助于在省、市两级政府争取发展扶持，推进产业结构优化，促进新型城区建设。</w:t>
      </w:r>
    </w:p>
    <w:p w14:paraId="79E3713A">
      <w:pPr>
        <w:spacing w:line="580" w:lineRule="exact"/>
      </w:pPr>
    </w:p>
    <w:p w14:paraId="6C3E8C88">
      <w:pPr>
        <w:spacing w:line="580" w:lineRule="exact"/>
        <w:rPr>
          <w:rFonts w:ascii="黑体" w:eastAsia="黑体"/>
          <w:b/>
          <w:sz w:val="32"/>
          <w:szCs w:val="32"/>
        </w:rPr>
      </w:pPr>
      <w:r>
        <w:rPr>
          <w:rFonts w:hint="eastAsia" w:ascii="黑体" w:eastAsia="黑体"/>
          <w:b/>
          <w:sz w:val="32"/>
          <w:szCs w:val="32"/>
        </w:rPr>
        <w:t>（三）自身发展环境</w:t>
      </w:r>
    </w:p>
    <w:p w14:paraId="3B5435E2">
      <w:pPr>
        <w:ind w:firstLine="560"/>
        <w:rPr>
          <w:rFonts w:asciiTheme="minorEastAsia" w:hAnsiTheme="minorEastAsia" w:eastAsiaTheme="minorEastAsia"/>
          <w:color w:val="000000" w:themeColor="text1"/>
          <w:sz w:val="28"/>
          <w:szCs w:val="28"/>
          <w14:textFill>
            <w14:solidFill>
              <w14:schemeClr w14:val="tx1"/>
            </w14:solidFill>
          </w14:textFill>
        </w:rPr>
      </w:pPr>
      <w:r>
        <w:rPr>
          <w:rFonts w:hint="eastAsia" w:asciiTheme="minorEastAsia" w:hAnsiTheme="minorEastAsia" w:eastAsiaTheme="minorEastAsia"/>
          <w:color w:val="000000" w:themeColor="text1"/>
          <w:sz w:val="28"/>
          <w:szCs w:val="28"/>
          <w14:textFill>
            <w14:solidFill>
              <w14:schemeClr w14:val="tx1"/>
            </w14:solidFill>
          </w14:textFill>
        </w:rPr>
        <w:t>“十三五”期间三井街道城市功能优势和服务业优势不断凸显：</w:t>
      </w:r>
    </w:p>
    <w:p w14:paraId="1C81843E">
      <w:pPr>
        <w:ind w:firstLine="560" w:firstLineChars="200"/>
        <w:rPr>
          <w:rFonts w:asciiTheme="minorEastAsia" w:hAnsiTheme="minorEastAsia" w:eastAsiaTheme="minorEastAsia"/>
          <w:color w:val="000000" w:themeColor="text1"/>
          <w:sz w:val="28"/>
          <w:szCs w:val="28"/>
          <w14:textFill>
            <w14:solidFill>
              <w14:schemeClr w14:val="tx1"/>
            </w14:solidFill>
          </w14:textFill>
        </w:rPr>
      </w:pPr>
      <w:r>
        <w:rPr>
          <w:rFonts w:hint="eastAsia" w:asciiTheme="minorEastAsia" w:hAnsiTheme="minorEastAsia" w:eastAsiaTheme="minorEastAsia"/>
          <w:color w:val="000000" w:themeColor="text1"/>
          <w:sz w:val="28"/>
          <w:szCs w:val="28"/>
          <w14:textFill>
            <w14:solidFill>
              <w14:schemeClr w14:val="tx1"/>
            </w14:solidFill>
          </w14:textFill>
        </w:rPr>
        <w:t>第一，随着三井街道众多居住小区交付使用和教育设施、商业设施不断完善以及国家实行全面放开家庭二胎生育政策，三井街道常住人口将逐步增加，这将为三井街道服务业发展带来旺盛“人气”，而旺盛“人气”又将为零售、餐饮、文化娱乐（电影院线、网吧、电子游戏、歌厅等）、体育健身、家政服务等消费服务业和民生服务业发展带来旺盛“财气”；</w:t>
      </w:r>
    </w:p>
    <w:p w14:paraId="0A7F34B9">
      <w:pPr>
        <w:ind w:firstLine="560" w:firstLineChars="200"/>
        <w:rPr>
          <w:rFonts w:asciiTheme="minorEastAsia" w:hAnsiTheme="minorEastAsia" w:eastAsiaTheme="minorEastAsia"/>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第二，三晶电子信息技术孵化器、</w:t>
      </w:r>
      <w:r>
        <w:rPr>
          <w:rFonts w:hint="eastAsia" w:asciiTheme="minorEastAsia" w:hAnsiTheme="minorEastAsia" w:eastAsiaTheme="minorEastAsia"/>
          <w:color w:val="000000" w:themeColor="text1"/>
          <w:sz w:val="28"/>
          <w:szCs w:val="28"/>
          <w14:textFill>
            <w14:solidFill>
              <w14:schemeClr w14:val="tx1"/>
            </w14:solidFill>
          </w14:textFill>
        </w:rPr>
        <w:t>常州广告产业园三井基地、海博医疗器械科技孵化器、电子商务产业园、物流产业园及兴建的锦湖大厦等商务大楼投入使用，为三井街道生产性服务业（研发设计、仓储物流、电子商务、总部经济、工程设计咨询、法律咨询、会计咨询、广告服务、会展服务等）发展创造了条件；</w:t>
      </w:r>
    </w:p>
    <w:p w14:paraId="3728A971">
      <w:pPr>
        <w:ind w:firstLine="560" w:firstLineChars="200"/>
        <w:rPr>
          <w:rFonts w:cs="Arial" w:asciiTheme="minorEastAsia" w:hAnsiTheme="minorEastAsia" w:eastAsiaTheme="minorEastAsia"/>
          <w:color w:val="000000" w:themeColor="text1"/>
          <w:kern w:val="0"/>
          <w:sz w:val="28"/>
          <w:szCs w:val="28"/>
          <w14:textFill>
            <w14:solidFill>
              <w14:schemeClr w14:val="tx1"/>
            </w14:solidFill>
          </w14:textFill>
        </w:rPr>
      </w:pPr>
      <w:r>
        <w:rPr>
          <w:rFonts w:hint="eastAsia" w:asciiTheme="minorEastAsia" w:hAnsiTheme="minorEastAsia" w:eastAsiaTheme="minorEastAsia"/>
          <w:color w:val="000000" w:themeColor="text1"/>
          <w:sz w:val="28"/>
          <w:szCs w:val="28"/>
          <w14:textFill>
            <w14:solidFill>
              <w14:schemeClr w14:val="tx1"/>
            </w14:solidFill>
          </w14:textFill>
        </w:rPr>
        <w:t>第三，随着居民收入提高和休闲时间增多、轨道交通一号线投入使用和轨道交通三号线规划建设，</w:t>
      </w:r>
      <w:r>
        <w:rPr>
          <w:rFonts w:hint="eastAsia" w:cs="Arial" w:asciiTheme="minorEastAsia" w:hAnsiTheme="minorEastAsia" w:eastAsiaTheme="minorEastAsia"/>
          <w:color w:val="000000" w:themeColor="text1"/>
          <w:kern w:val="0"/>
          <w:sz w:val="28"/>
          <w:szCs w:val="28"/>
          <w14:textFill>
            <w14:solidFill>
              <w14:schemeClr w14:val="tx1"/>
            </w14:solidFill>
          </w14:textFill>
        </w:rPr>
        <w:t>围绕“食、住、行、游、购、娱”六大要素，三井街道都市休闲旅游业将不断完善，并将成为重要支柱产业；</w:t>
      </w:r>
    </w:p>
    <w:p w14:paraId="7AD325DE">
      <w:pPr>
        <w:ind w:firstLine="560" w:firstLineChars="200"/>
        <w:rPr>
          <w:rFonts w:asciiTheme="minorEastAsia" w:hAnsiTheme="minorEastAsia" w:eastAsiaTheme="minorEastAsia"/>
          <w:color w:val="000000" w:themeColor="text1"/>
          <w:sz w:val="28"/>
          <w:szCs w:val="28"/>
          <w14:textFill>
            <w14:solidFill>
              <w14:schemeClr w14:val="tx1"/>
            </w14:solidFill>
          </w14:textFill>
        </w:rPr>
      </w:pPr>
      <w:r>
        <w:rPr>
          <w:rFonts w:hint="eastAsia" w:asciiTheme="minorEastAsia" w:hAnsiTheme="minorEastAsia" w:eastAsiaTheme="minorEastAsia"/>
          <w:color w:val="000000" w:themeColor="text1"/>
          <w:sz w:val="28"/>
          <w:szCs w:val="28"/>
          <w14:textFill>
            <w14:solidFill>
              <w14:schemeClr w14:val="tx1"/>
            </w14:solidFill>
          </w14:textFill>
        </w:rPr>
        <w:t>第四，三井街道虽然整个工业用地主要分布在藻江河——龙城路——龙江路——黄河路围起来狭小区域，但国家深入实施创新驱动发展战略，着力提高企业质量和效益，为三井街道工业企业由生产类向研发类转变、打造高新技术产业研发区指明了方向。</w:t>
      </w:r>
    </w:p>
    <w:p w14:paraId="05642992">
      <w:pPr>
        <w:ind w:firstLine="560"/>
        <w:rPr>
          <w:rFonts w:asciiTheme="minorEastAsia" w:hAnsiTheme="minorEastAsia" w:eastAsiaTheme="minorEastAsia"/>
          <w:color w:val="000000" w:themeColor="text1"/>
          <w:sz w:val="28"/>
          <w:szCs w:val="28"/>
          <w14:textFill>
            <w14:solidFill>
              <w14:schemeClr w14:val="tx1"/>
            </w14:solidFill>
          </w14:textFill>
        </w:rPr>
      </w:pPr>
    </w:p>
    <w:p w14:paraId="0F1FFB43">
      <w:pPr>
        <w:rPr>
          <w:rFonts w:ascii="黑体" w:hAnsi="宋体" w:eastAsia="黑体"/>
          <w:b/>
          <w:color w:val="000000" w:themeColor="text1"/>
          <w:sz w:val="32"/>
          <w:szCs w:val="32"/>
          <w14:textFill>
            <w14:solidFill>
              <w14:schemeClr w14:val="tx1"/>
            </w14:solidFill>
          </w14:textFill>
        </w:rPr>
      </w:pPr>
      <w:r>
        <w:rPr>
          <w:rFonts w:hint="eastAsia" w:ascii="黑体" w:hAnsi="宋体" w:eastAsia="黑体"/>
          <w:b/>
          <w:color w:val="000000" w:themeColor="text1"/>
          <w:sz w:val="32"/>
          <w:szCs w:val="32"/>
          <w14:textFill>
            <w14:solidFill>
              <w14:schemeClr w14:val="tx1"/>
            </w14:solidFill>
          </w14:textFill>
        </w:rPr>
        <w:t>（四）“十三五”时期三井街道面临挑战</w:t>
      </w:r>
    </w:p>
    <w:p w14:paraId="3BB52846">
      <w:pPr>
        <w:spacing w:line="480" w:lineRule="auto"/>
        <w:ind w:firstLine="560"/>
        <w:rPr>
          <w:rFonts w:asciiTheme="minorEastAsia" w:hAnsiTheme="minorEastAsia" w:eastAsiaTheme="minorEastAsia"/>
          <w:kern w:val="0"/>
          <w:sz w:val="28"/>
          <w:szCs w:val="28"/>
        </w:rPr>
      </w:pPr>
      <w:r>
        <w:rPr>
          <w:rFonts w:hint="eastAsia" w:asciiTheme="minorEastAsia" w:hAnsiTheme="minorEastAsia" w:eastAsiaTheme="minorEastAsia"/>
          <w:kern w:val="0"/>
          <w:sz w:val="28"/>
          <w:szCs w:val="28"/>
        </w:rPr>
        <w:t>“十三五”时期三井街道还面临着各种不利因素的制约和挑战，需要增强忧患意识，把握客观规律，化解各种矛盾。</w:t>
      </w:r>
    </w:p>
    <w:p w14:paraId="385016B1">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第一，可供开发土地短缺将制约“十三五”期间三井街道社会经济发展。三井街道可供开发土地资源短缺，意味着依靠固定资产投资尤其房地产投资驱动经济发展的道路难以为续，在土地资源越来越稀缺和住房空置率居高不下情况下，“十三五”期间三井街道房地产业很难持续发展，难以继续成为支柱产业。</w:t>
      </w:r>
    </w:p>
    <w:p w14:paraId="0BB2FD98">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第二，作为位于成熟城区的三井街道，虽然服务业比重超过工业，但这样的产业结构与三井街道城区功能定位依然存在错位。一方面，从常州成熟城区和行政中心区域的功能定位看，三井街道服务业尤其现代服务业比重偏低；另一方面，三井街道工业中虽然不乏行业领先企业，但工业内部结构依然存在“多而散、散而小、小而弱”等不合理状况，优势企业缺乏可扩展的土地资源，无发展前途企业缺乏淘汰倒逼机制。</w:t>
      </w:r>
    </w:p>
    <w:p w14:paraId="7B2FBDA8">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第三，公共服务供给滞后于人口增加，影响了三井街道居民民生改善。三井街道作为常州新城区，面积为17平方公里，2014年户籍户数为11296户、户籍人口为47812人</w:t>
      </w:r>
      <w:r>
        <w:rPr>
          <w:rStyle w:val="14"/>
          <w:rFonts w:ascii="宋体" w:hAnsi="宋体"/>
          <w:color w:val="000000" w:themeColor="text1"/>
          <w:sz w:val="28"/>
          <w:szCs w:val="28"/>
          <w14:textFill>
            <w14:solidFill>
              <w14:schemeClr w14:val="tx1"/>
            </w14:solidFill>
          </w14:textFill>
        </w:rPr>
        <w:footnoteReference w:id="10"/>
      </w:r>
      <w:r>
        <w:rPr>
          <w:rFonts w:hint="eastAsia" w:ascii="宋体" w:hAnsi="宋体"/>
          <w:color w:val="000000" w:themeColor="text1"/>
          <w:sz w:val="28"/>
          <w:szCs w:val="28"/>
          <w14:textFill>
            <w14:solidFill>
              <w14:schemeClr w14:val="tx1"/>
            </w14:solidFill>
          </w14:textFill>
        </w:rPr>
        <w:t>，但不断增长的实际居住人口达到了10万人以上，最终实际可居住人口将达到20万人以上，且这些外来常住人口以“新常州人”和中青年人口为主，由于辖区还没有充分实现公共服务均等化和商业服务便利化，尤其居民就医、子女上学入园等存在一定程度不便，许多“新常州人”还没有真正融入融合到常州。如何通过</w:t>
      </w:r>
      <w:r>
        <w:rPr>
          <w:rFonts w:hint="eastAsia" w:ascii="宋体" w:hAnsi="宋体"/>
          <w:bCs/>
          <w:color w:val="000000" w:themeColor="text1"/>
          <w:sz w:val="28"/>
          <w:szCs w:val="28"/>
          <w14:textFill>
            <w14:solidFill>
              <w14:schemeClr w14:val="tx1"/>
            </w14:solidFill>
          </w14:textFill>
        </w:rPr>
        <w:t>服务民生、改善民生，增强外来常住人口对常州文化认同感和对常州城市归属感？成为了“十三五”时期三井街道急待解决问题。</w:t>
      </w:r>
    </w:p>
    <w:p w14:paraId="0BF1D9E5">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第四，在常州市主城区，城市综合体、商务楼宇等商业经济、商务经济成为了各镇、街道主要发展方向，但由于各个商务项目、商业项目市场影响范围和覆盖范围重叠，为了争夺客户资源，抢夺市场份额、同质恶性竞争成为了一种新的常态。目前，与三井街道相邻的各镇、街道都规划建设了一批城市综合体、多星级高档酒店和高档商务楼宇，如河海街道有丰臣、郎诗新北绿郡、荣盛上元等城市综合体，龙虎塘街道有月星环球港（月星环球商业广场）、三江口综合区（天合国际太阳城）等；同时，三井街道也有多处位置相同、距离相近大型城市综合体和多星级高档酒店、高档商务楼宇。目前三井、河海、龙虎塘等街道已成为常州市四星级以上酒店、电影院线、大型超市、购物中心、高档商务楼宇等最为集中区域之一。按照国内外经验数据，商业营业面积一般中小城市控制在每人平均0.8-1M²,大城市控制在每人平均1-1.2 M²，少数流动人口多的大型、超大城市控制在每人平均1.5-2 M²，常州目前每人平均商业营业面积远大于大城市、超大城市水平，呈现出了严重过剩情况。城市综合体、多星级高档酒店和高档商务楼宇同质化消费、雷同化商品/服务、模式化经营既不能体现城市魅力和城市凝聚力，又不能体现城市功能辐射力。</w:t>
      </w:r>
    </w:p>
    <w:p w14:paraId="462CD5E2">
      <w:pPr>
        <w:rPr>
          <w:rFonts w:ascii="宋体" w:hAnsi="宋体"/>
          <w:color w:val="000000" w:themeColor="text1"/>
          <w:sz w:val="28"/>
          <w:szCs w:val="28"/>
          <w14:textFill>
            <w14:solidFill>
              <w14:schemeClr w14:val="tx1"/>
            </w14:solidFill>
          </w14:textFill>
        </w:rPr>
      </w:pPr>
    </w:p>
    <w:p w14:paraId="6E516B22">
      <w:pPr>
        <w:rPr>
          <w:rFonts w:ascii="黑体" w:hAnsi="宋体" w:eastAsia="黑体"/>
          <w:b/>
          <w:color w:val="000000" w:themeColor="text1"/>
          <w:sz w:val="24"/>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         </w:t>
      </w:r>
      <w:r>
        <w:rPr>
          <w:rFonts w:hint="eastAsia" w:ascii="黑体" w:hAnsi="宋体" w:eastAsia="黑体"/>
          <w:b/>
          <w:color w:val="000000" w:themeColor="text1"/>
          <w:sz w:val="24"/>
          <w14:textFill>
            <w14:solidFill>
              <w14:schemeClr w14:val="tx1"/>
            </w14:solidFill>
          </w14:textFill>
        </w:rPr>
        <w:t xml:space="preserve">    表3：通江路沿线河海、龙虎塘街道商业商务板块</w:t>
      </w:r>
    </w:p>
    <w:tbl>
      <w:tblPr>
        <w:tblStyle w:val="10"/>
        <w:tblW w:w="847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2268"/>
        <w:gridCol w:w="4678"/>
      </w:tblGrid>
      <w:tr w14:paraId="28F077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1" w:hRule="atLeast"/>
        </w:trPr>
        <w:tc>
          <w:tcPr>
            <w:tcW w:w="1526" w:type="dxa"/>
            <w:tcBorders>
              <w:right w:val="single" w:color="auto" w:sz="4" w:space="0"/>
            </w:tcBorders>
          </w:tcPr>
          <w:p w14:paraId="4DD5C1A6">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名称</w:t>
            </w:r>
          </w:p>
        </w:tc>
        <w:tc>
          <w:tcPr>
            <w:tcW w:w="2268" w:type="dxa"/>
            <w:tcBorders>
              <w:left w:val="single" w:color="auto" w:sz="4" w:space="0"/>
            </w:tcBorders>
          </w:tcPr>
          <w:p w14:paraId="7C9817BF">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位置</w:t>
            </w:r>
          </w:p>
        </w:tc>
        <w:tc>
          <w:tcPr>
            <w:tcW w:w="4678" w:type="dxa"/>
          </w:tcPr>
          <w:p w14:paraId="23CB6EA2">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商业商务板块</w:t>
            </w:r>
          </w:p>
        </w:tc>
      </w:tr>
      <w:tr w14:paraId="685293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50" w:hRule="atLeast"/>
        </w:trPr>
        <w:tc>
          <w:tcPr>
            <w:tcW w:w="1526" w:type="dxa"/>
            <w:tcBorders>
              <w:right w:val="single" w:color="auto" w:sz="4" w:space="0"/>
            </w:tcBorders>
          </w:tcPr>
          <w:p w14:paraId="1E3A6EF9">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月星环球港</w:t>
            </w:r>
          </w:p>
          <w:p w14:paraId="3D4921F6">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（月星环球商业广场）</w:t>
            </w:r>
          </w:p>
        </w:tc>
        <w:tc>
          <w:tcPr>
            <w:tcW w:w="2268" w:type="dxa"/>
            <w:tcBorders>
              <w:left w:val="single" w:color="auto" w:sz="4" w:space="0"/>
            </w:tcBorders>
          </w:tcPr>
          <w:p w14:paraId="673C00FC">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东临通江大道，南面为黄河路，西面为衡山路，北面为规划沪宁高速下匝道。建设用地面积20.55公顷，总建筑面积约37.94万平方米。</w:t>
            </w:r>
          </w:p>
        </w:tc>
        <w:tc>
          <w:tcPr>
            <w:tcW w:w="4678" w:type="dxa"/>
          </w:tcPr>
          <w:p w14:paraId="19A230A5">
            <w:pPr>
              <w:ind w:left="-106" w:leftChars="-51" w:right="-57" w:rightChars="-27" w:hanging="1"/>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drawing>
                <wp:inline distT="0" distB="0" distL="0" distR="0">
                  <wp:extent cx="2971800" cy="1333500"/>
                  <wp:effectExtent l="19050" t="0" r="0" b="0"/>
                  <wp:docPr id="67" name="图片 1"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 descr="4.jpg"/>
                          <pic:cNvPicPr>
                            <a:picLocks noChangeAspect="1" noChangeArrowheads="1"/>
                          </pic:cNvPicPr>
                        </pic:nvPicPr>
                        <pic:blipFill>
                          <a:blip r:embed="rId8" cstate="print"/>
                          <a:srcRect/>
                          <a:stretch>
                            <a:fillRect/>
                          </a:stretch>
                        </pic:blipFill>
                        <pic:spPr>
                          <a:xfrm>
                            <a:off x="0" y="0"/>
                            <a:ext cx="2971800" cy="1333500"/>
                          </a:xfrm>
                          <a:prstGeom prst="rect">
                            <a:avLst/>
                          </a:prstGeom>
                          <a:noFill/>
                          <a:ln w="9525">
                            <a:noFill/>
                            <a:miter lim="800000"/>
                            <a:headEnd/>
                            <a:tailEnd/>
                          </a:ln>
                        </pic:spPr>
                      </pic:pic>
                    </a:graphicData>
                  </a:graphic>
                </wp:inline>
              </w:drawing>
            </w:r>
          </w:p>
        </w:tc>
      </w:tr>
      <w:tr w14:paraId="581541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1" w:hRule="atLeast"/>
        </w:trPr>
        <w:tc>
          <w:tcPr>
            <w:tcW w:w="1526" w:type="dxa"/>
            <w:tcBorders>
              <w:right w:val="single" w:color="auto" w:sz="4" w:space="0"/>
            </w:tcBorders>
          </w:tcPr>
          <w:p w14:paraId="7E74C5B7">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荣盛商业广场</w:t>
            </w:r>
          </w:p>
          <w:p w14:paraId="5C9FE71A">
            <w:pPr>
              <w:rPr>
                <w:rFonts w:ascii="宋体" w:hAnsi="宋体"/>
                <w:color w:val="000000" w:themeColor="text1"/>
                <w:szCs w:val="21"/>
                <w14:textFill>
                  <w14:solidFill>
                    <w14:schemeClr w14:val="tx1"/>
                  </w14:solidFill>
                </w14:textFill>
              </w:rPr>
            </w:pPr>
          </w:p>
        </w:tc>
        <w:tc>
          <w:tcPr>
            <w:tcW w:w="2268" w:type="dxa"/>
            <w:tcBorders>
              <w:left w:val="single" w:color="auto" w:sz="4" w:space="0"/>
            </w:tcBorders>
          </w:tcPr>
          <w:p w14:paraId="44BB39C7">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汉江路南侧、衡山路西侧地块，总用地面积约6.7公顷，总建筑面积约27万平方米。</w:t>
            </w:r>
          </w:p>
          <w:p w14:paraId="1EA2E426">
            <w:pPr>
              <w:rPr>
                <w:rFonts w:ascii="宋体" w:hAnsi="宋体"/>
                <w:color w:val="000000" w:themeColor="text1"/>
                <w:szCs w:val="21"/>
                <w14:textFill>
                  <w14:solidFill>
                    <w14:schemeClr w14:val="tx1"/>
                  </w14:solidFill>
                </w14:textFill>
              </w:rPr>
            </w:pPr>
          </w:p>
        </w:tc>
        <w:tc>
          <w:tcPr>
            <w:tcW w:w="4678" w:type="dxa"/>
          </w:tcPr>
          <w:p w14:paraId="5E1D3113">
            <w:pPr>
              <w:ind w:leftChars="-51" w:hanging="107" w:hangingChars="51"/>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drawing>
                <wp:inline distT="0" distB="0" distL="0" distR="0">
                  <wp:extent cx="3000375" cy="1362075"/>
                  <wp:effectExtent l="19050" t="0" r="9525" b="0"/>
                  <wp:docPr id="66" name="图片 2" descr="130523 东北入口平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 descr="130523 东北入口平视.jpg"/>
                          <pic:cNvPicPr>
                            <a:picLocks noChangeAspect="1" noChangeArrowheads="1"/>
                          </pic:cNvPicPr>
                        </pic:nvPicPr>
                        <pic:blipFill>
                          <a:blip r:embed="rId9" cstate="print"/>
                          <a:srcRect t="6673" b="6590"/>
                          <a:stretch>
                            <a:fillRect/>
                          </a:stretch>
                        </pic:blipFill>
                        <pic:spPr>
                          <a:xfrm>
                            <a:off x="0" y="0"/>
                            <a:ext cx="3000375" cy="1362075"/>
                          </a:xfrm>
                          <a:prstGeom prst="rect">
                            <a:avLst/>
                          </a:prstGeom>
                          <a:noFill/>
                          <a:ln w="9525">
                            <a:noFill/>
                            <a:miter lim="800000"/>
                            <a:headEnd/>
                            <a:tailEnd/>
                          </a:ln>
                        </pic:spPr>
                      </pic:pic>
                    </a:graphicData>
                  </a:graphic>
                </wp:inline>
              </w:drawing>
            </w:r>
          </w:p>
        </w:tc>
      </w:tr>
      <w:tr w14:paraId="20FE1F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56" w:hRule="atLeast"/>
        </w:trPr>
        <w:tc>
          <w:tcPr>
            <w:tcW w:w="1526" w:type="dxa"/>
            <w:tcBorders>
              <w:right w:val="single" w:color="auto" w:sz="4" w:space="0"/>
            </w:tcBorders>
          </w:tcPr>
          <w:p w14:paraId="2AFD4C39">
            <w:pPr>
              <w:rPr>
                <w:rFonts w:ascii="宋体" w:hAnsi="宋体"/>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朗诗新北绿郡</w:t>
            </w:r>
          </w:p>
        </w:tc>
        <w:tc>
          <w:tcPr>
            <w:tcW w:w="2268" w:type="dxa"/>
            <w:tcBorders>
              <w:left w:val="single" w:color="auto" w:sz="4" w:space="0"/>
            </w:tcBorders>
          </w:tcPr>
          <w:p w14:paraId="3240B36A">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衡山路以西、河海路以北、珠江路以南。总用地面积6.8公顷，一期建筑面积11.7万平方米，二期商业建筑面积14.8万平方米。</w:t>
            </w:r>
          </w:p>
        </w:tc>
        <w:tc>
          <w:tcPr>
            <w:tcW w:w="4678" w:type="dxa"/>
          </w:tcPr>
          <w:p w14:paraId="5C8A11C4">
            <w:pP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drawing>
                <wp:inline distT="0" distB="0" distL="0" distR="0">
                  <wp:extent cx="2886075" cy="1343025"/>
                  <wp:effectExtent l="19050" t="0" r="9525" b="0"/>
                  <wp:docPr id="65" name="图片 3" descr="常州新北绿郡一期建设工程方案文本0315_页面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 descr="常州新北绿郡一期建设工程方案文本0315_页面_005.jpg"/>
                          <pic:cNvPicPr>
                            <a:picLocks noChangeAspect="1" noChangeArrowheads="1"/>
                          </pic:cNvPicPr>
                        </pic:nvPicPr>
                        <pic:blipFill>
                          <a:blip r:embed="rId10" cstate="print"/>
                          <a:srcRect l="3595" t="6250" r="6541" b="7291"/>
                          <a:stretch>
                            <a:fillRect/>
                          </a:stretch>
                        </pic:blipFill>
                        <pic:spPr>
                          <a:xfrm>
                            <a:off x="0" y="0"/>
                            <a:ext cx="2886075" cy="1343025"/>
                          </a:xfrm>
                          <a:prstGeom prst="rect">
                            <a:avLst/>
                          </a:prstGeom>
                          <a:noFill/>
                          <a:ln w="9525">
                            <a:noFill/>
                            <a:miter lim="800000"/>
                            <a:headEnd/>
                            <a:tailEnd/>
                          </a:ln>
                        </pic:spPr>
                      </pic:pic>
                    </a:graphicData>
                  </a:graphic>
                </wp:inline>
              </w:drawing>
            </w:r>
          </w:p>
        </w:tc>
      </w:tr>
      <w:tr w14:paraId="51BC1B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3" w:hRule="atLeast"/>
        </w:trPr>
        <w:tc>
          <w:tcPr>
            <w:tcW w:w="1526" w:type="dxa"/>
            <w:tcBorders>
              <w:right w:val="single" w:color="auto" w:sz="4" w:space="0"/>
            </w:tcBorders>
          </w:tcPr>
          <w:p w14:paraId="03B7C101">
            <w:pPr>
              <w:rPr>
                <w:rFonts w:ascii="宋体" w:hAnsi="宋体"/>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华庭苑二期</w:t>
            </w:r>
          </w:p>
        </w:tc>
        <w:tc>
          <w:tcPr>
            <w:tcW w:w="2268" w:type="dxa"/>
            <w:tcBorders>
              <w:left w:val="single" w:color="auto" w:sz="4" w:space="0"/>
            </w:tcBorders>
          </w:tcPr>
          <w:p w14:paraId="6773EB63">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通江大道以西、金陵江南大酒店以北。总用地面积为2.2391公顷，总建筑面积约7.3893万平方米。</w:t>
            </w:r>
          </w:p>
        </w:tc>
        <w:tc>
          <w:tcPr>
            <w:tcW w:w="4678" w:type="dxa"/>
          </w:tcPr>
          <w:p w14:paraId="6EEE8F5B">
            <w:pP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drawing>
                <wp:inline distT="0" distB="0" distL="0" distR="0">
                  <wp:extent cx="2905125" cy="1514475"/>
                  <wp:effectExtent l="19050" t="0" r="9525" b="0"/>
                  <wp:docPr id="64" name="图片 4" descr="鸟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 descr="鸟1.jpg"/>
                          <pic:cNvPicPr>
                            <a:picLocks noChangeAspect="1" noChangeArrowheads="1"/>
                          </pic:cNvPicPr>
                        </pic:nvPicPr>
                        <pic:blipFill>
                          <a:blip r:embed="rId11" cstate="print"/>
                          <a:srcRect l="26424" t="7050" r="6531" b="38799"/>
                          <a:stretch>
                            <a:fillRect/>
                          </a:stretch>
                        </pic:blipFill>
                        <pic:spPr>
                          <a:xfrm>
                            <a:off x="0" y="0"/>
                            <a:ext cx="2905125" cy="1514475"/>
                          </a:xfrm>
                          <a:prstGeom prst="rect">
                            <a:avLst/>
                          </a:prstGeom>
                          <a:noFill/>
                          <a:ln w="9525">
                            <a:noFill/>
                            <a:miter lim="800000"/>
                            <a:headEnd/>
                            <a:tailEnd/>
                          </a:ln>
                        </pic:spPr>
                      </pic:pic>
                    </a:graphicData>
                  </a:graphic>
                </wp:inline>
              </w:drawing>
            </w:r>
          </w:p>
        </w:tc>
      </w:tr>
    </w:tbl>
    <w:p w14:paraId="65C2FCA8">
      <w:pPr>
        <w:spacing w:line="560" w:lineRule="exact"/>
        <w:rPr>
          <w:rFonts w:ascii="黑体" w:hAnsi="宋体" w:eastAsia="黑体"/>
          <w:b/>
          <w:color w:val="000000" w:themeColor="text1"/>
          <w:sz w:val="32"/>
          <w:szCs w:val="32"/>
          <w14:textFill>
            <w14:solidFill>
              <w14:schemeClr w14:val="tx1"/>
            </w14:solidFill>
          </w14:textFill>
        </w:rPr>
      </w:pPr>
    </w:p>
    <w:p w14:paraId="252DB1A1">
      <w:pPr>
        <w:spacing w:line="560" w:lineRule="exact"/>
        <w:rPr>
          <w:rFonts w:ascii="黑体" w:hAnsi="宋体" w:eastAsia="黑体"/>
          <w:b/>
          <w:color w:val="000000" w:themeColor="text1"/>
          <w:sz w:val="32"/>
          <w:szCs w:val="32"/>
          <w14:textFill>
            <w14:solidFill>
              <w14:schemeClr w14:val="tx1"/>
            </w14:solidFill>
          </w14:textFill>
        </w:rPr>
      </w:pPr>
      <w:r>
        <w:rPr>
          <w:rFonts w:ascii="黑体" w:hAnsi="宋体" w:eastAsia="黑体"/>
          <w:b/>
          <w:color w:val="000000" w:themeColor="text1"/>
          <w:sz w:val="32"/>
          <w:szCs w:val="32"/>
          <w14:textFill>
            <w14:solidFill>
              <w14:schemeClr w14:val="tx1"/>
            </w14:solidFill>
          </w14:textFill>
        </w:rPr>
        <w:br w:type="page"/>
      </w:r>
    </w:p>
    <w:p w14:paraId="4DE74EFE">
      <w:pPr>
        <w:spacing w:line="360" w:lineRule="auto"/>
        <w:rPr>
          <w:rFonts w:ascii="黑体" w:hAnsi="宋体" w:eastAsia="黑体"/>
          <w:b/>
          <w:color w:val="000000" w:themeColor="text1"/>
          <w:sz w:val="52"/>
          <w:szCs w:val="52"/>
          <w14:textFill>
            <w14:solidFill>
              <w14:schemeClr w14:val="tx1"/>
            </w14:solidFill>
          </w14:textFill>
        </w:rPr>
      </w:pPr>
    </w:p>
    <w:p w14:paraId="4F7C3658">
      <w:pPr>
        <w:spacing w:line="360" w:lineRule="auto"/>
        <w:ind w:firstLine="1104" w:firstLineChars="250"/>
        <w:rPr>
          <w:rFonts w:ascii="黑体" w:hAnsi="宋体" w:eastAsia="黑体"/>
          <w:b/>
          <w:color w:val="000000" w:themeColor="text1"/>
          <w:sz w:val="44"/>
          <w:szCs w:val="44"/>
          <w14:textFill>
            <w14:solidFill>
              <w14:schemeClr w14:val="tx1"/>
            </w14:solidFill>
          </w14:textFill>
        </w:rPr>
      </w:pPr>
      <w:r>
        <w:rPr>
          <w:rFonts w:hint="eastAsia" w:ascii="黑体" w:hAnsi="宋体" w:eastAsia="黑体"/>
          <w:b/>
          <w:color w:val="000000" w:themeColor="text1"/>
          <w:sz w:val="44"/>
          <w:szCs w:val="44"/>
          <w14:textFill>
            <w14:solidFill>
              <w14:schemeClr w14:val="tx1"/>
            </w14:solidFill>
          </w14:textFill>
        </w:rPr>
        <w:t>三、三井街道发展定位研究</w:t>
      </w:r>
    </w:p>
    <w:p w14:paraId="5E3B7DE8">
      <w:pPr>
        <w:pStyle w:val="4"/>
        <w:rPr>
          <w:rFonts w:ascii="宋体" w:hAnsi="宋体" w:eastAsia="宋体"/>
          <w:color w:val="000000" w:themeColor="text1"/>
          <w:szCs w:val="28"/>
          <w14:textFill>
            <w14:solidFill>
              <w14:schemeClr w14:val="tx1"/>
            </w14:solidFill>
          </w14:textFill>
        </w:rPr>
      </w:pPr>
    </w:p>
    <w:p w14:paraId="451F6936">
      <w:pPr>
        <w:shd w:val="clear" w:color="auto" w:fill="FFFFFF"/>
        <w:spacing w:line="360" w:lineRule="atLeast"/>
        <w:ind w:firstLine="618" w:firstLineChars="221"/>
        <w:rPr>
          <w:rFonts w:ascii="宋体" w:hAnsi="宋体" w:cs="宋体"/>
          <w:bCs/>
          <w:color w:val="000000" w:themeColor="text1"/>
          <w:kern w:val="0"/>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定位战略</w:t>
      </w:r>
      <w:r>
        <w:rPr>
          <w:rStyle w:val="14"/>
          <w:rFonts w:ascii="宋体" w:hAnsi="宋体"/>
          <w:color w:val="000000" w:themeColor="text1"/>
          <w:sz w:val="28"/>
          <w:szCs w:val="28"/>
          <w14:textFill>
            <w14:solidFill>
              <w14:schemeClr w14:val="tx1"/>
            </w14:solidFill>
          </w14:textFill>
        </w:rPr>
        <w:footnoteReference w:id="11"/>
      </w:r>
      <w:r>
        <w:rPr>
          <w:rFonts w:hint="eastAsia" w:ascii="宋体" w:hAnsi="宋体"/>
          <w:color w:val="000000" w:themeColor="text1"/>
          <w:sz w:val="28"/>
          <w:szCs w:val="28"/>
          <w14:textFill>
            <w14:solidFill>
              <w14:schemeClr w14:val="tx1"/>
            </w14:solidFill>
          </w14:textFill>
        </w:rPr>
        <w:t>原是指企业竞争战略中，企业</w:t>
      </w:r>
      <w:r>
        <w:rPr>
          <w:rFonts w:ascii="Arial" w:hAnsi="Arial" w:cs="Arial"/>
          <w:color w:val="000000" w:themeColor="text1"/>
          <w:kern w:val="0"/>
          <w:sz w:val="28"/>
          <w:szCs w:val="28"/>
          <w14:textFill>
            <w14:solidFill>
              <w14:schemeClr w14:val="tx1"/>
            </w14:solidFill>
          </w14:textFill>
        </w:rPr>
        <w:t>根据竞争者现有产品在市场上所处位置，针对消费者对该产品某种特征或属性的重要程度，强有力地塑造出本企业产品与众不同的、给人印象鲜明的个性或形象，并把这种形象生动地传递给消费者。</w:t>
      </w:r>
      <w:r>
        <w:rPr>
          <w:rFonts w:hint="eastAsia" w:ascii="宋体" w:hAnsi="宋体"/>
          <w:color w:val="000000" w:themeColor="text1"/>
          <w:sz w:val="28"/>
          <w:szCs w:val="28"/>
          <w14:textFill>
            <w14:solidFill>
              <w14:schemeClr w14:val="tx1"/>
            </w14:solidFill>
          </w14:textFill>
        </w:rPr>
        <w:t>区域定位理论由企业定位理论演变而来，是指区域发展导向上明确自己与众不同，并让市场或社会能够接受区域发展方向，从而能主动向既定目标或模式发展。</w:t>
      </w:r>
      <w:r>
        <w:rPr>
          <w:rFonts w:hint="eastAsia" w:ascii="宋体" w:hAnsi="宋体" w:cs="宋体"/>
          <w:bCs/>
          <w:color w:val="000000" w:themeColor="text1"/>
          <w:kern w:val="0"/>
          <w:sz w:val="28"/>
          <w:szCs w:val="28"/>
          <w14:textFill>
            <w14:solidFill>
              <w14:schemeClr w14:val="tx1"/>
            </w14:solidFill>
          </w14:textFill>
        </w:rPr>
        <w:t>在新常态下敢问三井街道路在何方？三井街道发展道路就是要明确定位，有所作为，赢得地位。新常态下三井街道发展定位包括三个方面：一是功能定位；二是产业定位；三是形象定位。</w:t>
      </w:r>
    </w:p>
    <w:p w14:paraId="208FDB44">
      <w:pPr>
        <w:shd w:val="clear" w:color="auto" w:fill="FFFFFF"/>
        <w:spacing w:line="360" w:lineRule="atLeast"/>
        <w:rPr>
          <w:rFonts w:ascii="宋体" w:hAnsi="宋体" w:cs="宋体"/>
          <w:bCs/>
          <w:color w:val="000000" w:themeColor="text1"/>
          <w:kern w:val="0"/>
          <w:sz w:val="28"/>
          <w:szCs w:val="28"/>
          <w14:textFill>
            <w14:solidFill>
              <w14:schemeClr w14:val="tx1"/>
            </w14:solidFill>
          </w14:textFill>
        </w:rPr>
      </w:pPr>
    </w:p>
    <w:p w14:paraId="454A4858">
      <w:pPr>
        <w:shd w:val="clear" w:color="auto" w:fill="FFFFFF"/>
        <w:spacing w:line="360" w:lineRule="atLeast"/>
        <w:rPr>
          <w:rFonts w:ascii="黑体" w:hAnsi="Arial" w:eastAsia="黑体" w:cs="Arial"/>
          <w:b/>
          <w:color w:val="000000" w:themeColor="text1"/>
          <w:kern w:val="0"/>
          <w:sz w:val="32"/>
          <w:szCs w:val="32"/>
          <w14:textFill>
            <w14:solidFill>
              <w14:schemeClr w14:val="tx1"/>
            </w14:solidFill>
          </w14:textFill>
        </w:rPr>
      </w:pPr>
      <w:r>
        <w:rPr>
          <w:rFonts w:hint="eastAsia" w:ascii="黑体" w:hAnsi="宋体" w:eastAsia="黑体" w:cs="宋体"/>
          <w:b/>
          <w:bCs/>
          <w:color w:val="000000" w:themeColor="text1"/>
          <w:kern w:val="0"/>
          <w:sz w:val="32"/>
          <w:szCs w:val="32"/>
          <w14:textFill>
            <w14:solidFill>
              <w14:schemeClr w14:val="tx1"/>
            </w14:solidFill>
          </w14:textFill>
        </w:rPr>
        <w:t>（一）功能定位</w:t>
      </w:r>
    </w:p>
    <w:p w14:paraId="14A6BA4C">
      <w:pPr>
        <w:pStyle w:val="4"/>
        <w:rPr>
          <w:rFonts w:ascii="宋体" w:hAnsi="宋体" w:eastAsia="宋体"/>
          <w:bCs/>
          <w:color w:val="000000" w:themeColor="text1"/>
          <w:szCs w:val="28"/>
          <w14:textFill>
            <w14:solidFill>
              <w14:schemeClr w14:val="tx1"/>
            </w14:solidFill>
          </w14:textFill>
        </w:rPr>
      </w:pPr>
      <w:r>
        <w:rPr>
          <w:rFonts w:hint="eastAsia" w:ascii="宋体" w:hAnsi="宋体" w:eastAsia="宋体"/>
          <w:bCs/>
          <w:color w:val="000000" w:themeColor="text1"/>
          <w14:textFill>
            <w14:solidFill>
              <w14:schemeClr w14:val="tx1"/>
            </w14:solidFill>
          </w14:textFill>
        </w:rPr>
        <w:t>从较长历史发展阶段看，自改革开放以来近四十年时间里，中国经历了以小城镇为主的农村城镇化和以大中城市为主的城区城镇化两个阶段，现进入到以城市群为主导的</w:t>
      </w:r>
      <w:r>
        <w:rPr>
          <w:rFonts w:hint="eastAsia" w:ascii="宋体" w:hAnsi="宋体" w:eastAsia="宋体"/>
          <w:bCs/>
          <w:color w:val="000000" w:themeColor="text1"/>
          <w:szCs w:val="28"/>
          <w14:textFill>
            <w14:solidFill>
              <w14:schemeClr w14:val="tx1"/>
            </w14:solidFill>
          </w14:textFill>
        </w:rPr>
        <w:t>第三个阶段</w:t>
      </w:r>
      <w:r>
        <w:rPr>
          <w:rFonts w:hint="eastAsia" w:ascii="宋体" w:hAnsi="宋体" w:eastAsia="宋体"/>
          <w:bCs/>
          <w:color w:val="000000" w:themeColor="text1"/>
          <w14:textFill>
            <w14:solidFill>
              <w14:schemeClr w14:val="tx1"/>
            </w14:solidFill>
          </w14:textFill>
        </w:rPr>
        <w:t>。</w:t>
      </w:r>
      <w:r>
        <w:rPr>
          <w:rFonts w:hint="eastAsia" w:ascii="宋体" w:hAnsi="宋体" w:eastAsia="宋体"/>
          <w:bCs/>
          <w:color w:val="000000" w:themeColor="text1"/>
          <w:szCs w:val="28"/>
          <w14:textFill>
            <w14:solidFill>
              <w14:schemeClr w14:val="tx1"/>
            </w14:solidFill>
          </w14:textFill>
        </w:rPr>
        <w:t>对于常州市而言，以城市群为主导的城市化包括两个方面内容：一方面以功能城市化为核心推进中心城区城市化，通过产业转型，提升中心城区对外辐射功能；另一方面以中心镇、专业园区为核心，推进农村城镇化和城乡发展一体化。</w:t>
      </w:r>
      <w:r>
        <w:rPr>
          <w:rFonts w:hint="eastAsia" w:ascii="宋体" w:hAnsi="宋体" w:eastAsia="宋体"/>
          <w:bCs/>
          <w:color w:val="000000" w:themeColor="text1"/>
          <w14:textFill>
            <w14:solidFill>
              <w14:schemeClr w14:val="tx1"/>
            </w14:solidFill>
          </w14:textFill>
        </w:rPr>
        <w:t>三井街道经历20世纪90年代“一次创业”后，现进入到“二次创业”阶段，重点内容就是由土地</w:t>
      </w:r>
      <w:r>
        <w:rPr>
          <w:rFonts w:hint="eastAsia" w:ascii="宋体" w:hAnsi="宋体" w:eastAsia="宋体"/>
          <w:bCs/>
          <w:color w:val="000000" w:themeColor="text1"/>
          <w:szCs w:val="28"/>
          <w14:textFill>
            <w14:solidFill>
              <w14:schemeClr w14:val="tx1"/>
            </w14:solidFill>
          </w14:textFill>
        </w:rPr>
        <w:t>城市化转为功能城市化、产业城市化转为人的城市化。</w:t>
      </w:r>
    </w:p>
    <w:p w14:paraId="7E622DE4">
      <w:pPr>
        <w:pStyle w:val="4"/>
        <w:spacing w:line="360" w:lineRule="auto"/>
        <w:jc w:val="both"/>
        <w:rPr>
          <w:rFonts w:asciiTheme="minorEastAsia" w:hAnsiTheme="minorEastAsia" w:eastAsiaTheme="minorEastAsia"/>
          <w:bCs/>
          <w:color w:val="000000"/>
          <w:szCs w:val="28"/>
        </w:rPr>
      </w:pPr>
      <w:r>
        <w:rPr>
          <w:rFonts w:hint="eastAsia" w:ascii="宋体" w:hAnsi="宋体" w:eastAsia="宋体" w:cs="Arial"/>
          <w:color w:val="000000" w:themeColor="text1"/>
          <w14:textFill>
            <w14:solidFill>
              <w14:schemeClr w14:val="tx1"/>
            </w14:solidFill>
          </w14:textFill>
        </w:rPr>
        <w:t>三井街道功能定位就是对其自身资源、发展条件进行一次大的盘点，并依据其资源价值、区域环境、产业基础、发展愿景对三井街道发展做出重新定位，目的是在经济全球化、长三角一体化和新一轮科技革命背景下,做好市场机会与自身实力平衡，找到自己独有的竞争优势，通过功能转换和提升，进而全力、全面提升综合竞争力。</w:t>
      </w:r>
      <w:r>
        <w:rPr>
          <w:rFonts w:hint="eastAsia" w:ascii="宋体" w:hAnsi="宋体" w:eastAsia="宋体"/>
          <w:color w:val="000000" w:themeColor="text1"/>
          <w14:textFill>
            <w14:solidFill>
              <w14:schemeClr w14:val="tx1"/>
            </w14:solidFill>
          </w14:textFill>
        </w:rPr>
        <w:t>三井街道功能定位取决于三井街道综合实力和进一步提升综合竞争力的潜力；另外，对三井街道功能定位，</w:t>
      </w:r>
      <w:r>
        <w:rPr>
          <w:rFonts w:hint="eastAsia" w:ascii="宋体" w:hAnsi="宋体" w:eastAsia="宋体"/>
          <w:bCs/>
          <w:color w:val="000000" w:themeColor="text1"/>
          <w14:textFill>
            <w14:solidFill>
              <w14:schemeClr w14:val="tx1"/>
            </w14:solidFill>
          </w14:textFill>
        </w:rPr>
        <w:t>需要“跳出三井看三井”，站在更高的发展平台和更长的历史发展阶段才能看出三井街道在常州市、江苏省、长三角等区域发展中功能定位。</w:t>
      </w:r>
      <w:r>
        <w:rPr>
          <w:rFonts w:hint="eastAsia" w:ascii="宋体" w:hAnsi="宋体" w:eastAsia="宋体"/>
          <w:color w:val="000000" w:themeColor="text1"/>
          <w14:textFill>
            <w14:solidFill>
              <w14:schemeClr w14:val="tx1"/>
            </w14:solidFill>
          </w14:textFill>
        </w:rPr>
        <w:t>从发展机会与自身实力看，</w:t>
      </w:r>
      <w:r>
        <w:rPr>
          <w:rFonts w:hint="eastAsia" w:asciiTheme="minorEastAsia" w:hAnsiTheme="minorEastAsia" w:eastAsiaTheme="minorEastAsia"/>
          <w:color w:val="000000" w:themeColor="text1"/>
          <w14:textFill>
            <w14:solidFill>
              <w14:schemeClr w14:val="tx1"/>
            </w14:solidFill>
          </w14:textFill>
        </w:rPr>
        <w:t>三井街道功能定位为</w:t>
      </w:r>
      <w:r>
        <w:rPr>
          <w:rFonts w:hint="eastAsia" w:asciiTheme="minorEastAsia" w:hAnsiTheme="minorEastAsia" w:eastAsiaTheme="minorEastAsia"/>
          <w:color w:val="000000"/>
        </w:rPr>
        <w:t>常州中心政务区、中心商务区、创新创业区、创意旅游区、生态宜居区。</w:t>
      </w:r>
    </w:p>
    <w:p w14:paraId="19CECA3A">
      <w:pPr>
        <w:pStyle w:val="4"/>
        <w:ind w:firstLine="0" w:firstLineChars="0"/>
        <w:rPr>
          <w:rFonts w:ascii="黑体" w:hAnsi="宋体" w:eastAsia="黑体"/>
          <w:b/>
          <w:color w:val="000000" w:themeColor="text1"/>
          <w14:textFill>
            <w14:solidFill>
              <w14:schemeClr w14:val="tx1"/>
            </w14:solidFill>
          </w14:textFill>
        </w:rPr>
      </w:pPr>
      <w:r>
        <w:rPr>
          <w:rFonts w:hint="eastAsia" w:ascii="黑体" w:hAnsi="宋体" w:eastAsia="黑体"/>
          <w:b/>
          <w:color w:val="000000" w:themeColor="text1"/>
          <w14:textFill>
            <w14:solidFill>
              <w14:schemeClr w14:val="tx1"/>
            </w14:solidFill>
          </w14:textFill>
        </w:rPr>
        <w:drawing>
          <wp:inline distT="0" distB="0" distL="0" distR="0">
            <wp:extent cx="5338445" cy="2138045"/>
            <wp:effectExtent l="0" t="0" r="14605" b="14605"/>
            <wp:docPr id="1" name="图示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555A3CF7">
      <w:pPr>
        <w:pStyle w:val="4"/>
        <w:rPr>
          <w:rFonts w:ascii="黑体" w:hAnsi="宋体" w:eastAsia="黑体"/>
          <w:color w:val="000000" w:themeColor="text1"/>
          <w:sz w:val="24"/>
          <w14:textFill>
            <w14:solidFill>
              <w14:schemeClr w14:val="tx1"/>
            </w14:solidFill>
          </w14:textFill>
        </w:rPr>
      </w:pPr>
      <w:r>
        <w:rPr>
          <w:rFonts w:hint="eastAsia" w:ascii="宋体" w:hAnsi="宋体" w:eastAsia="宋体"/>
          <w:color w:val="000000" w:themeColor="text1"/>
          <w14:textFill>
            <w14:solidFill>
              <w14:schemeClr w14:val="tx1"/>
            </w14:solidFill>
          </w14:textFill>
        </w:rPr>
        <w:t xml:space="preserve">             </w:t>
      </w:r>
      <w:r>
        <w:rPr>
          <w:rFonts w:hint="eastAsia" w:ascii="黑体" w:hAnsi="宋体" w:eastAsia="黑体"/>
          <w:color w:val="000000" w:themeColor="text1"/>
          <w:sz w:val="24"/>
          <w14:textFill>
            <w14:solidFill>
              <w14:schemeClr w14:val="tx1"/>
            </w14:solidFill>
          </w14:textFill>
        </w:rPr>
        <w:t>图1：三井街道功能定位</w:t>
      </w:r>
    </w:p>
    <w:p w14:paraId="308D5DAE">
      <w:pPr>
        <w:pStyle w:val="4"/>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三井街道在常州市乃至江苏省、长三角发展中所具有的竞争优势或比较优势，集中表现在四个方面：</w:t>
      </w:r>
    </w:p>
    <w:p w14:paraId="113EE8BD">
      <w:pPr>
        <w:pStyle w:val="4"/>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一是三井街道政务资源优势突出，拥有常州最高等级政务资源，理所当然成为了常州唯一的中心政务区；</w:t>
      </w:r>
    </w:p>
    <w:p w14:paraId="02F9D77C">
      <w:pPr>
        <w:pStyle w:val="4"/>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二是三井街道有完整的创新创业资源和高新技术产业研发条件，拥有国家级孵化器——三晶信息技术孵化器、专业孵化器——海博生物医疗器械科技园、常州创意产业园、常州广告产业园（包括三井基地）和一批具有自主研发能力的高新技术企业，真正做到了“创业有机会、创新有平台”，具备了发展创新创业区和高新技术产业研发区的各种有利条件；</w:t>
      </w:r>
    </w:p>
    <w:p w14:paraId="79336653">
      <w:pPr>
        <w:pStyle w:val="4"/>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三是三井街道围绕常州行政中心（含常州市公安局、常州市商检局、常州市工商行政管理局、常州市地方税务局、常州市海事局、常州市国土管理局）、常州文化体育中心（常州奥林匹克中心、常州大剧院）和万达商业广场，在太湖路、晋陵路和通江路沿线集中了创意产业大厦、常州奥林匹克体育中心（兼具会展中心功能）、常州大剧院（兼具会议中心功能）、传媒大厦、常发商务大厦、锦湖大厦等高档商务楼宇，形成了颇具竞争优势和专业特色的中心商务区，汇聚了一批金融、国际贸易、电子商务、工程设计咨询、教育培训等现代服务企业；</w:t>
      </w:r>
    </w:p>
    <w:p w14:paraId="64D971ED">
      <w:pPr>
        <w:pStyle w:val="4"/>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四是三井街道拥有以5A级景区环球恐龙园为核心，包括迪诺水镇、温泉酒店等在内的现代旅游业集聚区，形成了在长三角乃至全国颇具魅力和吸引力的创意旅游区。</w:t>
      </w:r>
    </w:p>
    <w:p w14:paraId="173EABE9">
      <w:pPr>
        <w:pStyle w:val="4"/>
        <w:rPr>
          <w:rFonts w:ascii="宋体" w:hAnsi="宋体" w:eastAsia="宋体"/>
          <w:color w:val="000000" w:themeColor="text1"/>
          <w14:textFill>
            <w14:solidFill>
              <w14:schemeClr w14:val="tx1"/>
            </w14:solidFill>
          </w14:textFill>
        </w:rPr>
      </w:pPr>
    </w:p>
    <w:p w14:paraId="4FB807DA">
      <w:pPr>
        <w:pStyle w:val="4"/>
        <w:ind w:firstLine="480"/>
        <w:rPr>
          <w:rFonts w:ascii="黑体" w:hAnsi="宋体" w:eastAsia="黑体"/>
          <w:b/>
          <w:color w:val="000000" w:themeColor="text1"/>
          <w:sz w:val="24"/>
          <w14:textFill>
            <w14:solidFill>
              <w14:schemeClr w14:val="tx1"/>
            </w14:solidFill>
          </w14:textFill>
        </w:rPr>
      </w:pPr>
      <w:r>
        <w:rPr>
          <w:rFonts w:hint="eastAsia" w:ascii="黑体" w:hAnsi="宋体" w:eastAsia="黑体"/>
          <w:color w:val="000000" w:themeColor="text1"/>
          <w:sz w:val="24"/>
          <w14:textFill>
            <w14:solidFill>
              <w14:schemeClr w14:val="tx1"/>
            </w14:solidFill>
          </w14:textFill>
        </w:rPr>
        <w:t xml:space="preserve">               </w:t>
      </w:r>
      <w:r>
        <w:rPr>
          <w:rFonts w:hint="eastAsia" w:ascii="黑体" w:hAnsi="宋体" w:eastAsia="黑体"/>
          <w:b/>
          <w:color w:val="000000" w:themeColor="text1"/>
          <w:sz w:val="24"/>
          <w14:textFill>
            <w14:solidFill>
              <w14:schemeClr w14:val="tx1"/>
            </w14:solidFill>
          </w14:textFill>
        </w:rPr>
        <w:t>表4：三井街道主要功能平台/资源</w:t>
      </w:r>
    </w:p>
    <w:tbl>
      <w:tblPr>
        <w:tblStyle w:val="1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42"/>
        <w:gridCol w:w="3544"/>
        <w:gridCol w:w="3836"/>
      </w:tblGrid>
      <w:tr w14:paraId="675677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7" w:hRule="atLeast"/>
        </w:trPr>
        <w:tc>
          <w:tcPr>
            <w:tcW w:w="1242" w:type="dxa"/>
          </w:tcPr>
          <w:p w14:paraId="6D1D279D">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类型</w:t>
            </w:r>
          </w:p>
        </w:tc>
        <w:tc>
          <w:tcPr>
            <w:tcW w:w="3544" w:type="dxa"/>
          </w:tcPr>
          <w:p w14:paraId="4B079EA9">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资源/平台</w:t>
            </w:r>
          </w:p>
        </w:tc>
        <w:tc>
          <w:tcPr>
            <w:tcW w:w="3836" w:type="dxa"/>
          </w:tcPr>
          <w:p w14:paraId="1A4D79AD">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资源/平台</w:t>
            </w:r>
          </w:p>
        </w:tc>
      </w:tr>
      <w:tr w14:paraId="4B215E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18" w:hRule="atLeast"/>
        </w:trPr>
        <w:tc>
          <w:tcPr>
            <w:tcW w:w="1242" w:type="dxa"/>
          </w:tcPr>
          <w:p w14:paraId="49C8D93F">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行政资源</w:t>
            </w:r>
          </w:p>
        </w:tc>
        <w:tc>
          <w:tcPr>
            <w:tcW w:w="3544" w:type="dxa"/>
          </w:tcPr>
          <w:p w14:paraId="333BB6EC">
            <w:pPr>
              <w:pStyle w:val="4"/>
              <w:ind w:left="152" w:leftChars="-51" w:hanging="259" w:firstLineChars="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mc:AlternateContent>
                <mc:Choice Requires="wps">
                  <w:drawing>
                    <wp:anchor distT="0" distB="0" distL="114300" distR="114300" simplePos="0" relativeHeight="251689984" behindDoc="0" locked="0" layoutInCell="1" allowOverlap="1">
                      <wp:simplePos x="0" y="0"/>
                      <wp:positionH relativeFrom="column">
                        <wp:posOffset>1059180</wp:posOffset>
                      </wp:positionH>
                      <wp:positionV relativeFrom="paragraph">
                        <wp:posOffset>38735</wp:posOffset>
                      </wp:positionV>
                      <wp:extent cx="1066800" cy="304800"/>
                      <wp:effectExtent l="0" t="0" r="0" b="0"/>
                      <wp:wrapNone/>
                      <wp:docPr id="84" name="Rectangle 113"/>
                      <wp:cNvGraphicFramePr/>
                      <a:graphic xmlns:a="http://schemas.openxmlformats.org/drawingml/2006/main">
                        <a:graphicData uri="http://schemas.microsoft.com/office/word/2010/wordprocessingShape">
                          <wps:wsp>
                            <wps:cNvSpPr>
                              <a:spLocks noChangeArrowheads="1"/>
                            </wps:cNvSpPr>
                            <wps:spPr bwMode="auto">
                              <a:xfrm>
                                <a:off x="0" y="0"/>
                                <a:ext cx="1066800" cy="304800"/>
                              </a:xfrm>
                              <a:prstGeom prst="rect">
                                <a:avLst/>
                              </a:prstGeom>
                              <a:noFill/>
                              <a:ln>
                                <a:noFill/>
                              </a:ln>
                            </wps:spPr>
                            <wps:txbx>
                              <w:txbxContent>
                                <w:p w14:paraId="4B47D49B">
                                  <w:pPr>
                                    <w:rPr>
                                      <w:b/>
                                      <w:color w:val="FF0000"/>
                                    </w:rPr>
                                  </w:pPr>
                                  <w:r>
                                    <w:rPr>
                                      <w:rFonts w:hint="eastAsia"/>
                                      <w:b/>
                                      <w:color w:val="FF0000"/>
                                    </w:rPr>
                                    <w:t>常州行政中心</w:t>
                                  </w:r>
                                </w:p>
                              </w:txbxContent>
                            </wps:txbx>
                            <wps:bodyPr rot="0" vert="horz" wrap="square" lIns="91440" tIns="45720" rIns="91440" bIns="45720" anchor="t" anchorCtr="0" upright="1">
                              <a:noAutofit/>
                            </wps:bodyPr>
                          </wps:wsp>
                        </a:graphicData>
                      </a:graphic>
                    </wp:anchor>
                  </w:drawing>
                </mc:Choice>
                <mc:Fallback>
                  <w:pict>
                    <v:rect id="Rectangle 113" o:spid="_x0000_s1026" o:spt="1" style="position:absolute;left:0pt;margin-left:83.4pt;margin-top:3.05pt;height:24pt;width:84pt;z-index:251689984;mso-width-relative:page;mso-height-relative:page;" filled="f" stroked="f" coordsize="21600,21600" o:gfxdata="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IcIoD2AAAAAgBAAAPAAAAAAAAAAEAIAAAACIAAABkcnMv&#10;ZG93bnJldi54bWxQSwECFAAUAAAACACHTuJAYD+G5QMCAAAOBAAADgAAAAAAAAABACAAAAAnAQAA&#10;ZHJzL2Uyb0RvYy54bWxQSwUGAAAAAAYABgBZAQAAnAUAAAAA&#10;">
                      <v:fill on="f" focussize="0,0"/>
                      <v:stroke on="f"/>
                      <v:imagedata o:title=""/>
                      <o:lock v:ext="edit" aspectratio="f"/>
                      <v:textbox>
                        <w:txbxContent>
                          <w:p w14:paraId="4B47D49B">
                            <w:pPr>
                              <w:rPr>
                                <w:b/>
                                <w:color w:val="FF0000"/>
                              </w:rPr>
                            </w:pPr>
                            <w:r>
                              <w:rPr>
                                <w:rFonts w:hint="eastAsia"/>
                                <w:b/>
                                <w:color w:val="FF0000"/>
                              </w:rPr>
                              <w:t>常州行政中心</w:t>
                            </w:r>
                          </w:p>
                        </w:txbxContent>
                      </v:textbox>
                    </v:rect>
                  </w:pict>
                </mc:Fallback>
              </mc:AlternateContent>
            </w:r>
            <w:r>
              <w:rPr>
                <w:rFonts w:ascii="宋体" w:hAnsi="宋体" w:eastAsia="宋体"/>
                <w:color w:val="000000" w:themeColor="text1"/>
                <w:sz w:val="21"/>
                <w:szCs w:val="21"/>
                <w14:textFill>
                  <w14:solidFill>
                    <w14:schemeClr w14:val="tx1"/>
                  </w14:solidFill>
                </w14:textFill>
              </w:rPr>
              <w:drawing>
                <wp:inline distT="0" distB="0" distL="0" distR="0">
                  <wp:extent cx="2266950" cy="1381125"/>
                  <wp:effectExtent l="19050" t="0" r="0" b="0"/>
                  <wp:docPr id="62" name="图片 17" descr="行政中心_看图王_看图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7" descr="行政中心_看图王_看图王.jpg"/>
                          <pic:cNvPicPr>
                            <a:picLocks noChangeAspect="1" noChangeArrowheads="1"/>
                          </pic:cNvPicPr>
                        </pic:nvPicPr>
                        <pic:blipFill>
                          <a:blip r:embed="rId17" cstate="print"/>
                          <a:srcRect/>
                          <a:stretch>
                            <a:fillRect/>
                          </a:stretch>
                        </pic:blipFill>
                        <pic:spPr>
                          <a:xfrm>
                            <a:off x="0" y="0"/>
                            <a:ext cx="2266950" cy="1381125"/>
                          </a:xfrm>
                          <a:prstGeom prst="rect">
                            <a:avLst/>
                          </a:prstGeom>
                          <a:noFill/>
                          <a:ln w="9525">
                            <a:noFill/>
                            <a:miter lim="800000"/>
                            <a:headEnd/>
                            <a:tailEnd/>
                          </a:ln>
                        </pic:spPr>
                      </pic:pic>
                    </a:graphicData>
                  </a:graphic>
                </wp:inline>
              </w:drawing>
            </w:r>
          </w:p>
        </w:tc>
        <w:tc>
          <w:tcPr>
            <w:tcW w:w="3836" w:type="dxa"/>
          </w:tcPr>
          <w:p w14:paraId="3342E28D">
            <w:pPr>
              <w:pStyle w:val="4"/>
              <w:ind w:left="-109" w:leftChars="-52" w:firstLine="1" w:firstLineChars="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mc:AlternateContent>
                <mc:Choice Requires="wps">
                  <w:drawing>
                    <wp:anchor distT="0" distB="0" distL="114300" distR="114300" simplePos="0" relativeHeight="251691008" behindDoc="0" locked="0" layoutInCell="1" allowOverlap="1">
                      <wp:simplePos x="0" y="0"/>
                      <wp:positionH relativeFrom="column">
                        <wp:posOffset>1228090</wp:posOffset>
                      </wp:positionH>
                      <wp:positionV relativeFrom="paragraph">
                        <wp:posOffset>38735</wp:posOffset>
                      </wp:positionV>
                      <wp:extent cx="1028700" cy="304800"/>
                      <wp:effectExtent l="0" t="0" r="0" b="0"/>
                      <wp:wrapNone/>
                      <wp:docPr id="83" name="Rectangle 114"/>
                      <wp:cNvGraphicFramePr/>
                      <a:graphic xmlns:a="http://schemas.openxmlformats.org/drawingml/2006/main">
                        <a:graphicData uri="http://schemas.microsoft.com/office/word/2010/wordprocessingShape">
                          <wps:wsp>
                            <wps:cNvSpPr>
                              <a:spLocks noChangeArrowheads="1"/>
                            </wps:cNvSpPr>
                            <wps:spPr bwMode="auto">
                              <a:xfrm>
                                <a:off x="0" y="0"/>
                                <a:ext cx="1028700" cy="304800"/>
                              </a:xfrm>
                              <a:prstGeom prst="rect">
                                <a:avLst/>
                              </a:prstGeom>
                              <a:noFill/>
                              <a:ln>
                                <a:noFill/>
                              </a:ln>
                            </wps:spPr>
                            <wps:txbx>
                              <w:txbxContent>
                                <w:p w14:paraId="50FBE4FD">
                                  <w:pPr>
                                    <w:rPr>
                                      <w:b/>
                                      <w:color w:val="FF0000"/>
                                    </w:rPr>
                                  </w:pPr>
                                  <w:r>
                                    <w:rPr>
                                      <w:rFonts w:hint="eastAsia"/>
                                      <w:b/>
                                      <w:color w:val="FF0000"/>
                                    </w:rPr>
                                    <w:t>常州文体中心</w:t>
                                  </w:r>
                                </w:p>
                              </w:txbxContent>
                            </wps:txbx>
                            <wps:bodyPr rot="0" vert="horz" wrap="square" lIns="91440" tIns="45720" rIns="91440" bIns="45720" anchor="t" anchorCtr="0" upright="1">
                              <a:noAutofit/>
                            </wps:bodyPr>
                          </wps:wsp>
                        </a:graphicData>
                      </a:graphic>
                    </wp:anchor>
                  </w:drawing>
                </mc:Choice>
                <mc:Fallback>
                  <w:pict>
                    <v:rect id="Rectangle 114" o:spid="_x0000_s1026" o:spt="1" style="position:absolute;left:0pt;margin-left:96.7pt;margin-top:3.05pt;height:24pt;width:81pt;z-index:251691008;mso-width-relative:page;mso-height-relative:page;" filled="f" stroked="f" coordsize="21600,21600" o:gfxdata="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e3cHg2AAAAAgBAAAPAAAAAAAAAAEAIAAAACIAAABkcnMv&#10;ZG93bnJldi54bWxQSwECFAAUAAAACACHTuJAk+6OQwMCAAAOBAAADgAAAAAAAAABACAAAAAnAQAA&#10;ZHJzL2Uyb0RvYy54bWxQSwUGAAAAAAYABgBZAQAAnAUAAAAA&#10;">
                      <v:fill on="f" focussize="0,0"/>
                      <v:stroke on="f"/>
                      <v:imagedata o:title=""/>
                      <o:lock v:ext="edit" aspectratio="f"/>
                      <v:textbox>
                        <w:txbxContent>
                          <w:p w14:paraId="50FBE4FD">
                            <w:pPr>
                              <w:rPr>
                                <w:b/>
                                <w:color w:val="FF0000"/>
                              </w:rPr>
                            </w:pPr>
                            <w:r>
                              <w:rPr>
                                <w:rFonts w:hint="eastAsia"/>
                                <w:b/>
                                <w:color w:val="FF0000"/>
                              </w:rPr>
                              <w:t>常州文体中心</w:t>
                            </w:r>
                          </w:p>
                        </w:txbxContent>
                      </v:textbox>
                    </v:rect>
                  </w:pict>
                </mc:Fallback>
              </mc:AlternateContent>
            </w:r>
            <w:r>
              <w:rPr>
                <w:rFonts w:ascii="宋体" w:hAnsi="宋体" w:eastAsia="宋体"/>
                <w:color w:val="000000" w:themeColor="text1"/>
                <w:sz w:val="21"/>
                <w:szCs w:val="21"/>
                <w14:textFill>
                  <w14:solidFill>
                    <w14:schemeClr w14:val="tx1"/>
                  </w14:solidFill>
                </w14:textFill>
              </w:rPr>
              <w:drawing>
                <wp:inline distT="0" distB="0" distL="0" distR="0">
                  <wp:extent cx="2371725" cy="1333500"/>
                  <wp:effectExtent l="19050" t="0" r="9525" b="0"/>
                  <wp:docPr id="61" name="图片 30" descr="C:\Documents and Settings\Administrator\桌面\Photo\图片4_看图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0" descr="C:\Documents and Settings\Administrator\桌面\Photo\图片4_看图王.jpg"/>
                          <pic:cNvPicPr>
                            <a:picLocks noChangeAspect="1" noChangeArrowheads="1"/>
                          </pic:cNvPicPr>
                        </pic:nvPicPr>
                        <pic:blipFill>
                          <a:blip r:embed="rId18" cstate="print"/>
                          <a:srcRect/>
                          <a:stretch>
                            <a:fillRect/>
                          </a:stretch>
                        </pic:blipFill>
                        <pic:spPr>
                          <a:xfrm>
                            <a:off x="0" y="0"/>
                            <a:ext cx="2371725" cy="1333500"/>
                          </a:xfrm>
                          <a:prstGeom prst="rect">
                            <a:avLst/>
                          </a:prstGeom>
                          <a:noFill/>
                          <a:ln w="9525">
                            <a:noFill/>
                            <a:miter lim="800000"/>
                            <a:headEnd/>
                            <a:tailEnd/>
                          </a:ln>
                        </pic:spPr>
                      </pic:pic>
                    </a:graphicData>
                  </a:graphic>
                </wp:inline>
              </w:drawing>
            </w:r>
          </w:p>
        </w:tc>
      </w:tr>
      <w:tr w14:paraId="53391B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35" w:hRule="atLeast"/>
        </w:trPr>
        <w:tc>
          <w:tcPr>
            <w:tcW w:w="1242" w:type="dxa"/>
            <w:tcBorders>
              <w:bottom w:val="single" w:color="auto" w:sz="4" w:space="0"/>
            </w:tcBorders>
          </w:tcPr>
          <w:p w14:paraId="17C1B7AD">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广告产业</w:t>
            </w:r>
          </w:p>
        </w:tc>
        <w:tc>
          <w:tcPr>
            <w:tcW w:w="3544" w:type="dxa"/>
            <w:tcBorders>
              <w:bottom w:val="single" w:color="auto" w:sz="4" w:space="0"/>
            </w:tcBorders>
          </w:tcPr>
          <w:p w14:paraId="1DE095FE">
            <w:pPr>
              <w:pStyle w:val="4"/>
              <w:ind w:leftChars="-60" w:hanging="126" w:hangingChars="6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mc:AlternateContent>
                <mc:Choice Requires="wps">
                  <w:drawing>
                    <wp:anchor distT="0" distB="0" distL="114300" distR="114300" simplePos="0" relativeHeight="251692032" behindDoc="0" locked="0" layoutInCell="1" allowOverlap="1">
                      <wp:simplePos x="0" y="0"/>
                      <wp:positionH relativeFrom="column">
                        <wp:posOffset>859155</wp:posOffset>
                      </wp:positionH>
                      <wp:positionV relativeFrom="paragraph">
                        <wp:posOffset>55245</wp:posOffset>
                      </wp:positionV>
                      <wp:extent cx="1266825" cy="266700"/>
                      <wp:effectExtent l="0" t="0" r="0" b="0"/>
                      <wp:wrapNone/>
                      <wp:docPr id="82" name="Rectangle 115"/>
                      <wp:cNvGraphicFramePr/>
                      <a:graphic xmlns:a="http://schemas.openxmlformats.org/drawingml/2006/main">
                        <a:graphicData uri="http://schemas.microsoft.com/office/word/2010/wordprocessingShape">
                          <wps:wsp>
                            <wps:cNvSpPr>
                              <a:spLocks noChangeArrowheads="1"/>
                            </wps:cNvSpPr>
                            <wps:spPr bwMode="auto">
                              <a:xfrm>
                                <a:off x="0" y="0"/>
                                <a:ext cx="1266825" cy="266700"/>
                              </a:xfrm>
                              <a:prstGeom prst="rect">
                                <a:avLst/>
                              </a:prstGeom>
                              <a:noFill/>
                              <a:ln>
                                <a:noFill/>
                              </a:ln>
                            </wps:spPr>
                            <wps:txbx>
                              <w:txbxContent>
                                <w:p w14:paraId="4B0D5724">
                                  <w:pPr>
                                    <w:rPr>
                                      <w:b/>
                                      <w:color w:val="FF0000"/>
                                    </w:rPr>
                                  </w:pPr>
                                  <w:r>
                                    <w:rPr>
                                      <w:rFonts w:hint="eastAsia"/>
                                      <w:b/>
                                      <w:color w:val="FF0000"/>
                                    </w:rPr>
                                    <w:t>常州广告产业园</w:t>
                                  </w:r>
                                </w:p>
                              </w:txbxContent>
                            </wps:txbx>
                            <wps:bodyPr rot="0" vert="horz" wrap="square" lIns="91440" tIns="45720" rIns="91440" bIns="45720" anchor="t" anchorCtr="0" upright="1">
                              <a:noAutofit/>
                            </wps:bodyPr>
                          </wps:wsp>
                        </a:graphicData>
                      </a:graphic>
                    </wp:anchor>
                  </w:drawing>
                </mc:Choice>
                <mc:Fallback>
                  <w:pict>
                    <v:rect id="Rectangle 115" o:spid="_x0000_s1026" o:spt="1" style="position:absolute;left:0pt;margin-left:67.65pt;margin-top:4.35pt;height:21pt;width:99.75pt;z-index:251692032;mso-width-relative:page;mso-height-relative:page;" filled="f" stroked="f" coordsize="21600,21600" o:gfxdata="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&#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ZAtPZAAAACAEAAA8AAAAAAAAAAQAgAAAAIgAAAGRy&#10;cy9kb3ducmV2LnhtbFBLAQIUABQAAAAIAIdO4kCF3Y0jBAIAAA4EAAAOAAAAAAAAAAEAIAAAACgB&#10;AABkcnMvZTJvRG9jLnhtbFBLBQYAAAAABgAGAFkBAACeBQAAAAA=&#10;">
                      <v:fill on="f" focussize="0,0"/>
                      <v:stroke on="f"/>
                      <v:imagedata o:title=""/>
                      <o:lock v:ext="edit" aspectratio="f"/>
                      <v:textbox>
                        <w:txbxContent>
                          <w:p w14:paraId="4B0D5724">
                            <w:pPr>
                              <w:rPr>
                                <w:b/>
                                <w:color w:val="FF0000"/>
                              </w:rPr>
                            </w:pPr>
                            <w:r>
                              <w:rPr>
                                <w:rFonts w:hint="eastAsia"/>
                                <w:b/>
                                <w:color w:val="FF0000"/>
                              </w:rPr>
                              <w:t>常州广告产业园</w:t>
                            </w:r>
                          </w:p>
                        </w:txbxContent>
                      </v:textbox>
                    </v:rect>
                  </w:pict>
                </mc:Fallback>
              </mc:AlternateContent>
            </w:r>
            <w:r>
              <w:rPr>
                <w:rFonts w:ascii="宋体" w:hAnsi="宋体" w:eastAsia="宋体"/>
                <w:color w:val="000000" w:themeColor="text1"/>
                <w:sz w:val="21"/>
                <w:szCs w:val="21"/>
                <w14:textFill>
                  <w14:solidFill>
                    <w14:schemeClr w14:val="tx1"/>
                  </w14:solidFill>
                </w14:textFill>
              </w:rPr>
              <w:drawing>
                <wp:inline distT="0" distB="0" distL="0" distR="0">
                  <wp:extent cx="2266950" cy="1543050"/>
                  <wp:effectExtent l="19050" t="0" r="0" b="0"/>
                  <wp:docPr id="60" name="图片 1" descr="创意产业基地 国家广告产业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 descr="创意产业基地 国家广告产业园.jpg"/>
                          <pic:cNvPicPr>
                            <a:picLocks noChangeAspect="1" noChangeArrowheads="1"/>
                          </pic:cNvPicPr>
                        </pic:nvPicPr>
                        <pic:blipFill>
                          <a:blip r:embed="rId19" cstate="print"/>
                          <a:srcRect/>
                          <a:stretch>
                            <a:fillRect/>
                          </a:stretch>
                        </pic:blipFill>
                        <pic:spPr>
                          <a:xfrm>
                            <a:off x="0" y="0"/>
                            <a:ext cx="2266950" cy="1543050"/>
                          </a:xfrm>
                          <a:prstGeom prst="rect">
                            <a:avLst/>
                          </a:prstGeom>
                          <a:noFill/>
                          <a:ln w="9525">
                            <a:noFill/>
                            <a:miter lim="800000"/>
                            <a:headEnd/>
                            <a:tailEnd/>
                          </a:ln>
                        </pic:spPr>
                      </pic:pic>
                    </a:graphicData>
                  </a:graphic>
                </wp:inline>
              </w:drawing>
            </w:r>
          </w:p>
        </w:tc>
        <w:tc>
          <w:tcPr>
            <w:tcW w:w="3836" w:type="dxa"/>
            <w:tcBorders>
              <w:bottom w:val="single" w:color="auto" w:sz="4" w:space="0"/>
            </w:tcBorders>
          </w:tcPr>
          <w:p w14:paraId="70E863FA">
            <w:pPr>
              <w:pStyle w:val="4"/>
              <w:ind w:left="-107" w:leftChars="-51" w:firstLine="1" w:firstLineChars="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mc:AlternateContent>
                <mc:Choice Requires="wps">
                  <w:drawing>
                    <wp:anchor distT="0" distB="0" distL="114300" distR="114300" simplePos="0" relativeHeight="251693056" behindDoc="0" locked="0" layoutInCell="1" allowOverlap="1">
                      <wp:simplePos x="0" y="0"/>
                      <wp:positionH relativeFrom="column">
                        <wp:posOffset>523240</wp:posOffset>
                      </wp:positionH>
                      <wp:positionV relativeFrom="paragraph">
                        <wp:posOffset>1236345</wp:posOffset>
                      </wp:positionV>
                      <wp:extent cx="1733550" cy="295275"/>
                      <wp:effectExtent l="0" t="0" r="0" b="9525"/>
                      <wp:wrapNone/>
                      <wp:docPr id="81" name="Rectangle 116"/>
                      <wp:cNvGraphicFramePr/>
                      <a:graphic xmlns:a="http://schemas.openxmlformats.org/drawingml/2006/main">
                        <a:graphicData uri="http://schemas.microsoft.com/office/word/2010/wordprocessingShape">
                          <wps:wsp>
                            <wps:cNvSpPr>
                              <a:spLocks noChangeArrowheads="1"/>
                            </wps:cNvSpPr>
                            <wps:spPr bwMode="auto">
                              <a:xfrm>
                                <a:off x="0" y="0"/>
                                <a:ext cx="1733550" cy="295275"/>
                              </a:xfrm>
                              <a:prstGeom prst="rect">
                                <a:avLst/>
                              </a:prstGeom>
                              <a:noFill/>
                              <a:ln>
                                <a:noFill/>
                              </a:ln>
                            </wps:spPr>
                            <wps:txbx>
                              <w:txbxContent>
                                <w:p w14:paraId="08F6C936">
                                  <w:pPr>
                                    <w:rPr>
                                      <w:b/>
                                      <w:color w:val="FF0000"/>
                                    </w:rPr>
                                  </w:pPr>
                                  <w:r>
                                    <w:rPr>
                                      <w:rFonts w:hint="eastAsia"/>
                                      <w:b/>
                                      <w:color w:val="FF0000"/>
                                    </w:rPr>
                                    <w:t>常州广告产业园三井基地</w:t>
                                  </w:r>
                                </w:p>
                              </w:txbxContent>
                            </wps:txbx>
                            <wps:bodyPr rot="0" vert="horz" wrap="square" lIns="91440" tIns="45720" rIns="91440" bIns="45720" anchor="t" anchorCtr="0" upright="1">
                              <a:noAutofit/>
                            </wps:bodyPr>
                          </wps:wsp>
                        </a:graphicData>
                      </a:graphic>
                    </wp:anchor>
                  </w:drawing>
                </mc:Choice>
                <mc:Fallback>
                  <w:pict>
                    <v:rect id="Rectangle 116" o:spid="_x0000_s1026" o:spt="1" style="position:absolute;left:0pt;margin-left:41.2pt;margin-top:97.35pt;height:23.25pt;width:136.5pt;z-index:251693056;mso-width-relative:page;mso-height-relative:page;" filled="f" stroked="f" coordsize="21600,21600" o:gfxdata="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hdRav2wAAAAoBAAAPAAAAAAAAAAEAIAAAACIA&#10;AABkcnMvZG93bnJldi54bWxQSwECFAAUAAAACACHTuJAu4CmXQYCAAAOBAAADgAAAAAAAAABACAA&#10;AAAqAQAAZHJzL2Uyb0RvYy54bWxQSwUGAAAAAAYABgBZAQAAogUAAAAA&#10;">
                      <v:fill on="f" focussize="0,0"/>
                      <v:stroke on="f"/>
                      <v:imagedata o:title=""/>
                      <o:lock v:ext="edit" aspectratio="f"/>
                      <v:textbox>
                        <w:txbxContent>
                          <w:p w14:paraId="08F6C936">
                            <w:pPr>
                              <w:rPr>
                                <w:b/>
                                <w:color w:val="FF0000"/>
                              </w:rPr>
                            </w:pPr>
                            <w:r>
                              <w:rPr>
                                <w:rFonts w:hint="eastAsia"/>
                                <w:b/>
                                <w:color w:val="FF0000"/>
                              </w:rPr>
                              <w:t>常州广告产业园三井基地</w:t>
                            </w:r>
                          </w:p>
                        </w:txbxContent>
                      </v:textbox>
                    </v:rect>
                  </w:pict>
                </mc:Fallback>
              </mc:AlternateContent>
            </w:r>
            <w:r>
              <w:rPr>
                <w:rFonts w:ascii="宋体" w:hAnsi="宋体" w:eastAsia="宋体"/>
                <w:color w:val="000000" w:themeColor="text1"/>
                <w:sz w:val="21"/>
                <w:szCs w:val="21"/>
                <w14:textFill>
                  <w14:solidFill>
                    <w14:schemeClr w14:val="tx1"/>
                  </w14:solidFill>
                </w14:textFill>
              </w:rPr>
              <w:drawing>
                <wp:inline distT="0" distB="0" distL="0" distR="0">
                  <wp:extent cx="2381250" cy="1514475"/>
                  <wp:effectExtent l="19050" t="0" r="0" b="0"/>
                  <wp:docPr id="59" name="图片 32" descr="G:\MyDocuments\三井街道\c995d143ad4bd113de35beae5eafa40f4afb05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2" descr="G:\MyDocuments\三井街道\c995d143ad4bd113de35beae5eafa40f4afb05b5.jpg"/>
                          <pic:cNvPicPr>
                            <a:picLocks noChangeAspect="1" noChangeArrowheads="1"/>
                          </pic:cNvPicPr>
                        </pic:nvPicPr>
                        <pic:blipFill>
                          <a:blip r:embed="rId20" cstate="print"/>
                          <a:srcRect/>
                          <a:stretch>
                            <a:fillRect/>
                          </a:stretch>
                        </pic:blipFill>
                        <pic:spPr>
                          <a:xfrm>
                            <a:off x="0" y="0"/>
                            <a:ext cx="2381250" cy="1514475"/>
                          </a:xfrm>
                          <a:prstGeom prst="rect">
                            <a:avLst/>
                          </a:prstGeom>
                          <a:noFill/>
                          <a:ln w="9525">
                            <a:noFill/>
                            <a:miter lim="800000"/>
                            <a:headEnd/>
                            <a:tailEnd/>
                          </a:ln>
                        </pic:spPr>
                      </pic:pic>
                    </a:graphicData>
                  </a:graphic>
                </wp:inline>
              </w:drawing>
            </w:r>
          </w:p>
        </w:tc>
      </w:tr>
      <w:tr w14:paraId="0776AF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0" w:hRule="atLeast"/>
        </w:trPr>
        <w:tc>
          <w:tcPr>
            <w:tcW w:w="1242" w:type="dxa"/>
            <w:tcBorders>
              <w:top w:val="single" w:color="auto" w:sz="4" w:space="0"/>
            </w:tcBorders>
          </w:tcPr>
          <w:p w14:paraId="57B2715B">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创意产业</w:t>
            </w:r>
          </w:p>
        </w:tc>
        <w:tc>
          <w:tcPr>
            <w:tcW w:w="3544" w:type="dxa"/>
            <w:tcBorders>
              <w:top w:val="single" w:color="auto" w:sz="4" w:space="0"/>
            </w:tcBorders>
          </w:tcPr>
          <w:p w14:paraId="284953C0">
            <w:pPr>
              <w:pStyle w:val="4"/>
              <w:ind w:leftChars="-60" w:hanging="126" w:hangingChars="6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drawing>
                <wp:inline distT="0" distB="0" distL="0" distR="0">
                  <wp:extent cx="2181225" cy="1704975"/>
                  <wp:effectExtent l="19050" t="0" r="9525" b="0"/>
                  <wp:docPr id="58" name="图片 31" descr="C:\Documents and Settings\Administrator\桌面\Photo\图片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1" descr="C:\Documents and Settings\Administrator\桌面\Photo\图片3.png"/>
                          <pic:cNvPicPr>
                            <a:picLocks noChangeAspect="1" noChangeArrowheads="1"/>
                          </pic:cNvPicPr>
                        </pic:nvPicPr>
                        <pic:blipFill>
                          <a:blip r:embed="rId21" cstate="print"/>
                          <a:srcRect/>
                          <a:stretch>
                            <a:fillRect/>
                          </a:stretch>
                        </pic:blipFill>
                        <pic:spPr>
                          <a:xfrm>
                            <a:off x="0" y="0"/>
                            <a:ext cx="2181225" cy="1704975"/>
                          </a:xfrm>
                          <a:prstGeom prst="rect">
                            <a:avLst/>
                          </a:prstGeom>
                          <a:noFill/>
                          <a:ln w="9525">
                            <a:noFill/>
                            <a:miter lim="800000"/>
                            <a:headEnd/>
                            <a:tailEnd/>
                          </a:ln>
                        </pic:spPr>
                      </pic:pic>
                    </a:graphicData>
                  </a:graphic>
                </wp:inline>
              </w:drawing>
            </w:r>
          </w:p>
        </w:tc>
        <w:tc>
          <w:tcPr>
            <w:tcW w:w="3836" w:type="dxa"/>
            <w:tcBorders>
              <w:top w:val="single" w:color="auto" w:sz="4" w:space="0"/>
            </w:tcBorders>
          </w:tcPr>
          <w:p w14:paraId="70D57205">
            <w:pPr>
              <w:pStyle w:val="4"/>
              <w:ind w:left="-107" w:leftChars="-51" w:firstLine="1" w:firstLineChars="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mc:AlternateContent>
                <mc:Choice Requires="wps">
                  <w:drawing>
                    <wp:anchor distT="0" distB="0" distL="114300" distR="114300" simplePos="0" relativeHeight="251694080" behindDoc="0" locked="0" layoutInCell="1" allowOverlap="1">
                      <wp:simplePos x="0" y="0"/>
                      <wp:positionH relativeFrom="column">
                        <wp:posOffset>1047115</wp:posOffset>
                      </wp:positionH>
                      <wp:positionV relativeFrom="paragraph">
                        <wp:posOffset>1334770</wp:posOffset>
                      </wp:positionV>
                      <wp:extent cx="1114425" cy="314325"/>
                      <wp:effectExtent l="0" t="0" r="0" b="9525"/>
                      <wp:wrapNone/>
                      <wp:docPr id="80" name="Rectangle 117"/>
                      <wp:cNvGraphicFramePr/>
                      <a:graphic xmlns:a="http://schemas.openxmlformats.org/drawingml/2006/main">
                        <a:graphicData uri="http://schemas.microsoft.com/office/word/2010/wordprocessingShape">
                          <wps:wsp>
                            <wps:cNvSpPr>
                              <a:spLocks noChangeArrowheads="1"/>
                            </wps:cNvSpPr>
                            <wps:spPr bwMode="auto">
                              <a:xfrm>
                                <a:off x="0" y="0"/>
                                <a:ext cx="1114425" cy="314325"/>
                              </a:xfrm>
                              <a:prstGeom prst="rect">
                                <a:avLst/>
                              </a:prstGeom>
                              <a:noFill/>
                              <a:ln>
                                <a:noFill/>
                              </a:ln>
                            </wps:spPr>
                            <wps:txbx>
                              <w:txbxContent>
                                <w:p w14:paraId="1B315270">
                                  <w:pPr>
                                    <w:rPr>
                                      <w:b/>
                                      <w:color w:val="FF0000"/>
                                    </w:rPr>
                                  </w:pPr>
                                  <w:r>
                                    <w:rPr>
                                      <w:rFonts w:hint="eastAsia"/>
                                      <w:b/>
                                      <w:color w:val="FF0000"/>
                                    </w:rPr>
                                    <w:t>常州传媒大厦</w:t>
                                  </w:r>
                                </w:p>
                              </w:txbxContent>
                            </wps:txbx>
                            <wps:bodyPr rot="0" vert="horz" wrap="square" lIns="91440" tIns="45720" rIns="91440" bIns="45720" anchor="t" anchorCtr="0" upright="1">
                              <a:noAutofit/>
                            </wps:bodyPr>
                          </wps:wsp>
                        </a:graphicData>
                      </a:graphic>
                    </wp:anchor>
                  </w:drawing>
                </mc:Choice>
                <mc:Fallback>
                  <w:pict>
                    <v:rect id="Rectangle 117" o:spid="_x0000_s1026" o:spt="1" style="position:absolute;left:0pt;margin-left:82.45pt;margin-top:105.1pt;height:24.75pt;width:87.75pt;z-index:251694080;mso-width-relative:page;mso-height-relative:page;" filled="f" stroked="f" coordsize="21600,21600" o:gfxdata="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&#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cD/t22wAAAAsBAAAPAAAAAAAAAAEAIAAAACIAAABk&#10;cnMvZG93bnJldi54bWxQSwECFAAUAAAACACHTuJAF0VPTAMCAAAOBAAADgAAAAAAAAABACAAAAAq&#10;AQAAZHJzL2Uyb0RvYy54bWxQSwUGAAAAAAYABgBZAQAAnwUAAAAA&#10;">
                      <v:fill on="f" focussize="0,0"/>
                      <v:stroke on="f"/>
                      <v:imagedata o:title=""/>
                      <o:lock v:ext="edit" aspectratio="f"/>
                      <v:textbox>
                        <w:txbxContent>
                          <w:p w14:paraId="1B315270">
                            <w:pPr>
                              <w:rPr>
                                <w:b/>
                                <w:color w:val="FF0000"/>
                              </w:rPr>
                            </w:pPr>
                            <w:r>
                              <w:rPr>
                                <w:rFonts w:hint="eastAsia"/>
                                <w:b/>
                                <w:color w:val="FF0000"/>
                              </w:rPr>
                              <w:t>常州传媒大厦</w:t>
                            </w:r>
                          </w:p>
                        </w:txbxContent>
                      </v:textbox>
                    </v:rect>
                  </w:pict>
                </mc:Fallback>
              </mc:AlternateContent>
            </w:r>
            <w:r>
              <w:rPr>
                <w:rFonts w:ascii="宋体" w:hAnsi="宋体" w:eastAsia="宋体"/>
                <w:color w:val="000000" w:themeColor="text1"/>
                <w:sz w:val="21"/>
                <w:szCs w:val="21"/>
                <w14:textFill>
                  <w14:solidFill>
                    <w14:schemeClr w14:val="tx1"/>
                  </w14:solidFill>
                </w14:textFill>
              </w:rPr>
              <w:drawing>
                <wp:inline distT="0" distB="0" distL="0" distR="0">
                  <wp:extent cx="2362200" cy="1733550"/>
                  <wp:effectExtent l="19050" t="0" r="0" b="0"/>
                  <wp:docPr id="57" name="图片 33" descr="http://img0.imgtn.bdimg.com/it/u=2474600618,2061454052&amp;fm=21&amp;gp=0.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3" descr="http://img0.imgtn.bdimg.com/it/u=2474600618,2061454052&amp;fm=21&amp;gp=0.jpg"/>
                          <pic:cNvPicPr>
                            <a:picLocks noChangeAspect="1" noChangeArrowheads="1"/>
                          </pic:cNvPicPr>
                        </pic:nvPicPr>
                        <pic:blipFill>
                          <a:blip r:embed="rId23" cstate="print"/>
                          <a:srcRect/>
                          <a:stretch>
                            <a:fillRect/>
                          </a:stretch>
                        </pic:blipFill>
                        <pic:spPr>
                          <a:xfrm>
                            <a:off x="0" y="0"/>
                            <a:ext cx="2362200" cy="1733550"/>
                          </a:xfrm>
                          <a:prstGeom prst="rect">
                            <a:avLst/>
                          </a:prstGeom>
                          <a:noFill/>
                          <a:ln w="9525">
                            <a:noFill/>
                            <a:miter lim="800000"/>
                            <a:headEnd/>
                            <a:tailEnd/>
                          </a:ln>
                        </pic:spPr>
                      </pic:pic>
                    </a:graphicData>
                  </a:graphic>
                </wp:inline>
              </w:drawing>
            </w:r>
          </w:p>
        </w:tc>
      </w:tr>
      <w:tr w14:paraId="72D995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97" w:hRule="atLeast"/>
        </w:trPr>
        <w:tc>
          <w:tcPr>
            <w:tcW w:w="1242" w:type="dxa"/>
          </w:tcPr>
          <w:p w14:paraId="5B16664B">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孵化器</w:t>
            </w:r>
          </w:p>
        </w:tc>
        <w:tc>
          <w:tcPr>
            <w:tcW w:w="3544" w:type="dxa"/>
          </w:tcPr>
          <w:p w14:paraId="02D8623A">
            <w:pPr>
              <w:pStyle w:val="4"/>
              <w:ind w:leftChars="-60" w:hanging="126" w:hangingChars="6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mc:AlternateContent>
                <mc:Choice Requires="wps">
                  <w:drawing>
                    <wp:anchor distT="0" distB="0" distL="114300" distR="114300" simplePos="0" relativeHeight="251695104" behindDoc="0" locked="0" layoutInCell="1" allowOverlap="1">
                      <wp:simplePos x="0" y="0"/>
                      <wp:positionH relativeFrom="column">
                        <wp:posOffset>1059180</wp:posOffset>
                      </wp:positionH>
                      <wp:positionV relativeFrom="paragraph">
                        <wp:posOffset>1278890</wp:posOffset>
                      </wp:positionV>
                      <wp:extent cx="1066800" cy="247650"/>
                      <wp:effectExtent l="0" t="0" r="0" b="0"/>
                      <wp:wrapNone/>
                      <wp:docPr id="79" name="Rectangle 118"/>
                      <wp:cNvGraphicFramePr/>
                      <a:graphic xmlns:a="http://schemas.openxmlformats.org/drawingml/2006/main">
                        <a:graphicData uri="http://schemas.microsoft.com/office/word/2010/wordprocessingShape">
                          <wps:wsp>
                            <wps:cNvSpPr>
                              <a:spLocks noChangeArrowheads="1"/>
                            </wps:cNvSpPr>
                            <wps:spPr bwMode="auto">
                              <a:xfrm>
                                <a:off x="0" y="0"/>
                                <a:ext cx="1066800" cy="247650"/>
                              </a:xfrm>
                              <a:prstGeom prst="rect">
                                <a:avLst/>
                              </a:prstGeom>
                              <a:noFill/>
                              <a:ln>
                                <a:noFill/>
                              </a:ln>
                            </wps:spPr>
                            <wps:txbx>
                              <w:txbxContent>
                                <w:p w14:paraId="16E47B40">
                                  <w:pPr>
                                    <w:rPr>
                                      <w:b/>
                                      <w:color w:val="FF0000"/>
                                    </w:rPr>
                                  </w:pPr>
                                  <w:r>
                                    <w:rPr>
                                      <w:rFonts w:hint="eastAsia"/>
                                      <w:b/>
                                      <w:color w:val="FF0000"/>
                                    </w:rPr>
                                    <w:t>三晶孵化器</w:t>
                                  </w:r>
                                </w:p>
                              </w:txbxContent>
                            </wps:txbx>
                            <wps:bodyPr rot="0" vert="horz" wrap="square" lIns="91440" tIns="45720" rIns="91440" bIns="45720" anchor="t" anchorCtr="0" upright="1">
                              <a:noAutofit/>
                            </wps:bodyPr>
                          </wps:wsp>
                        </a:graphicData>
                      </a:graphic>
                    </wp:anchor>
                  </w:drawing>
                </mc:Choice>
                <mc:Fallback>
                  <w:pict>
                    <v:rect id="Rectangle 118" o:spid="_x0000_s1026" o:spt="1" style="position:absolute;left:0pt;margin-left:83.4pt;margin-top:100.7pt;height:19.5pt;width:84pt;z-index:251695104;mso-width-relative:page;mso-height-relative:page;" filled="f" stroked="f" coordsize="21600,21600" o:gfxdata="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DUHgdoAAAALAQAADwAAAAAAAAABACAAAAAiAAAA&#10;ZHJzL2Rvd25yZXYueG1sUEsBAhQAFAAAAAgAh07iQODdpL0FAgAADgQAAA4AAAAAAAAAAQAgAAAA&#10;KQEAAGRycy9lMm9Eb2MueG1sUEsFBgAAAAAGAAYAWQEAAKAFAAAAAA==&#10;">
                      <v:fill on="f" focussize="0,0"/>
                      <v:stroke on="f"/>
                      <v:imagedata o:title=""/>
                      <o:lock v:ext="edit" aspectratio="f"/>
                      <v:textbox>
                        <w:txbxContent>
                          <w:p w14:paraId="16E47B40">
                            <w:pPr>
                              <w:rPr>
                                <w:b/>
                                <w:color w:val="FF0000"/>
                              </w:rPr>
                            </w:pPr>
                            <w:r>
                              <w:rPr>
                                <w:rFonts w:hint="eastAsia"/>
                                <w:b/>
                                <w:color w:val="FF0000"/>
                              </w:rPr>
                              <w:t>三晶孵化器</w:t>
                            </w:r>
                          </w:p>
                        </w:txbxContent>
                      </v:textbox>
                    </v:rect>
                  </w:pict>
                </mc:Fallback>
              </mc:AlternateContent>
            </w:r>
            <w:r>
              <w:rPr>
                <w:rFonts w:ascii="宋体" w:hAnsi="宋体" w:eastAsia="宋体"/>
                <w:color w:val="000000" w:themeColor="text1"/>
                <w:sz w:val="21"/>
                <w:szCs w:val="21"/>
                <w14:textFill>
                  <w14:solidFill>
                    <w14:schemeClr w14:val="tx1"/>
                  </w14:solidFill>
                </w14:textFill>
              </w:rPr>
              <w:drawing>
                <wp:inline distT="0" distB="0" distL="0" distR="0">
                  <wp:extent cx="2266950" cy="1533525"/>
                  <wp:effectExtent l="19050" t="0" r="0" b="0"/>
                  <wp:docPr id="56" name="图片 20" descr="三晶孵化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0" descr="三晶孵化器.jpg"/>
                          <pic:cNvPicPr>
                            <a:picLocks noChangeAspect="1" noChangeArrowheads="1"/>
                          </pic:cNvPicPr>
                        </pic:nvPicPr>
                        <pic:blipFill>
                          <a:blip r:embed="rId24" cstate="print"/>
                          <a:srcRect/>
                          <a:stretch>
                            <a:fillRect/>
                          </a:stretch>
                        </pic:blipFill>
                        <pic:spPr>
                          <a:xfrm>
                            <a:off x="0" y="0"/>
                            <a:ext cx="2266950" cy="1533525"/>
                          </a:xfrm>
                          <a:prstGeom prst="rect">
                            <a:avLst/>
                          </a:prstGeom>
                          <a:noFill/>
                          <a:ln w="9525">
                            <a:noFill/>
                            <a:miter lim="800000"/>
                            <a:headEnd/>
                            <a:tailEnd/>
                          </a:ln>
                        </pic:spPr>
                      </pic:pic>
                    </a:graphicData>
                  </a:graphic>
                </wp:inline>
              </w:drawing>
            </w:r>
          </w:p>
        </w:tc>
        <w:tc>
          <w:tcPr>
            <w:tcW w:w="3836" w:type="dxa"/>
          </w:tcPr>
          <w:p w14:paraId="2B8A4BC6">
            <w:pPr>
              <w:pStyle w:val="4"/>
              <w:ind w:firstLine="0" w:firstLineChars="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mc:AlternateContent>
                <mc:Choice Requires="wps">
                  <w:drawing>
                    <wp:anchor distT="0" distB="0" distL="114300" distR="114300" simplePos="0" relativeHeight="251696128" behindDoc="0" locked="0" layoutInCell="1" allowOverlap="1">
                      <wp:simplePos x="0" y="0"/>
                      <wp:positionH relativeFrom="column">
                        <wp:posOffset>580390</wp:posOffset>
                      </wp:positionH>
                      <wp:positionV relativeFrom="paragraph">
                        <wp:posOffset>1278890</wp:posOffset>
                      </wp:positionV>
                      <wp:extent cx="1676400" cy="247650"/>
                      <wp:effectExtent l="0" t="0" r="0" b="0"/>
                      <wp:wrapNone/>
                      <wp:docPr id="78" name="Rectangle 119"/>
                      <wp:cNvGraphicFramePr/>
                      <a:graphic xmlns:a="http://schemas.openxmlformats.org/drawingml/2006/main">
                        <a:graphicData uri="http://schemas.microsoft.com/office/word/2010/wordprocessingShape">
                          <wps:wsp>
                            <wps:cNvSpPr>
                              <a:spLocks noChangeArrowheads="1"/>
                            </wps:cNvSpPr>
                            <wps:spPr bwMode="auto">
                              <a:xfrm>
                                <a:off x="0" y="0"/>
                                <a:ext cx="1676400" cy="247650"/>
                              </a:xfrm>
                              <a:prstGeom prst="rect">
                                <a:avLst/>
                              </a:prstGeom>
                              <a:noFill/>
                              <a:ln>
                                <a:noFill/>
                              </a:ln>
                            </wps:spPr>
                            <wps:txbx>
                              <w:txbxContent>
                                <w:p w14:paraId="2AB4E43D">
                                  <w:pPr>
                                    <w:rPr>
                                      <w:b/>
                                      <w:color w:val="FF0000"/>
                                    </w:rPr>
                                  </w:pPr>
                                  <w:r>
                                    <w:rPr>
                                      <w:rFonts w:hint="eastAsia"/>
                                      <w:b/>
                                      <w:color w:val="FF0000"/>
                                    </w:rPr>
                                    <w:t>海博生物医疗器械科技园</w:t>
                                  </w:r>
                                </w:p>
                              </w:txbxContent>
                            </wps:txbx>
                            <wps:bodyPr rot="0" vert="horz" wrap="square" lIns="91440" tIns="45720" rIns="91440" bIns="45720" anchor="t" anchorCtr="0" upright="1">
                              <a:noAutofit/>
                            </wps:bodyPr>
                          </wps:wsp>
                        </a:graphicData>
                      </a:graphic>
                    </wp:anchor>
                  </w:drawing>
                </mc:Choice>
                <mc:Fallback>
                  <w:pict>
                    <v:rect id="Rectangle 119" o:spid="_x0000_s1026" o:spt="1" style="position:absolute;left:0pt;margin-left:45.7pt;margin-top:100.7pt;height:19.5pt;width:132pt;z-index:251696128;mso-width-relative:page;mso-height-relative:page;" filled="f" stroked="f" coordsize="21600,21600" o:gfxdata="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kZyAg2QAAAAoBAAAPAAAAAAAAAAEAIAAAACIAAABk&#10;cnMvZG93bnJldi54bWxQSwECFAAUAAAACACHTuJAc32iSwUCAAAOBAAADgAAAAAAAAABACAAAAAo&#10;AQAAZHJzL2Uyb0RvYy54bWxQSwUGAAAAAAYABgBZAQAAnwUAAAAA&#10;">
                      <v:fill on="f" focussize="0,0"/>
                      <v:stroke on="f"/>
                      <v:imagedata o:title=""/>
                      <o:lock v:ext="edit" aspectratio="f"/>
                      <v:textbox>
                        <w:txbxContent>
                          <w:p w14:paraId="2AB4E43D">
                            <w:pPr>
                              <w:rPr>
                                <w:b/>
                                <w:color w:val="FF0000"/>
                              </w:rPr>
                            </w:pPr>
                            <w:r>
                              <w:rPr>
                                <w:rFonts w:hint="eastAsia"/>
                                <w:b/>
                                <w:color w:val="FF0000"/>
                              </w:rPr>
                              <w:t>海博生物医疗器械科技园</w:t>
                            </w:r>
                          </w:p>
                        </w:txbxContent>
                      </v:textbox>
                    </v:rect>
                  </w:pict>
                </mc:Fallback>
              </mc:AlternateContent>
            </w:r>
            <w:r>
              <w:rPr>
                <w:rFonts w:ascii="宋体" w:hAnsi="宋体" w:eastAsia="宋体"/>
                <w:color w:val="000000" w:themeColor="text1"/>
                <w:sz w:val="21"/>
                <w:szCs w:val="21"/>
                <w14:textFill>
                  <w14:solidFill>
                    <w14:schemeClr w14:val="tx1"/>
                  </w14:solidFill>
                </w14:textFill>
              </w:rPr>
              <w:drawing>
                <wp:inline distT="0" distB="0" distL="0" distR="0">
                  <wp:extent cx="2295525" cy="1524000"/>
                  <wp:effectExtent l="19050" t="0" r="9525" b="0"/>
                  <wp:docPr id="18" name="图片 21" descr="海博医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1" descr="海博医疗.jpg"/>
                          <pic:cNvPicPr>
                            <a:picLocks noChangeAspect="1" noChangeArrowheads="1"/>
                          </pic:cNvPicPr>
                        </pic:nvPicPr>
                        <pic:blipFill>
                          <a:blip r:embed="rId25" cstate="print"/>
                          <a:srcRect/>
                          <a:stretch>
                            <a:fillRect/>
                          </a:stretch>
                        </pic:blipFill>
                        <pic:spPr>
                          <a:xfrm>
                            <a:off x="0" y="0"/>
                            <a:ext cx="2295525" cy="1524000"/>
                          </a:xfrm>
                          <a:prstGeom prst="rect">
                            <a:avLst/>
                          </a:prstGeom>
                          <a:noFill/>
                          <a:ln w="9525">
                            <a:noFill/>
                            <a:miter lim="800000"/>
                            <a:headEnd/>
                            <a:tailEnd/>
                          </a:ln>
                        </pic:spPr>
                      </pic:pic>
                    </a:graphicData>
                  </a:graphic>
                </wp:inline>
              </w:drawing>
            </w:r>
          </w:p>
        </w:tc>
      </w:tr>
      <w:tr w14:paraId="2A018F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92" w:hRule="atLeast"/>
        </w:trPr>
        <w:tc>
          <w:tcPr>
            <w:tcW w:w="1242" w:type="dxa"/>
          </w:tcPr>
          <w:p w14:paraId="2A825E69">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主题旅游</w:t>
            </w:r>
          </w:p>
        </w:tc>
        <w:tc>
          <w:tcPr>
            <w:tcW w:w="3544" w:type="dxa"/>
          </w:tcPr>
          <w:p w14:paraId="36C6934A">
            <w:pPr>
              <w:pStyle w:val="4"/>
              <w:ind w:leftChars="-60" w:hanging="126" w:hangingChars="6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mc:AlternateContent>
                <mc:Choice Requires="wps">
                  <w:drawing>
                    <wp:anchor distT="0" distB="0" distL="114300" distR="114300" simplePos="0" relativeHeight="251697152" behindDoc="0" locked="0" layoutInCell="1" allowOverlap="1">
                      <wp:simplePos x="0" y="0"/>
                      <wp:positionH relativeFrom="column">
                        <wp:posOffset>916305</wp:posOffset>
                      </wp:positionH>
                      <wp:positionV relativeFrom="paragraph">
                        <wp:posOffset>1344930</wp:posOffset>
                      </wp:positionV>
                      <wp:extent cx="1114425" cy="276225"/>
                      <wp:effectExtent l="0" t="0" r="0" b="9525"/>
                      <wp:wrapNone/>
                      <wp:docPr id="77" name="Rectangle 120"/>
                      <wp:cNvGraphicFramePr/>
                      <a:graphic xmlns:a="http://schemas.openxmlformats.org/drawingml/2006/main">
                        <a:graphicData uri="http://schemas.microsoft.com/office/word/2010/wordprocessingShape">
                          <wps:wsp>
                            <wps:cNvSpPr>
                              <a:spLocks noChangeArrowheads="1"/>
                            </wps:cNvSpPr>
                            <wps:spPr bwMode="auto">
                              <a:xfrm>
                                <a:off x="0" y="0"/>
                                <a:ext cx="1114425" cy="276225"/>
                              </a:xfrm>
                              <a:prstGeom prst="rect">
                                <a:avLst/>
                              </a:prstGeom>
                              <a:noFill/>
                              <a:ln>
                                <a:noFill/>
                              </a:ln>
                            </wps:spPr>
                            <wps:txbx>
                              <w:txbxContent>
                                <w:p w14:paraId="36B65160">
                                  <w:pPr>
                                    <w:rPr>
                                      <w:b/>
                                      <w:color w:val="FF0000"/>
                                    </w:rPr>
                                  </w:pPr>
                                  <w:r>
                                    <w:rPr>
                                      <w:rFonts w:hint="eastAsia"/>
                                      <w:b/>
                                      <w:color w:val="FF0000"/>
                                    </w:rPr>
                                    <w:t>环球恐龙园</w:t>
                                  </w:r>
                                </w:p>
                              </w:txbxContent>
                            </wps:txbx>
                            <wps:bodyPr rot="0" vert="horz" wrap="square" lIns="91440" tIns="45720" rIns="91440" bIns="45720" anchor="t" anchorCtr="0" upright="1">
                              <a:noAutofit/>
                            </wps:bodyPr>
                          </wps:wsp>
                        </a:graphicData>
                      </a:graphic>
                    </wp:anchor>
                  </w:drawing>
                </mc:Choice>
                <mc:Fallback>
                  <w:pict>
                    <v:rect id="Rectangle 120" o:spid="_x0000_s1026" o:spt="1" style="position:absolute;left:0pt;margin-left:72.15pt;margin-top:105.9pt;height:21.75pt;width:87.75pt;z-index:251697152;mso-width-relative:page;mso-height-relative:page;" filled="f" stroked="f" coordsize="21600,21600" o:gfxdata="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AFgQA2wAAAAsBAAAPAAAAAAAAAAEAIAAAACIAAABk&#10;cnMvZG93bnJldi54bWxQSwECFAAUAAAACACHTuJAAlyvDAMCAAAOBAAADgAAAAAAAAABACAAAAAq&#10;AQAAZHJzL2Uyb0RvYy54bWxQSwUGAAAAAAYABgBZAQAAnwUAAAAA&#10;">
                      <v:fill on="f" focussize="0,0"/>
                      <v:stroke on="f"/>
                      <v:imagedata o:title=""/>
                      <o:lock v:ext="edit" aspectratio="f"/>
                      <v:textbox>
                        <w:txbxContent>
                          <w:p w14:paraId="36B65160">
                            <w:pPr>
                              <w:rPr>
                                <w:b/>
                                <w:color w:val="FF0000"/>
                              </w:rPr>
                            </w:pPr>
                            <w:r>
                              <w:rPr>
                                <w:rFonts w:hint="eastAsia"/>
                                <w:b/>
                                <w:color w:val="FF0000"/>
                              </w:rPr>
                              <w:t>环球恐龙园</w:t>
                            </w:r>
                          </w:p>
                        </w:txbxContent>
                      </v:textbox>
                    </v:rect>
                  </w:pict>
                </mc:Fallback>
              </mc:AlternateContent>
            </w:r>
            <w:r>
              <w:rPr>
                <w:rFonts w:ascii="宋体" w:hAnsi="宋体" w:eastAsia="宋体"/>
                <w:color w:val="000000" w:themeColor="text1"/>
                <w:sz w:val="21"/>
                <w:szCs w:val="21"/>
                <w14:textFill>
                  <w14:solidFill>
                    <w14:schemeClr w14:val="tx1"/>
                  </w14:solidFill>
                </w14:textFill>
              </w:rPr>
              <w:drawing>
                <wp:inline distT="0" distB="0" distL="0" distR="0">
                  <wp:extent cx="2266950" cy="1619250"/>
                  <wp:effectExtent l="19050" t="0" r="0" b="0"/>
                  <wp:docPr id="17" name="图片 22" descr="恐龙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2" descr="恐龙园.jpg"/>
                          <pic:cNvPicPr>
                            <a:picLocks noChangeAspect="1" noChangeArrowheads="1"/>
                          </pic:cNvPicPr>
                        </pic:nvPicPr>
                        <pic:blipFill>
                          <a:blip r:embed="rId26" cstate="print"/>
                          <a:srcRect/>
                          <a:stretch>
                            <a:fillRect/>
                          </a:stretch>
                        </pic:blipFill>
                        <pic:spPr>
                          <a:xfrm>
                            <a:off x="0" y="0"/>
                            <a:ext cx="2266950" cy="1619250"/>
                          </a:xfrm>
                          <a:prstGeom prst="rect">
                            <a:avLst/>
                          </a:prstGeom>
                          <a:noFill/>
                          <a:ln w="9525">
                            <a:noFill/>
                            <a:miter lim="800000"/>
                            <a:headEnd/>
                            <a:tailEnd/>
                          </a:ln>
                        </pic:spPr>
                      </pic:pic>
                    </a:graphicData>
                  </a:graphic>
                </wp:inline>
              </w:drawing>
            </w:r>
          </w:p>
        </w:tc>
        <w:tc>
          <w:tcPr>
            <w:tcW w:w="3836" w:type="dxa"/>
          </w:tcPr>
          <w:p w14:paraId="0D59F4B7">
            <w:pPr>
              <w:pStyle w:val="4"/>
              <w:ind w:firstLine="0" w:firstLineChars="0"/>
              <w:rPr>
                <w:rFonts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mc:AlternateContent>
                <mc:Choice Requires="wps">
                  <w:drawing>
                    <wp:anchor distT="0" distB="0" distL="114300" distR="114300" simplePos="0" relativeHeight="251698176" behindDoc="0" locked="0" layoutInCell="1" allowOverlap="1">
                      <wp:simplePos x="0" y="0"/>
                      <wp:positionH relativeFrom="column">
                        <wp:posOffset>1180465</wp:posOffset>
                      </wp:positionH>
                      <wp:positionV relativeFrom="paragraph">
                        <wp:posOffset>68580</wp:posOffset>
                      </wp:positionV>
                      <wp:extent cx="981075" cy="342900"/>
                      <wp:effectExtent l="0" t="0" r="0" b="0"/>
                      <wp:wrapNone/>
                      <wp:docPr id="76" name="Rectangle 121"/>
                      <wp:cNvGraphicFramePr/>
                      <a:graphic xmlns:a="http://schemas.openxmlformats.org/drawingml/2006/main">
                        <a:graphicData uri="http://schemas.microsoft.com/office/word/2010/wordprocessingShape">
                          <wps:wsp>
                            <wps:cNvSpPr>
                              <a:spLocks noChangeArrowheads="1"/>
                            </wps:cNvSpPr>
                            <wps:spPr bwMode="auto">
                              <a:xfrm>
                                <a:off x="0" y="0"/>
                                <a:ext cx="981075" cy="342900"/>
                              </a:xfrm>
                              <a:prstGeom prst="rect">
                                <a:avLst/>
                              </a:prstGeom>
                              <a:noFill/>
                              <a:ln>
                                <a:noFill/>
                              </a:ln>
                              <a:effectLst/>
                            </wps:spPr>
                            <wps:txbx>
                              <w:txbxContent>
                                <w:p w14:paraId="6F04E1A6">
                                  <w:pPr>
                                    <w:rPr>
                                      <w:b/>
                                      <w:color w:val="FF0000"/>
                                    </w:rPr>
                                  </w:pPr>
                                  <w:r>
                                    <w:rPr>
                                      <w:rFonts w:hint="eastAsia"/>
                                      <w:b/>
                                      <w:color w:val="FF0000"/>
                                    </w:rPr>
                                    <w:t>迪诺水镇</w:t>
                                  </w:r>
                                </w:p>
                              </w:txbxContent>
                            </wps:txbx>
                            <wps:bodyPr rot="0" vert="horz" wrap="square" lIns="91440" tIns="45720" rIns="91440" bIns="45720" anchor="t" anchorCtr="0" upright="1">
                              <a:noAutofit/>
                            </wps:bodyPr>
                          </wps:wsp>
                        </a:graphicData>
                      </a:graphic>
                    </wp:anchor>
                  </w:drawing>
                </mc:Choice>
                <mc:Fallback>
                  <w:pict>
                    <v:rect id="Rectangle 121" o:spid="_x0000_s1026" o:spt="1" style="position:absolute;left:0pt;margin-left:92.95pt;margin-top:5.4pt;height:27pt;width:77.25pt;z-index:251698176;mso-width-relative:page;mso-height-relative:page;" filled="f" stroked="f" coordsize="21600,21600" o:gfxdata="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f0axztkAAAAJAQAADwAAAAAAAAABACAAAAAi&#10;AAAAZHJzL2Rvd25yZXYueG1sUEsBAhQAFAAAAAgAh07iQLnV6BwJAgAAGwQAAA4AAAAAAAAAAQAg&#10;AAAAKAEAAGRycy9lMm9Eb2MueG1sUEsFBgAAAAAGAAYAWQEAAKMFAAAAAA==&#10;">
                      <v:fill on="f" focussize="0,0"/>
                      <v:stroke on="f"/>
                      <v:imagedata o:title=""/>
                      <o:lock v:ext="edit" aspectratio="f"/>
                      <v:textbox>
                        <w:txbxContent>
                          <w:p w14:paraId="6F04E1A6">
                            <w:pPr>
                              <w:rPr>
                                <w:b/>
                                <w:color w:val="FF0000"/>
                              </w:rPr>
                            </w:pPr>
                            <w:r>
                              <w:rPr>
                                <w:rFonts w:hint="eastAsia"/>
                                <w:b/>
                                <w:color w:val="FF0000"/>
                              </w:rPr>
                              <w:t>迪诺水镇</w:t>
                            </w:r>
                          </w:p>
                        </w:txbxContent>
                      </v:textbox>
                    </v:rect>
                  </w:pict>
                </mc:Fallback>
              </mc:AlternateContent>
            </w:r>
            <w:r>
              <w:rPr>
                <w:rFonts w:ascii="宋体" w:hAnsi="宋体" w:eastAsia="宋体"/>
                <w:color w:val="000000" w:themeColor="text1"/>
                <w:sz w:val="21"/>
                <w:szCs w:val="21"/>
                <w14:textFill>
                  <w14:solidFill>
                    <w14:schemeClr w14:val="tx1"/>
                  </w14:solidFill>
                </w14:textFill>
              </w:rPr>
              <w:drawing>
                <wp:inline distT="0" distB="0" distL="0" distR="0">
                  <wp:extent cx="2190750" cy="1619250"/>
                  <wp:effectExtent l="19050" t="0" r="0" b="0"/>
                  <wp:docPr id="16" name="图片 2" descr="迪诺水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迪诺水镇.jpg"/>
                          <pic:cNvPicPr>
                            <a:picLocks noChangeAspect="1" noChangeArrowheads="1"/>
                          </pic:cNvPicPr>
                        </pic:nvPicPr>
                        <pic:blipFill>
                          <a:blip r:embed="rId27" cstate="print"/>
                          <a:srcRect/>
                          <a:stretch>
                            <a:fillRect/>
                          </a:stretch>
                        </pic:blipFill>
                        <pic:spPr>
                          <a:xfrm>
                            <a:off x="0" y="0"/>
                            <a:ext cx="2190750" cy="1619250"/>
                          </a:xfrm>
                          <a:prstGeom prst="rect">
                            <a:avLst/>
                          </a:prstGeom>
                          <a:noFill/>
                          <a:ln w="9525">
                            <a:noFill/>
                            <a:miter lim="800000"/>
                            <a:headEnd/>
                            <a:tailEnd/>
                          </a:ln>
                        </pic:spPr>
                      </pic:pic>
                    </a:graphicData>
                  </a:graphic>
                </wp:inline>
              </w:drawing>
            </w:r>
          </w:p>
        </w:tc>
      </w:tr>
    </w:tbl>
    <w:p w14:paraId="0D730D3D">
      <w:pPr>
        <w:pStyle w:val="4"/>
        <w:ind w:firstLine="480"/>
        <w:rPr>
          <w:rFonts w:ascii="黑体" w:hAnsi="宋体" w:eastAsia="黑体"/>
          <w:color w:val="000000" w:themeColor="text1"/>
          <w:sz w:val="24"/>
          <w14:textFill>
            <w14:solidFill>
              <w14:schemeClr w14:val="tx1"/>
            </w14:solidFill>
          </w14:textFill>
        </w:rPr>
      </w:pPr>
    </w:p>
    <w:p w14:paraId="35CDC6EE">
      <w:pPr>
        <w:widowControl/>
        <w:ind w:firstLine="1560" w:firstLineChars="650"/>
        <w:jc w:val="left"/>
        <w:rPr>
          <w:rFonts w:ascii="黑体" w:hAnsi="宋体" w:eastAsia="黑体"/>
          <w:color w:val="000000" w:themeColor="text1"/>
          <w:sz w:val="24"/>
          <w14:textFill>
            <w14:solidFill>
              <w14:schemeClr w14:val="tx1"/>
            </w14:solidFill>
          </w14:textFill>
        </w:rPr>
      </w:pPr>
      <w:r>
        <w:rPr>
          <w:rFonts w:ascii="黑体" w:hAnsi="宋体" w:eastAsia="黑体"/>
          <w:color w:val="000000" w:themeColor="text1"/>
          <w:sz w:val="24"/>
          <w14:textFill>
            <w14:solidFill>
              <w14:schemeClr w14:val="tx1"/>
            </w14:solidFill>
          </w14:textFill>
        </w:rPr>
        <w:br w:type="page"/>
      </w:r>
      <w:r>
        <w:rPr>
          <w:rFonts w:hint="eastAsia" w:ascii="黑体" w:hAnsi="宋体" w:eastAsia="黑体"/>
          <w:color w:val="000000" w:themeColor="text1"/>
          <w:sz w:val="24"/>
          <w14:textFill>
            <w14:solidFill>
              <w14:schemeClr w14:val="tx1"/>
            </w14:solidFill>
          </w14:textFill>
        </w:rPr>
        <w:t>表5：三井街道功能平台等级</w:t>
      </w:r>
    </w:p>
    <w:tbl>
      <w:tblPr>
        <w:tblStyle w:val="1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809"/>
        <w:gridCol w:w="3969"/>
        <w:gridCol w:w="2844"/>
      </w:tblGrid>
      <w:tr w14:paraId="7CD706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9" w:type="dxa"/>
          </w:tcPr>
          <w:p w14:paraId="25FB4C83">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功能平台</w:t>
            </w:r>
          </w:p>
        </w:tc>
        <w:tc>
          <w:tcPr>
            <w:tcW w:w="3969" w:type="dxa"/>
          </w:tcPr>
          <w:p w14:paraId="554BE0D3">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名称</w:t>
            </w:r>
          </w:p>
        </w:tc>
        <w:tc>
          <w:tcPr>
            <w:tcW w:w="2844" w:type="dxa"/>
          </w:tcPr>
          <w:p w14:paraId="64B142E8">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等级</w:t>
            </w:r>
          </w:p>
        </w:tc>
      </w:tr>
      <w:tr w14:paraId="1C9B3A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809" w:type="dxa"/>
            <w:vMerge w:val="restart"/>
          </w:tcPr>
          <w:p w14:paraId="04223970">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科技企业孵化器</w:t>
            </w:r>
          </w:p>
        </w:tc>
        <w:tc>
          <w:tcPr>
            <w:tcW w:w="3969" w:type="dxa"/>
            <w:tcBorders>
              <w:bottom w:val="single" w:color="auto" w:sz="4" w:space="0"/>
            </w:tcBorders>
          </w:tcPr>
          <w:p w14:paraId="527A41A1">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三晶电子信息技术孵化器</w:t>
            </w:r>
          </w:p>
        </w:tc>
        <w:tc>
          <w:tcPr>
            <w:tcW w:w="2844" w:type="dxa"/>
            <w:tcBorders>
              <w:bottom w:val="single" w:color="auto" w:sz="4" w:space="0"/>
            </w:tcBorders>
          </w:tcPr>
          <w:p w14:paraId="2B0F8964">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国家级</w:t>
            </w:r>
          </w:p>
        </w:tc>
      </w:tr>
      <w:tr w14:paraId="62663A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1809" w:type="dxa"/>
            <w:vMerge w:val="continue"/>
          </w:tcPr>
          <w:p w14:paraId="054F2DFE">
            <w:pPr>
              <w:pStyle w:val="4"/>
              <w:ind w:firstLine="0" w:firstLineChars="0"/>
              <w:rPr>
                <w:rFonts w:ascii="宋体" w:hAnsi="宋体" w:eastAsia="宋体"/>
                <w:color w:val="000000" w:themeColor="text1"/>
                <w:sz w:val="21"/>
                <w:szCs w:val="21"/>
                <w14:textFill>
                  <w14:solidFill>
                    <w14:schemeClr w14:val="tx1"/>
                  </w14:solidFill>
                </w14:textFill>
              </w:rPr>
            </w:pPr>
          </w:p>
        </w:tc>
        <w:tc>
          <w:tcPr>
            <w:tcW w:w="3969" w:type="dxa"/>
            <w:tcBorders>
              <w:top w:val="single" w:color="auto" w:sz="4" w:space="0"/>
            </w:tcBorders>
          </w:tcPr>
          <w:p w14:paraId="3D70A5EA">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海博生物医疗器械科技园</w:t>
            </w:r>
          </w:p>
        </w:tc>
        <w:tc>
          <w:tcPr>
            <w:tcW w:w="2844" w:type="dxa"/>
            <w:tcBorders>
              <w:top w:val="single" w:color="auto" w:sz="4" w:space="0"/>
            </w:tcBorders>
          </w:tcPr>
          <w:p w14:paraId="4FAB8ACE">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市级</w:t>
            </w:r>
          </w:p>
        </w:tc>
      </w:tr>
      <w:tr w14:paraId="712909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1809" w:type="dxa"/>
            <w:vMerge w:val="restart"/>
          </w:tcPr>
          <w:p w14:paraId="0F937073">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广告产业园</w:t>
            </w:r>
          </w:p>
        </w:tc>
        <w:tc>
          <w:tcPr>
            <w:tcW w:w="3969" w:type="dxa"/>
            <w:tcBorders>
              <w:bottom w:val="single" w:color="auto" w:sz="4" w:space="0"/>
            </w:tcBorders>
          </w:tcPr>
          <w:p w14:paraId="517D91B4">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常州广告产业园</w:t>
            </w:r>
          </w:p>
        </w:tc>
        <w:tc>
          <w:tcPr>
            <w:tcW w:w="2844" w:type="dxa"/>
            <w:vMerge w:val="restart"/>
          </w:tcPr>
          <w:p w14:paraId="5EB186AD">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国家级</w:t>
            </w:r>
          </w:p>
        </w:tc>
      </w:tr>
      <w:tr w14:paraId="04A317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809" w:type="dxa"/>
            <w:vMerge w:val="continue"/>
          </w:tcPr>
          <w:p w14:paraId="061C6E4A">
            <w:pPr>
              <w:pStyle w:val="4"/>
              <w:ind w:firstLine="0" w:firstLineChars="0"/>
              <w:rPr>
                <w:rFonts w:ascii="宋体" w:hAnsi="宋体" w:eastAsia="宋体"/>
                <w:color w:val="000000" w:themeColor="text1"/>
                <w:sz w:val="21"/>
                <w:szCs w:val="21"/>
                <w14:textFill>
                  <w14:solidFill>
                    <w14:schemeClr w14:val="tx1"/>
                  </w14:solidFill>
                </w14:textFill>
              </w:rPr>
            </w:pPr>
          </w:p>
        </w:tc>
        <w:tc>
          <w:tcPr>
            <w:tcW w:w="3969" w:type="dxa"/>
            <w:tcBorders>
              <w:top w:val="single" w:color="auto" w:sz="4" w:space="0"/>
            </w:tcBorders>
          </w:tcPr>
          <w:p w14:paraId="63E7066D">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常州广告产业园三井基地</w:t>
            </w:r>
          </w:p>
        </w:tc>
        <w:tc>
          <w:tcPr>
            <w:tcW w:w="2844" w:type="dxa"/>
            <w:vMerge w:val="continue"/>
          </w:tcPr>
          <w:p w14:paraId="1B787F6E">
            <w:pPr>
              <w:pStyle w:val="4"/>
              <w:ind w:firstLine="0" w:firstLineChars="0"/>
              <w:rPr>
                <w:rFonts w:ascii="宋体" w:hAnsi="宋体" w:eastAsia="宋体"/>
                <w:color w:val="000000" w:themeColor="text1"/>
                <w:sz w:val="21"/>
                <w:szCs w:val="21"/>
                <w14:textFill>
                  <w14:solidFill>
                    <w14:schemeClr w14:val="tx1"/>
                  </w14:solidFill>
                </w14:textFill>
              </w:rPr>
            </w:pPr>
          </w:p>
        </w:tc>
      </w:tr>
      <w:tr w14:paraId="00B1F0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9" w:hRule="atLeast"/>
        </w:trPr>
        <w:tc>
          <w:tcPr>
            <w:tcW w:w="1809" w:type="dxa"/>
            <w:vMerge w:val="restart"/>
          </w:tcPr>
          <w:p w14:paraId="45C803AB">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创意产业园</w:t>
            </w:r>
          </w:p>
        </w:tc>
        <w:tc>
          <w:tcPr>
            <w:tcW w:w="3969" w:type="dxa"/>
            <w:tcBorders>
              <w:bottom w:val="single" w:color="auto" w:sz="4" w:space="0"/>
            </w:tcBorders>
          </w:tcPr>
          <w:p w14:paraId="2D50D8B7">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常州软件园</w:t>
            </w:r>
          </w:p>
        </w:tc>
        <w:tc>
          <w:tcPr>
            <w:tcW w:w="2844" w:type="dxa"/>
            <w:tcBorders>
              <w:bottom w:val="single" w:color="auto" w:sz="4" w:space="0"/>
            </w:tcBorders>
          </w:tcPr>
          <w:p w14:paraId="21889DB7">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国家级</w:t>
            </w:r>
          </w:p>
        </w:tc>
      </w:tr>
      <w:tr w14:paraId="45B60A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1" w:hRule="atLeast"/>
        </w:trPr>
        <w:tc>
          <w:tcPr>
            <w:tcW w:w="1809" w:type="dxa"/>
            <w:vMerge w:val="continue"/>
          </w:tcPr>
          <w:p w14:paraId="33BFC8A2">
            <w:pPr>
              <w:pStyle w:val="4"/>
              <w:ind w:firstLine="0" w:firstLineChars="0"/>
              <w:rPr>
                <w:rFonts w:ascii="宋体" w:hAnsi="宋体" w:eastAsia="宋体"/>
                <w:color w:val="000000" w:themeColor="text1"/>
                <w:sz w:val="21"/>
                <w:szCs w:val="21"/>
                <w14:textFill>
                  <w14:solidFill>
                    <w14:schemeClr w14:val="tx1"/>
                  </w14:solidFill>
                </w14:textFill>
              </w:rPr>
            </w:pPr>
          </w:p>
        </w:tc>
        <w:tc>
          <w:tcPr>
            <w:tcW w:w="3969" w:type="dxa"/>
            <w:tcBorders>
              <w:top w:val="single" w:color="auto" w:sz="4" w:space="0"/>
              <w:bottom w:val="single" w:color="auto" w:sz="4" w:space="0"/>
            </w:tcBorders>
          </w:tcPr>
          <w:p w14:paraId="4839883C">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动画产业基地</w:t>
            </w:r>
          </w:p>
        </w:tc>
        <w:tc>
          <w:tcPr>
            <w:tcW w:w="2844" w:type="dxa"/>
            <w:tcBorders>
              <w:top w:val="single" w:color="auto" w:sz="4" w:space="0"/>
              <w:bottom w:val="single" w:color="auto" w:sz="4" w:space="0"/>
            </w:tcBorders>
          </w:tcPr>
          <w:p w14:paraId="73F9808C">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国家级</w:t>
            </w:r>
          </w:p>
        </w:tc>
      </w:tr>
      <w:tr w14:paraId="0A3A9D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809" w:type="dxa"/>
            <w:vMerge w:val="continue"/>
            <w:tcBorders>
              <w:bottom w:val="single" w:color="auto" w:sz="4" w:space="0"/>
            </w:tcBorders>
          </w:tcPr>
          <w:p w14:paraId="65E5E8E9">
            <w:pPr>
              <w:pStyle w:val="4"/>
              <w:ind w:firstLine="0" w:firstLineChars="0"/>
              <w:rPr>
                <w:rFonts w:ascii="宋体" w:hAnsi="宋体" w:eastAsia="宋体"/>
                <w:color w:val="000000" w:themeColor="text1"/>
                <w:sz w:val="21"/>
                <w:szCs w:val="21"/>
                <w14:textFill>
                  <w14:solidFill>
                    <w14:schemeClr w14:val="tx1"/>
                  </w14:solidFill>
                </w14:textFill>
              </w:rPr>
            </w:pPr>
          </w:p>
        </w:tc>
        <w:tc>
          <w:tcPr>
            <w:tcW w:w="3969" w:type="dxa"/>
            <w:tcBorders>
              <w:top w:val="single" w:color="auto" w:sz="4" w:space="0"/>
              <w:bottom w:val="single" w:color="auto" w:sz="4" w:space="0"/>
            </w:tcBorders>
          </w:tcPr>
          <w:p w14:paraId="6BD16886">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环球恐龙园</w:t>
            </w:r>
          </w:p>
        </w:tc>
        <w:tc>
          <w:tcPr>
            <w:tcW w:w="2844" w:type="dxa"/>
            <w:tcBorders>
              <w:top w:val="single" w:color="auto" w:sz="4" w:space="0"/>
              <w:bottom w:val="single" w:color="auto" w:sz="4" w:space="0"/>
            </w:tcBorders>
          </w:tcPr>
          <w:p w14:paraId="5DFE4583">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5A</w:t>
            </w:r>
          </w:p>
        </w:tc>
      </w:tr>
      <w:tr w14:paraId="6B2171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809" w:type="dxa"/>
            <w:tcBorders>
              <w:top w:val="single" w:color="auto" w:sz="4" w:space="0"/>
              <w:bottom w:val="single" w:color="auto" w:sz="4" w:space="0"/>
            </w:tcBorders>
          </w:tcPr>
          <w:p w14:paraId="29D64489">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行政资源</w:t>
            </w:r>
          </w:p>
        </w:tc>
        <w:tc>
          <w:tcPr>
            <w:tcW w:w="3969" w:type="dxa"/>
            <w:tcBorders>
              <w:top w:val="single" w:color="auto" w:sz="4" w:space="0"/>
              <w:bottom w:val="single" w:color="auto" w:sz="4" w:space="0"/>
            </w:tcBorders>
          </w:tcPr>
          <w:p w14:paraId="0B9D876D">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常州行政中心</w:t>
            </w:r>
          </w:p>
        </w:tc>
        <w:tc>
          <w:tcPr>
            <w:tcW w:w="2844" w:type="dxa"/>
            <w:tcBorders>
              <w:top w:val="single" w:color="auto" w:sz="4" w:space="0"/>
              <w:bottom w:val="single" w:color="auto" w:sz="4" w:space="0"/>
            </w:tcBorders>
          </w:tcPr>
          <w:p w14:paraId="539F8720">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市级</w:t>
            </w:r>
          </w:p>
        </w:tc>
      </w:tr>
      <w:tr w14:paraId="19EF54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809" w:type="dxa"/>
            <w:vMerge w:val="restart"/>
            <w:tcBorders>
              <w:top w:val="single" w:color="auto" w:sz="4" w:space="0"/>
            </w:tcBorders>
          </w:tcPr>
          <w:p w14:paraId="51E1C4C2">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文体资源</w:t>
            </w:r>
          </w:p>
        </w:tc>
        <w:tc>
          <w:tcPr>
            <w:tcW w:w="3969" w:type="dxa"/>
            <w:tcBorders>
              <w:top w:val="single" w:color="auto" w:sz="4" w:space="0"/>
              <w:bottom w:val="single" w:color="auto" w:sz="4" w:space="0"/>
            </w:tcBorders>
          </w:tcPr>
          <w:p w14:paraId="712F9BFB">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常州奥林匹克中心</w:t>
            </w:r>
          </w:p>
        </w:tc>
        <w:tc>
          <w:tcPr>
            <w:tcW w:w="2844" w:type="dxa"/>
            <w:tcBorders>
              <w:top w:val="single" w:color="auto" w:sz="4" w:space="0"/>
              <w:bottom w:val="single" w:color="auto" w:sz="4" w:space="0"/>
            </w:tcBorders>
          </w:tcPr>
          <w:p w14:paraId="7D101E04">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市级</w:t>
            </w:r>
          </w:p>
        </w:tc>
      </w:tr>
      <w:tr w14:paraId="10590E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9" w:hRule="atLeast"/>
        </w:trPr>
        <w:tc>
          <w:tcPr>
            <w:tcW w:w="1809" w:type="dxa"/>
            <w:vMerge w:val="continue"/>
          </w:tcPr>
          <w:p w14:paraId="6B7F387B">
            <w:pPr>
              <w:pStyle w:val="4"/>
              <w:ind w:firstLine="0" w:firstLineChars="0"/>
              <w:rPr>
                <w:rFonts w:ascii="宋体" w:hAnsi="宋体" w:eastAsia="宋体"/>
                <w:color w:val="000000" w:themeColor="text1"/>
                <w:sz w:val="21"/>
                <w:szCs w:val="21"/>
                <w14:textFill>
                  <w14:solidFill>
                    <w14:schemeClr w14:val="tx1"/>
                  </w14:solidFill>
                </w14:textFill>
              </w:rPr>
            </w:pPr>
          </w:p>
        </w:tc>
        <w:tc>
          <w:tcPr>
            <w:tcW w:w="3969" w:type="dxa"/>
            <w:tcBorders>
              <w:top w:val="single" w:color="auto" w:sz="4" w:space="0"/>
            </w:tcBorders>
          </w:tcPr>
          <w:p w14:paraId="2748DC08">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常州大剧院</w:t>
            </w:r>
          </w:p>
        </w:tc>
        <w:tc>
          <w:tcPr>
            <w:tcW w:w="2844" w:type="dxa"/>
            <w:tcBorders>
              <w:top w:val="single" w:color="auto" w:sz="4" w:space="0"/>
            </w:tcBorders>
          </w:tcPr>
          <w:p w14:paraId="597678A5">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市级</w:t>
            </w:r>
          </w:p>
        </w:tc>
      </w:tr>
    </w:tbl>
    <w:p w14:paraId="2EC371B1">
      <w:pPr>
        <w:pStyle w:val="4"/>
        <w:ind w:firstLine="0" w:firstLineChars="0"/>
        <w:rPr>
          <w:rFonts w:ascii="黑体" w:hAnsi="宋体" w:eastAsia="黑体"/>
          <w:b/>
          <w:color w:val="000000" w:themeColor="text1"/>
          <w:sz w:val="32"/>
          <w:szCs w:val="32"/>
          <w14:textFill>
            <w14:solidFill>
              <w14:schemeClr w14:val="tx1"/>
            </w14:solidFill>
          </w14:textFill>
        </w:rPr>
      </w:pPr>
    </w:p>
    <w:p w14:paraId="28C632BE">
      <w:pPr>
        <w:pStyle w:val="4"/>
        <w:ind w:firstLine="0" w:firstLineChars="0"/>
        <w:rPr>
          <w:rFonts w:ascii="黑体" w:hAnsi="宋体" w:eastAsia="黑体"/>
          <w:b/>
          <w:color w:val="000000" w:themeColor="text1"/>
          <w:sz w:val="32"/>
          <w:szCs w:val="32"/>
          <w14:textFill>
            <w14:solidFill>
              <w14:schemeClr w14:val="tx1"/>
            </w14:solidFill>
          </w14:textFill>
        </w:rPr>
      </w:pPr>
      <w:r>
        <w:rPr>
          <w:rFonts w:hint="eastAsia" w:ascii="黑体" w:hAnsi="宋体" w:eastAsia="黑体"/>
          <w:b/>
          <w:color w:val="000000" w:themeColor="text1"/>
          <w:sz w:val="32"/>
          <w:szCs w:val="32"/>
          <w14:textFill>
            <w14:solidFill>
              <w14:schemeClr w14:val="tx1"/>
            </w14:solidFill>
          </w14:textFill>
        </w:rPr>
        <w:t>（二）产业定位</w:t>
      </w:r>
    </w:p>
    <w:p w14:paraId="7AA05142">
      <w:pPr>
        <w:pStyle w:val="4"/>
        <w:ind w:firstLine="555" w:firstLineChars="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三井街道产业定位，主要体现为三井街道主导产业选择，也就是产业转型方向。三井街道主导产业应为服务业，一方面由三井街道功能定位决定，另一方面由三井街道发展空间决定。从功能定位看，三井街道定位为常州中心政务区、中心商务区、创意旅游区，决定了三井街道必须重点发展商务、商业、旅游等产业；从空间分布看，三井街道工业主要分布在藻江河——黄河路——龙江路——龙城路围起来区域及在薛家镇两块工业“飞地”，所占面积仅为三井街道总面积1/3，而且未来许多工业用地经政府收储后将改为服务业用地，这就决定了工业难于通过增量扩大发展，唯一出路就是存量工业企业由生产型制造向服务型制造转变，由生产基地向研发总部、营销总部、决算总部转变。对于各孵化器中成长性科技类企业，由政府部门主动向外寻求产业园区合作，作为孵化器中成长性科技类企业制造基地，而三井街道积极创造条件，力求保留成长性科技类企业研发总部、营销总部、决算总部。</w:t>
      </w:r>
    </w:p>
    <w:p w14:paraId="5E6DD20F">
      <w:pPr>
        <w:pStyle w:val="4"/>
        <w:ind w:firstLine="2564" w:firstLineChars="1064"/>
        <w:rPr>
          <w:rFonts w:ascii="宋体" w:hAnsi="宋体" w:eastAsia="宋体"/>
          <w:color w:val="000000" w:themeColor="text1"/>
          <w14:textFill>
            <w14:solidFill>
              <w14:schemeClr w14:val="tx1"/>
            </w14:solidFill>
          </w14:textFill>
        </w:rPr>
      </w:pPr>
      <w:r>
        <w:rPr>
          <w:rFonts w:hint="eastAsia" w:ascii="黑体" w:hAnsi="宋体" w:eastAsia="黑体"/>
          <w:b/>
          <w:color w:val="000000" w:themeColor="text1"/>
          <w:sz w:val="24"/>
          <w14:textFill>
            <w14:solidFill>
              <w14:schemeClr w14:val="tx1"/>
            </w14:solidFill>
          </w14:textFill>
        </w:rPr>
        <w:t>表6：三井街道产业选择</w:t>
      </w:r>
    </w:p>
    <w:tbl>
      <w:tblPr>
        <w:tblStyle w:val="10"/>
        <w:tblW w:w="86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42"/>
        <w:gridCol w:w="1590"/>
        <w:gridCol w:w="1245"/>
        <w:gridCol w:w="1544"/>
        <w:gridCol w:w="1717"/>
        <w:gridCol w:w="1284"/>
      </w:tblGrid>
      <w:tr w14:paraId="399680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14:paraId="73F77CBE">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产业</w:t>
            </w:r>
          </w:p>
        </w:tc>
        <w:tc>
          <w:tcPr>
            <w:tcW w:w="7380" w:type="dxa"/>
            <w:gridSpan w:val="5"/>
            <w:tcBorders>
              <w:bottom w:val="single" w:color="auto" w:sz="4" w:space="0"/>
            </w:tcBorders>
          </w:tcPr>
          <w:p w14:paraId="7F17AE94">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 xml:space="preserve">                   产业类型</w:t>
            </w:r>
          </w:p>
        </w:tc>
      </w:tr>
      <w:tr w14:paraId="384D70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4" w:hRule="atLeast"/>
        </w:trPr>
        <w:tc>
          <w:tcPr>
            <w:tcW w:w="1242" w:type="dxa"/>
            <w:vMerge w:val="restart"/>
          </w:tcPr>
          <w:p w14:paraId="0E276DF4">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服务业</w:t>
            </w:r>
          </w:p>
        </w:tc>
        <w:tc>
          <w:tcPr>
            <w:tcW w:w="1590" w:type="dxa"/>
            <w:vMerge w:val="restart"/>
            <w:tcBorders>
              <w:right w:val="single" w:color="auto" w:sz="4" w:space="0"/>
            </w:tcBorders>
          </w:tcPr>
          <w:p w14:paraId="5CAF0CBA">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生产型服务业</w:t>
            </w:r>
          </w:p>
        </w:tc>
        <w:tc>
          <w:tcPr>
            <w:tcW w:w="1245" w:type="dxa"/>
            <w:tcBorders>
              <w:left w:val="single" w:color="auto" w:sz="4" w:space="0"/>
              <w:bottom w:val="single" w:color="auto" w:sz="4" w:space="0"/>
              <w:right w:val="nil"/>
            </w:tcBorders>
          </w:tcPr>
          <w:p w14:paraId="55828FE5">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总部经济</w:t>
            </w:r>
          </w:p>
        </w:tc>
        <w:tc>
          <w:tcPr>
            <w:tcW w:w="1544" w:type="dxa"/>
            <w:tcBorders>
              <w:left w:val="single" w:color="auto" w:sz="4" w:space="0"/>
              <w:bottom w:val="single" w:color="auto" w:sz="4" w:space="0"/>
              <w:right w:val="nil"/>
            </w:tcBorders>
          </w:tcPr>
          <w:p w14:paraId="52A3FCAA">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决策总部</w:t>
            </w:r>
          </w:p>
        </w:tc>
        <w:tc>
          <w:tcPr>
            <w:tcW w:w="1717" w:type="dxa"/>
            <w:tcBorders>
              <w:left w:val="single" w:color="auto" w:sz="4" w:space="0"/>
              <w:bottom w:val="single" w:color="auto" w:sz="4" w:space="0"/>
              <w:right w:val="single" w:color="auto" w:sz="4" w:space="0"/>
            </w:tcBorders>
          </w:tcPr>
          <w:p w14:paraId="19FBB23A">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结算总部</w:t>
            </w:r>
          </w:p>
        </w:tc>
        <w:tc>
          <w:tcPr>
            <w:tcW w:w="1284" w:type="dxa"/>
            <w:tcBorders>
              <w:left w:val="single" w:color="auto" w:sz="4" w:space="0"/>
              <w:bottom w:val="single" w:color="auto" w:sz="4" w:space="0"/>
            </w:tcBorders>
          </w:tcPr>
          <w:p w14:paraId="2FA384B3">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研发总部</w:t>
            </w:r>
          </w:p>
        </w:tc>
      </w:tr>
      <w:tr w14:paraId="40963D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trPr>
        <w:tc>
          <w:tcPr>
            <w:tcW w:w="1242" w:type="dxa"/>
            <w:vMerge w:val="continue"/>
          </w:tcPr>
          <w:p w14:paraId="742BE981">
            <w:pPr>
              <w:pStyle w:val="4"/>
              <w:ind w:firstLine="0" w:firstLineChars="0"/>
              <w:rPr>
                <w:rFonts w:ascii="宋体" w:hAnsi="宋体" w:eastAsia="宋体"/>
                <w:color w:val="000000" w:themeColor="text1"/>
                <w:sz w:val="21"/>
                <w:szCs w:val="21"/>
                <w14:textFill>
                  <w14:solidFill>
                    <w14:schemeClr w14:val="tx1"/>
                  </w14:solidFill>
                </w14:textFill>
              </w:rPr>
            </w:pPr>
          </w:p>
        </w:tc>
        <w:tc>
          <w:tcPr>
            <w:tcW w:w="1590" w:type="dxa"/>
            <w:vMerge w:val="continue"/>
            <w:tcBorders>
              <w:right w:val="single" w:color="auto" w:sz="4" w:space="0"/>
            </w:tcBorders>
          </w:tcPr>
          <w:p w14:paraId="496FE75D">
            <w:pPr>
              <w:pStyle w:val="4"/>
              <w:ind w:firstLine="0" w:firstLineChars="0"/>
              <w:rPr>
                <w:rFonts w:ascii="宋体" w:hAnsi="宋体" w:eastAsia="宋体"/>
                <w:color w:val="000000" w:themeColor="text1"/>
                <w:sz w:val="21"/>
                <w:szCs w:val="21"/>
                <w14:textFill>
                  <w14:solidFill>
                    <w14:schemeClr w14:val="tx1"/>
                  </w14:solidFill>
                </w14:textFill>
              </w:rPr>
            </w:pPr>
          </w:p>
        </w:tc>
        <w:tc>
          <w:tcPr>
            <w:tcW w:w="1245" w:type="dxa"/>
            <w:tcBorders>
              <w:top w:val="single" w:color="auto" w:sz="4" w:space="0"/>
              <w:left w:val="single" w:color="auto" w:sz="4" w:space="0"/>
              <w:bottom w:val="single" w:color="auto" w:sz="4" w:space="0"/>
              <w:right w:val="nil"/>
            </w:tcBorders>
          </w:tcPr>
          <w:p w14:paraId="4C23A450">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商务服务</w:t>
            </w:r>
          </w:p>
        </w:tc>
        <w:tc>
          <w:tcPr>
            <w:tcW w:w="1544" w:type="dxa"/>
            <w:tcBorders>
              <w:top w:val="single" w:color="auto" w:sz="4" w:space="0"/>
              <w:left w:val="single" w:color="auto" w:sz="4" w:space="0"/>
              <w:bottom w:val="single" w:color="auto" w:sz="4" w:space="0"/>
              <w:right w:val="nil"/>
            </w:tcBorders>
          </w:tcPr>
          <w:p w14:paraId="43CB8218">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顾问咨询服务</w:t>
            </w:r>
          </w:p>
        </w:tc>
        <w:tc>
          <w:tcPr>
            <w:tcW w:w="1717" w:type="dxa"/>
            <w:tcBorders>
              <w:top w:val="single" w:color="auto" w:sz="4" w:space="0"/>
              <w:left w:val="single" w:color="auto" w:sz="4" w:space="0"/>
              <w:bottom w:val="single" w:color="auto" w:sz="4" w:space="0"/>
              <w:right w:val="single" w:color="auto" w:sz="4" w:space="0"/>
            </w:tcBorders>
          </w:tcPr>
          <w:p w14:paraId="13CDE739">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会展广告服务</w:t>
            </w:r>
          </w:p>
        </w:tc>
        <w:tc>
          <w:tcPr>
            <w:tcW w:w="1284" w:type="dxa"/>
            <w:tcBorders>
              <w:top w:val="single" w:color="auto" w:sz="4" w:space="0"/>
              <w:left w:val="single" w:color="auto" w:sz="4" w:space="0"/>
              <w:bottom w:val="single" w:color="auto" w:sz="4" w:space="0"/>
            </w:tcBorders>
          </w:tcPr>
          <w:p w14:paraId="20F73089">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电子商务</w:t>
            </w:r>
          </w:p>
        </w:tc>
      </w:tr>
      <w:tr w14:paraId="6558CD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242" w:type="dxa"/>
            <w:vMerge w:val="continue"/>
          </w:tcPr>
          <w:p w14:paraId="49E8620A">
            <w:pPr>
              <w:pStyle w:val="4"/>
              <w:ind w:firstLine="0" w:firstLineChars="0"/>
              <w:rPr>
                <w:rFonts w:ascii="宋体" w:hAnsi="宋体" w:eastAsia="宋体"/>
                <w:color w:val="000000" w:themeColor="text1"/>
                <w:sz w:val="21"/>
                <w:szCs w:val="21"/>
                <w14:textFill>
                  <w14:solidFill>
                    <w14:schemeClr w14:val="tx1"/>
                  </w14:solidFill>
                </w14:textFill>
              </w:rPr>
            </w:pPr>
          </w:p>
        </w:tc>
        <w:tc>
          <w:tcPr>
            <w:tcW w:w="1590" w:type="dxa"/>
            <w:vMerge w:val="continue"/>
            <w:tcBorders>
              <w:right w:val="single" w:color="auto" w:sz="4" w:space="0"/>
            </w:tcBorders>
          </w:tcPr>
          <w:p w14:paraId="5B92809B">
            <w:pPr>
              <w:pStyle w:val="4"/>
              <w:ind w:firstLine="0" w:firstLineChars="0"/>
              <w:rPr>
                <w:rFonts w:ascii="宋体" w:hAnsi="宋体" w:eastAsia="宋体"/>
                <w:color w:val="000000" w:themeColor="text1"/>
                <w:sz w:val="21"/>
                <w:szCs w:val="21"/>
                <w14:textFill>
                  <w14:solidFill>
                    <w14:schemeClr w14:val="tx1"/>
                  </w14:solidFill>
                </w14:textFill>
              </w:rPr>
            </w:pPr>
          </w:p>
        </w:tc>
        <w:tc>
          <w:tcPr>
            <w:tcW w:w="1245" w:type="dxa"/>
            <w:tcBorders>
              <w:top w:val="single" w:color="auto" w:sz="4" w:space="0"/>
              <w:left w:val="single" w:color="auto" w:sz="4" w:space="0"/>
              <w:bottom w:val="single" w:color="auto" w:sz="4" w:space="0"/>
              <w:right w:val="nil"/>
            </w:tcBorders>
          </w:tcPr>
          <w:p w14:paraId="03F29248">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金融服务</w:t>
            </w:r>
          </w:p>
        </w:tc>
        <w:tc>
          <w:tcPr>
            <w:tcW w:w="1544" w:type="dxa"/>
            <w:tcBorders>
              <w:top w:val="single" w:color="auto" w:sz="4" w:space="0"/>
              <w:left w:val="single" w:color="auto" w:sz="4" w:space="0"/>
              <w:bottom w:val="single" w:color="auto" w:sz="4" w:space="0"/>
              <w:right w:val="nil"/>
            </w:tcBorders>
          </w:tcPr>
          <w:p w14:paraId="7D29F9C8">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银行</w:t>
            </w:r>
          </w:p>
        </w:tc>
        <w:tc>
          <w:tcPr>
            <w:tcW w:w="1717" w:type="dxa"/>
            <w:tcBorders>
              <w:top w:val="single" w:color="auto" w:sz="4" w:space="0"/>
              <w:left w:val="single" w:color="auto" w:sz="4" w:space="0"/>
              <w:bottom w:val="single" w:color="auto" w:sz="4" w:space="0"/>
              <w:right w:val="single" w:color="auto" w:sz="4" w:space="0"/>
            </w:tcBorders>
          </w:tcPr>
          <w:p w14:paraId="787167A2">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证券</w:t>
            </w:r>
          </w:p>
        </w:tc>
        <w:tc>
          <w:tcPr>
            <w:tcW w:w="1284" w:type="dxa"/>
            <w:tcBorders>
              <w:top w:val="single" w:color="auto" w:sz="4" w:space="0"/>
              <w:left w:val="single" w:color="auto" w:sz="4" w:space="0"/>
              <w:bottom w:val="single" w:color="auto" w:sz="4" w:space="0"/>
            </w:tcBorders>
          </w:tcPr>
          <w:p w14:paraId="3FB3E1C2">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保险</w:t>
            </w:r>
          </w:p>
        </w:tc>
      </w:tr>
      <w:tr w14:paraId="13A381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242" w:type="dxa"/>
            <w:vMerge w:val="continue"/>
          </w:tcPr>
          <w:p w14:paraId="320BC381">
            <w:pPr>
              <w:pStyle w:val="4"/>
              <w:ind w:firstLine="0" w:firstLineChars="0"/>
              <w:rPr>
                <w:rFonts w:ascii="宋体" w:hAnsi="宋体" w:eastAsia="宋体"/>
                <w:color w:val="000000" w:themeColor="text1"/>
                <w:sz w:val="21"/>
                <w:szCs w:val="21"/>
                <w14:textFill>
                  <w14:solidFill>
                    <w14:schemeClr w14:val="tx1"/>
                  </w14:solidFill>
                </w14:textFill>
              </w:rPr>
            </w:pPr>
          </w:p>
        </w:tc>
        <w:tc>
          <w:tcPr>
            <w:tcW w:w="1590" w:type="dxa"/>
            <w:vMerge w:val="continue"/>
            <w:tcBorders>
              <w:right w:val="single" w:color="auto" w:sz="4" w:space="0"/>
            </w:tcBorders>
          </w:tcPr>
          <w:p w14:paraId="104E3CB0">
            <w:pPr>
              <w:pStyle w:val="4"/>
              <w:ind w:firstLine="0" w:firstLineChars="0"/>
              <w:rPr>
                <w:rFonts w:ascii="宋体" w:hAnsi="宋体" w:eastAsia="宋体"/>
                <w:color w:val="000000" w:themeColor="text1"/>
                <w:sz w:val="21"/>
                <w:szCs w:val="21"/>
                <w14:textFill>
                  <w14:solidFill>
                    <w14:schemeClr w14:val="tx1"/>
                  </w14:solidFill>
                </w14:textFill>
              </w:rPr>
            </w:pPr>
          </w:p>
        </w:tc>
        <w:tc>
          <w:tcPr>
            <w:tcW w:w="1245" w:type="dxa"/>
            <w:tcBorders>
              <w:top w:val="single" w:color="auto" w:sz="4" w:space="0"/>
              <w:left w:val="single" w:color="auto" w:sz="4" w:space="0"/>
              <w:bottom w:val="single" w:color="auto" w:sz="4" w:space="0"/>
              <w:right w:val="nil"/>
            </w:tcBorders>
          </w:tcPr>
          <w:p w14:paraId="0DAA1BB0">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物流</w:t>
            </w:r>
          </w:p>
        </w:tc>
        <w:tc>
          <w:tcPr>
            <w:tcW w:w="1544" w:type="dxa"/>
            <w:tcBorders>
              <w:top w:val="single" w:color="auto" w:sz="4" w:space="0"/>
              <w:left w:val="single" w:color="auto" w:sz="4" w:space="0"/>
              <w:bottom w:val="single" w:color="auto" w:sz="4" w:space="0"/>
              <w:right w:val="nil"/>
            </w:tcBorders>
          </w:tcPr>
          <w:p w14:paraId="09A09434">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工业物流</w:t>
            </w:r>
          </w:p>
        </w:tc>
        <w:tc>
          <w:tcPr>
            <w:tcW w:w="1717" w:type="dxa"/>
            <w:tcBorders>
              <w:top w:val="single" w:color="auto" w:sz="4" w:space="0"/>
              <w:left w:val="single" w:color="auto" w:sz="4" w:space="0"/>
              <w:bottom w:val="single" w:color="auto" w:sz="4" w:space="0"/>
              <w:right w:val="single" w:color="auto" w:sz="4" w:space="0"/>
            </w:tcBorders>
          </w:tcPr>
          <w:p w14:paraId="548D3264">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城市物流</w:t>
            </w:r>
          </w:p>
        </w:tc>
        <w:tc>
          <w:tcPr>
            <w:tcW w:w="1284" w:type="dxa"/>
            <w:tcBorders>
              <w:top w:val="single" w:color="auto" w:sz="4" w:space="0"/>
              <w:left w:val="single" w:color="auto" w:sz="4" w:space="0"/>
              <w:bottom w:val="single" w:color="auto" w:sz="4" w:space="0"/>
            </w:tcBorders>
          </w:tcPr>
          <w:p w14:paraId="07A58550">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仓储</w:t>
            </w:r>
          </w:p>
        </w:tc>
      </w:tr>
      <w:tr w14:paraId="71EE4C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trPr>
        <w:tc>
          <w:tcPr>
            <w:tcW w:w="1242" w:type="dxa"/>
            <w:vMerge w:val="continue"/>
          </w:tcPr>
          <w:p w14:paraId="775736D4">
            <w:pPr>
              <w:pStyle w:val="4"/>
              <w:ind w:firstLine="0" w:firstLineChars="0"/>
              <w:rPr>
                <w:rFonts w:ascii="宋体" w:hAnsi="宋体" w:eastAsia="宋体"/>
                <w:color w:val="000000" w:themeColor="text1"/>
                <w:sz w:val="21"/>
                <w:szCs w:val="21"/>
                <w14:textFill>
                  <w14:solidFill>
                    <w14:schemeClr w14:val="tx1"/>
                  </w14:solidFill>
                </w14:textFill>
              </w:rPr>
            </w:pPr>
          </w:p>
        </w:tc>
        <w:tc>
          <w:tcPr>
            <w:tcW w:w="1590" w:type="dxa"/>
            <w:vMerge w:val="continue"/>
            <w:tcBorders>
              <w:right w:val="single" w:color="auto" w:sz="4" w:space="0"/>
            </w:tcBorders>
          </w:tcPr>
          <w:p w14:paraId="736D39ED">
            <w:pPr>
              <w:pStyle w:val="4"/>
              <w:ind w:firstLine="0" w:firstLineChars="0"/>
              <w:rPr>
                <w:rFonts w:ascii="宋体" w:hAnsi="宋体" w:eastAsia="宋体"/>
                <w:color w:val="000000" w:themeColor="text1"/>
                <w:sz w:val="21"/>
                <w:szCs w:val="21"/>
                <w14:textFill>
                  <w14:solidFill>
                    <w14:schemeClr w14:val="tx1"/>
                  </w14:solidFill>
                </w14:textFill>
              </w:rPr>
            </w:pPr>
          </w:p>
        </w:tc>
        <w:tc>
          <w:tcPr>
            <w:tcW w:w="1245" w:type="dxa"/>
            <w:tcBorders>
              <w:top w:val="single" w:color="auto" w:sz="4" w:space="0"/>
              <w:left w:val="single" w:color="auto" w:sz="4" w:space="0"/>
              <w:bottom w:val="single" w:color="auto" w:sz="4" w:space="0"/>
              <w:right w:val="nil"/>
            </w:tcBorders>
          </w:tcPr>
          <w:p w14:paraId="3316E772">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贸易</w:t>
            </w:r>
          </w:p>
        </w:tc>
        <w:tc>
          <w:tcPr>
            <w:tcW w:w="1544" w:type="dxa"/>
            <w:tcBorders>
              <w:top w:val="single" w:color="auto" w:sz="4" w:space="0"/>
              <w:left w:val="single" w:color="auto" w:sz="4" w:space="0"/>
              <w:bottom w:val="single" w:color="auto" w:sz="4" w:space="0"/>
              <w:right w:val="nil"/>
            </w:tcBorders>
          </w:tcPr>
          <w:p w14:paraId="68545988">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国际贸易</w:t>
            </w:r>
          </w:p>
        </w:tc>
        <w:tc>
          <w:tcPr>
            <w:tcW w:w="1717" w:type="dxa"/>
            <w:tcBorders>
              <w:top w:val="single" w:color="auto" w:sz="4" w:space="0"/>
              <w:left w:val="single" w:color="auto" w:sz="4" w:space="0"/>
              <w:bottom w:val="single" w:color="auto" w:sz="4" w:space="0"/>
              <w:right w:val="single" w:color="auto" w:sz="4" w:space="0"/>
            </w:tcBorders>
          </w:tcPr>
          <w:p w14:paraId="4EBF02D0">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批发贸易</w:t>
            </w:r>
          </w:p>
        </w:tc>
        <w:tc>
          <w:tcPr>
            <w:tcW w:w="1284" w:type="dxa"/>
            <w:tcBorders>
              <w:top w:val="single" w:color="auto" w:sz="4" w:space="0"/>
              <w:left w:val="single" w:color="auto" w:sz="4" w:space="0"/>
              <w:bottom w:val="single" w:color="auto" w:sz="4" w:space="0"/>
            </w:tcBorders>
          </w:tcPr>
          <w:p w14:paraId="37708608">
            <w:pPr>
              <w:pStyle w:val="4"/>
              <w:ind w:firstLine="0" w:firstLineChars="0"/>
              <w:rPr>
                <w:rFonts w:ascii="宋体" w:hAnsi="宋体" w:eastAsia="宋体"/>
                <w:color w:val="000000" w:themeColor="text1"/>
                <w:sz w:val="21"/>
                <w:szCs w:val="21"/>
                <w14:textFill>
                  <w14:solidFill>
                    <w14:schemeClr w14:val="tx1"/>
                  </w14:solidFill>
                </w14:textFill>
              </w:rPr>
            </w:pPr>
          </w:p>
        </w:tc>
      </w:tr>
      <w:tr w14:paraId="527532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242" w:type="dxa"/>
            <w:vMerge w:val="continue"/>
          </w:tcPr>
          <w:p w14:paraId="591E55B0">
            <w:pPr>
              <w:pStyle w:val="4"/>
              <w:ind w:firstLine="0" w:firstLineChars="0"/>
              <w:rPr>
                <w:rFonts w:ascii="宋体" w:hAnsi="宋体" w:eastAsia="宋体"/>
                <w:color w:val="000000" w:themeColor="text1"/>
                <w:sz w:val="21"/>
                <w:szCs w:val="21"/>
                <w14:textFill>
                  <w14:solidFill>
                    <w14:schemeClr w14:val="tx1"/>
                  </w14:solidFill>
                </w14:textFill>
              </w:rPr>
            </w:pPr>
          </w:p>
        </w:tc>
        <w:tc>
          <w:tcPr>
            <w:tcW w:w="1590" w:type="dxa"/>
            <w:vMerge w:val="continue"/>
            <w:tcBorders>
              <w:bottom w:val="single" w:color="auto" w:sz="4" w:space="0"/>
              <w:right w:val="single" w:color="auto" w:sz="4" w:space="0"/>
            </w:tcBorders>
          </w:tcPr>
          <w:p w14:paraId="56532BDC">
            <w:pPr>
              <w:pStyle w:val="4"/>
              <w:ind w:firstLine="0" w:firstLineChars="0"/>
              <w:rPr>
                <w:rFonts w:ascii="宋体" w:hAnsi="宋体" w:eastAsia="宋体"/>
                <w:color w:val="000000" w:themeColor="text1"/>
                <w:sz w:val="21"/>
                <w:szCs w:val="21"/>
                <w14:textFill>
                  <w14:solidFill>
                    <w14:schemeClr w14:val="tx1"/>
                  </w14:solidFill>
                </w14:textFill>
              </w:rPr>
            </w:pPr>
          </w:p>
        </w:tc>
        <w:tc>
          <w:tcPr>
            <w:tcW w:w="1245" w:type="dxa"/>
            <w:tcBorders>
              <w:top w:val="single" w:color="auto" w:sz="4" w:space="0"/>
              <w:left w:val="single" w:color="auto" w:sz="4" w:space="0"/>
              <w:bottom w:val="single" w:color="auto" w:sz="4" w:space="0"/>
              <w:right w:val="nil"/>
            </w:tcBorders>
          </w:tcPr>
          <w:p w14:paraId="11F96D96">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科技服务</w:t>
            </w:r>
          </w:p>
        </w:tc>
        <w:tc>
          <w:tcPr>
            <w:tcW w:w="1544" w:type="dxa"/>
            <w:tcBorders>
              <w:top w:val="single" w:color="auto" w:sz="4" w:space="0"/>
              <w:left w:val="single" w:color="auto" w:sz="4" w:space="0"/>
              <w:bottom w:val="single" w:color="auto" w:sz="4" w:space="0"/>
              <w:right w:val="nil"/>
            </w:tcBorders>
          </w:tcPr>
          <w:p w14:paraId="04A53EE9">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研发外包</w:t>
            </w:r>
          </w:p>
        </w:tc>
        <w:tc>
          <w:tcPr>
            <w:tcW w:w="1717" w:type="dxa"/>
            <w:tcBorders>
              <w:top w:val="single" w:color="auto" w:sz="4" w:space="0"/>
              <w:left w:val="single" w:color="auto" w:sz="4" w:space="0"/>
              <w:bottom w:val="single" w:color="auto" w:sz="4" w:space="0"/>
              <w:right w:val="single" w:color="auto" w:sz="4" w:space="0"/>
            </w:tcBorders>
          </w:tcPr>
          <w:p w14:paraId="4285D953">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设计外包</w:t>
            </w:r>
          </w:p>
        </w:tc>
        <w:tc>
          <w:tcPr>
            <w:tcW w:w="1284" w:type="dxa"/>
            <w:tcBorders>
              <w:top w:val="single" w:color="auto" w:sz="4" w:space="0"/>
              <w:left w:val="single" w:color="auto" w:sz="4" w:space="0"/>
              <w:bottom w:val="single" w:color="auto" w:sz="4" w:space="0"/>
            </w:tcBorders>
          </w:tcPr>
          <w:p w14:paraId="447FEFAB">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产业孵化</w:t>
            </w:r>
          </w:p>
        </w:tc>
      </w:tr>
      <w:tr w14:paraId="4AD9D8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242" w:type="dxa"/>
            <w:vMerge w:val="continue"/>
          </w:tcPr>
          <w:p w14:paraId="2C120F85">
            <w:pPr>
              <w:pStyle w:val="4"/>
              <w:ind w:firstLine="0" w:firstLineChars="0"/>
              <w:rPr>
                <w:rFonts w:ascii="宋体" w:hAnsi="宋体" w:eastAsia="宋体"/>
                <w:color w:val="000000" w:themeColor="text1"/>
                <w:sz w:val="21"/>
                <w:szCs w:val="21"/>
                <w14:textFill>
                  <w14:solidFill>
                    <w14:schemeClr w14:val="tx1"/>
                  </w14:solidFill>
                </w14:textFill>
              </w:rPr>
            </w:pPr>
          </w:p>
        </w:tc>
        <w:tc>
          <w:tcPr>
            <w:tcW w:w="1590" w:type="dxa"/>
            <w:vMerge w:val="restart"/>
            <w:tcBorders>
              <w:top w:val="single" w:color="auto" w:sz="4" w:space="0"/>
              <w:right w:val="single" w:color="auto" w:sz="4" w:space="0"/>
            </w:tcBorders>
          </w:tcPr>
          <w:p w14:paraId="23199E06">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消费型服务业</w:t>
            </w:r>
          </w:p>
        </w:tc>
        <w:tc>
          <w:tcPr>
            <w:tcW w:w="1245" w:type="dxa"/>
            <w:tcBorders>
              <w:top w:val="single" w:color="auto" w:sz="4" w:space="0"/>
              <w:left w:val="single" w:color="auto" w:sz="4" w:space="0"/>
              <w:bottom w:val="single" w:color="auto" w:sz="4" w:space="0"/>
              <w:right w:val="nil"/>
            </w:tcBorders>
          </w:tcPr>
          <w:p w14:paraId="05136192">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商业零售</w:t>
            </w:r>
          </w:p>
        </w:tc>
        <w:tc>
          <w:tcPr>
            <w:tcW w:w="1544" w:type="dxa"/>
            <w:tcBorders>
              <w:top w:val="single" w:color="auto" w:sz="4" w:space="0"/>
              <w:left w:val="single" w:color="auto" w:sz="4" w:space="0"/>
              <w:bottom w:val="single" w:color="auto" w:sz="4" w:space="0"/>
              <w:right w:val="nil"/>
            </w:tcBorders>
          </w:tcPr>
          <w:p w14:paraId="46313FBB">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广域商业</w:t>
            </w:r>
          </w:p>
        </w:tc>
        <w:tc>
          <w:tcPr>
            <w:tcW w:w="1717" w:type="dxa"/>
            <w:tcBorders>
              <w:top w:val="single" w:color="auto" w:sz="4" w:space="0"/>
              <w:left w:val="single" w:color="auto" w:sz="4" w:space="0"/>
              <w:bottom w:val="single" w:color="auto" w:sz="4" w:space="0"/>
              <w:right w:val="single" w:color="auto" w:sz="4" w:space="0"/>
            </w:tcBorders>
          </w:tcPr>
          <w:p w14:paraId="14D5B2C4">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区域商业</w:t>
            </w:r>
          </w:p>
        </w:tc>
        <w:tc>
          <w:tcPr>
            <w:tcW w:w="1284" w:type="dxa"/>
            <w:tcBorders>
              <w:top w:val="single" w:color="auto" w:sz="4" w:space="0"/>
              <w:left w:val="single" w:color="auto" w:sz="4" w:space="0"/>
              <w:bottom w:val="single" w:color="auto" w:sz="4" w:space="0"/>
            </w:tcBorders>
          </w:tcPr>
          <w:p w14:paraId="70B1C172">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社区商业</w:t>
            </w:r>
          </w:p>
        </w:tc>
      </w:tr>
      <w:tr w14:paraId="31D06A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9" w:hRule="atLeast"/>
        </w:trPr>
        <w:tc>
          <w:tcPr>
            <w:tcW w:w="1242" w:type="dxa"/>
            <w:vMerge w:val="continue"/>
          </w:tcPr>
          <w:p w14:paraId="3465046D">
            <w:pPr>
              <w:pStyle w:val="4"/>
              <w:ind w:firstLine="0" w:firstLineChars="0"/>
              <w:rPr>
                <w:rFonts w:ascii="宋体" w:hAnsi="宋体" w:eastAsia="宋体"/>
                <w:color w:val="000000" w:themeColor="text1"/>
                <w:sz w:val="21"/>
                <w:szCs w:val="21"/>
                <w14:textFill>
                  <w14:solidFill>
                    <w14:schemeClr w14:val="tx1"/>
                  </w14:solidFill>
                </w14:textFill>
              </w:rPr>
            </w:pPr>
          </w:p>
        </w:tc>
        <w:tc>
          <w:tcPr>
            <w:tcW w:w="1590" w:type="dxa"/>
            <w:vMerge w:val="continue"/>
            <w:tcBorders>
              <w:top w:val="single" w:color="auto" w:sz="4" w:space="0"/>
              <w:right w:val="single" w:color="auto" w:sz="4" w:space="0"/>
            </w:tcBorders>
          </w:tcPr>
          <w:p w14:paraId="760956B0">
            <w:pPr>
              <w:pStyle w:val="4"/>
              <w:ind w:firstLine="0" w:firstLineChars="0"/>
              <w:rPr>
                <w:rFonts w:ascii="宋体" w:hAnsi="宋体" w:eastAsia="宋体"/>
                <w:color w:val="000000" w:themeColor="text1"/>
                <w:sz w:val="21"/>
                <w:szCs w:val="21"/>
                <w14:textFill>
                  <w14:solidFill>
                    <w14:schemeClr w14:val="tx1"/>
                  </w14:solidFill>
                </w14:textFill>
              </w:rPr>
            </w:pPr>
          </w:p>
        </w:tc>
        <w:tc>
          <w:tcPr>
            <w:tcW w:w="1245" w:type="dxa"/>
            <w:tcBorders>
              <w:top w:val="single" w:color="auto" w:sz="4" w:space="0"/>
              <w:left w:val="single" w:color="auto" w:sz="4" w:space="0"/>
              <w:bottom w:val="single" w:color="auto" w:sz="4" w:space="0"/>
              <w:right w:val="nil"/>
            </w:tcBorders>
          </w:tcPr>
          <w:p w14:paraId="70DA3B8C">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个人金融</w:t>
            </w:r>
          </w:p>
        </w:tc>
        <w:tc>
          <w:tcPr>
            <w:tcW w:w="1544" w:type="dxa"/>
            <w:tcBorders>
              <w:top w:val="single" w:color="auto" w:sz="4" w:space="0"/>
              <w:left w:val="single" w:color="auto" w:sz="4" w:space="0"/>
              <w:bottom w:val="single" w:color="auto" w:sz="4" w:space="0"/>
              <w:right w:val="nil"/>
            </w:tcBorders>
          </w:tcPr>
          <w:p w14:paraId="4DEF898E">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家庭理财</w:t>
            </w:r>
          </w:p>
        </w:tc>
        <w:tc>
          <w:tcPr>
            <w:tcW w:w="1717" w:type="dxa"/>
            <w:tcBorders>
              <w:top w:val="single" w:color="auto" w:sz="4" w:space="0"/>
              <w:left w:val="single" w:color="auto" w:sz="4" w:space="0"/>
              <w:bottom w:val="single" w:color="auto" w:sz="4" w:space="0"/>
              <w:right w:val="single" w:color="auto" w:sz="4" w:space="0"/>
            </w:tcBorders>
          </w:tcPr>
          <w:p w14:paraId="6975DB45">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家庭保险</w:t>
            </w:r>
          </w:p>
        </w:tc>
        <w:tc>
          <w:tcPr>
            <w:tcW w:w="1284" w:type="dxa"/>
            <w:tcBorders>
              <w:top w:val="single" w:color="auto" w:sz="4" w:space="0"/>
              <w:left w:val="single" w:color="auto" w:sz="4" w:space="0"/>
              <w:bottom w:val="single" w:color="auto" w:sz="4" w:space="0"/>
            </w:tcBorders>
          </w:tcPr>
          <w:p w14:paraId="6A952DEA">
            <w:pPr>
              <w:pStyle w:val="4"/>
              <w:ind w:firstLine="0" w:firstLineChars="0"/>
              <w:rPr>
                <w:rFonts w:ascii="宋体" w:hAnsi="宋体" w:eastAsia="宋体"/>
                <w:color w:val="000000" w:themeColor="text1"/>
                <w:sz w:val="21"/>
                <w:szCs w:val="21"/>
                <w14:textFill>
                  <w14:solidFill>
                    <w14:schemeClr w14:val="tx1"/>
                  </w14:solidFill>
                </w14:textFill>
              </w:rPr>
            </w:pPr>
          </w:p>
        </w:tc>
      </w:tr>
      <w:tr w14:paraId="5CDF15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4" w:hRule="atLeast"/>
        </w:trPr>
        <w:tc>
          <w:tcPr>
            <w:tcW w:w="1242" w:type="dxa"/>
            <w:vMerge w:val="continue"/>
          </w:tcPr>
          <w:p w14:paraId="12779EA1">
            <w:pPr>
              <w:pStyle w:val="4"/>
              <w:ind w:firstLine="0" w:firstLineChars="0"/>
              <w:rPr>
                <w:rFonts w:ascii="宋体" w:hAnsi="宋体" w:eastAsia="宋体"/>
                <w:color w:val="000000" w:themeColor="text1"/>
                <w:sz w:val="21"/>
                <w:szCs w:val="21"/>
                <w14:textFill>
                  <w14:solidFill>
                    <w14:schemeClr w14:val="tx1"/>
                  </w14:solidFill>
                </w14:textFill>
              </w:rPr>
            </w:pPr>
          </w:p>
        </w:tc>
        <w:tc>
          <w:tcPr>
            <w:tcW w:w="1590" w:type="dxa"/>
            <w:vMerge w:val="continue"/>
            <w:tcBorders>
              <w:top w:val="single" w:color="auto" w:sz="4" w:space="0"/>
              <w:right w:val="single" w:color="auto" w:sz="4" w:space="0"/>
            </w:tcBorders>
          </w:tcPr>
          <w:p w14:paraId="5B4774FB">
            <w:pPr>
              <w:pStyle w:val="4"/>
              <w:ind w:firstLine="0" w:firstLineChars="0"/>
              <w:rPr>
                <w:rFonts w:ascii="宋体" w:hAnsi="宋体" w:eastAsia="宋体"/>
                <w:color w:val="000000" w:themeColor="text1"/>
                <w:sz w:val="21"/>
                <w:szCs w:val="21"/>
                <w14:textFill>
                  <w14:solidFill>
                    <w14:schemeClr w14:val="tx1"/>
                  </w14:solidFill>
                </w14:textFill>
              </w:rPr>
            </w:pPr>
          </w:p>
        </w:tc>
        <w:tc>
          <w:tcPr>
            <w:tcW w:w="1245" w:type="dxa"/>
            <w:tcBorders>
              <w:top w:val="single" w:color="auto" w:sz="4" w:space="0"/>
              <w:left w:val="single" w:color="auto" w:sz="4" w:space="0"/>
              <w:bottom w:val="single" w:color="auto" w:sz="4" w:space="0"/>
              <w:right w:val="nil"/>
            </w:tcBorders>
          </w:tcPr>
          <w:p w14:paraId="0129F6D8">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住宿餐饮</w:t>
            </w:r>
          </w:p>
        </w:tc>
        <w:tc>
          <w:tcPr>
            <w:tcW w:w="1544" w:type="dxa"/>
            <w:tcBorders>
              <w:top w:val="single" w:color="auto" w:sz="4" w:space="0"/>
              <w:left w:val="single" w:color="auto" w:sz="4" w:space="0"/>
              <w:bottom w:val="single" w:color="auto" w:sz="4" w:space="0"/>
              <w:right w:val="nil"/>
            </w:tcBorders>
          </w:tcPr>
          <w:p w14:paraId="132C6F6D">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住宿服务</w:t>
            </w:r>
          </w:p>
        </w:tc>
        <w:tc>
          <w:tcPr>
            <w:tcW w:w="1717" w:type="dxa"/>
            <w:tcBorders>
              <w:top w:val="single" w:color="auto" w:sz="4" w:space="0"/>
              <w:left w:val="single" w:color="auto" w:sz="4" w:space="0"/>
              <w:bottom w:val="single" w:color="auto" w:sz="4" w:space="0"/>
              <w:right w:val="single" w:color="auto" w:sz="4" w:space="0"/>
            </w:tcBorders>
          </w:tcPr>
          <w:p w14:paraId="728C1D3F">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餐饮服务</w:t>
            </w:r>
          </w:p>
        </w:tc>
        <w:tc>
          <w:tcPr>
            <w:tcW w:w="1284" w:type="dxa"/>
            <w:tcBorders>
              <w:top w:val="single" w:color="auto" w:sz="4" w:space="0"/>
              <w:left w:val="single" w:color="auto" w:sz="4" w:space="0"/>
              <w:bottom w:val="single" w:color="auto" w:sz="4" w:space="0"/>
            </w:tcBorders>
          </w:tcPr>
          <w:p w14:paraId="59441A16">
            <w:pPr>
              <w:pStyle w:val="4"/>
              <w:ind w:firstLine="0" w:firstLineChars="0"/>
              <w:rPr>
                <w:rFonts w:ascii="宋体" w:hAnsi="宋体" w:eastAsia="宋体"/>
                <w:color w:val="000000" w:themeColor="text1"/>
                <w:sz w:val="21"/>
                <w:szCs w:val="21"/>
                <w14:textFill>
                  <w14:solidFill>
                    <w14:schemeClr w14:val="tx1"/>
                  </w14:solidFill>
                </w14:textFill>
              </w:rPr>
            </w:pPr>
          </w:p>
        </w:tc>
      </w:tr>
      <w:tr w14:paraId="5AE880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 w:hRule="atLeast"/>
        </w:trPr>
        <w:tc>
          <w:tcPr>
            <w:tcW w:w="1242" w:type="dxa"/>
            <w:vMerge w:val="continue"/>
          </w:tcPr>
          <w:p w14:paraId="1F8DA3D3">
            <w:pPr>
              <w:pStyle w:val="4"/>
              <w:ind w:firstLine="0" w:firstLineChars="0"/>
              <w:rPr>
                <w:rFonts w:ascii="宋体" w:hAnsi="宋体" w:eastAsia="宋体"/>
                <w:color w:val="000000" w:themeColor="text1"/>
                <w:sz w:val="21"/>
                <w:szCs w:val="21"/>
                <w14:textFill>
                  <w14:solidFill>
                    <w14:schemeClr w14:val="tx1"/>
                  </w14:solidFill>
                </w14:textFill>
              </w:rPr>
            </w:pPr>
          </w:p>
        </w:tc>
        <w:tc>
          <w:tcPr>
            <w:tcW w:w="1590" w:type="dxa"/>
            <w:vMerge w:val="continue"/>
            <w:tcBorders>
              <w:right w:val="single" w:color="auto" w:sz="4" w:space="0"/>
            </w:tcBorders>
          </w:tcPr>
          <w:p w14:paraId="01B93284">
            <w:pPr>
              <w:pStyle w:val="4"/>
              <w:ind w:firstLine="0" w:firstLineChars="0"/>
              <w:rPr>
                <w:rFonts w:ascii="宋体" w:hAnsi="宋体" w:eastAsia="宋体"/>
                <w:color w:val="000000" w:themeColor="text1"/>
                <w:sz w:val="21"/>
                <w:szCs w:val="21"/>
                <w14:textFill>
                  <w14:solidFill>
                    <w14:schemeClr w14:val="tx1"/>
                  </w14:solidFill>
                </w14:textFill>
              </w:rPr>
            </w:pPr>
          </w:p>
        </w:tc>
        <w:tc>
          <w:tcPr>
            <w:tcW w:w="1245" w:type="dxa"/>
            <w:tcBorders>
              <w:top w:val="single" w:color="auto" w:sz="4" w:space="0"/>
              <w:left w:val="single" w:color="auto" w:sz="4" w:space="0"/>
              <w:bottom w:val="single" w:color="auto" w:sz="4" w:space="0"/>
              <w:right w:val="nil"/>
            </w:tcBorders>
          </w:tcPr>
          <w:p w14:paraId="26077D7E">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旅游</w:t>
            </w:r>
          </w:p>
        </w:tc>
        <w:tc>
          <w:tcPr>
            <w:tcW w:w="1544" w:type="dxa"/>
            <w:tcBorders>
              <w:top w:val="single" w:color="auto" w:sz="4" w:space="0"/>
              <w:left w:val="single" w:color="auto" w:sz="4" w:space="0"/>
              <w:bottom w:val="single" w:color="auto" w:sz="4" w:space="0"/>
              <w:right w:val="nil"/>
            </w:tcBorders>
          </w:tcPr>
          <w:p w14:paraId="4AF2784F">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休闲旅游</w:t>
            </w:r>
          </w:p>
        </w:tc>
        <w:tc>
          <w:tcPr>
            <w:tcW w:w="1717" w:type="dxa"/>
            <w:tcBorders>
              <w:top w:val="single" w:color="auto" w:sz="4" w:space="0"/>
              <w:left w:val="single" w:color="auto" w:sz="4" w:space="0"/>
              <w:bottom w:val="single" w:color="auto" w:sz="4" w:space="0"/>
              <w:right w:val="single" w:color="auto" w:sz="4" w:space="0"/>
            </w:tcBorders>
          </w:tcPr>
          <w:p w14:paraId="272D1CCA">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观光旅游</w:t>
            </w:r>
          </w:p>
        </w:tc>
        <w:tc>
          <w:tcPr>
            <w:tcW w:w="1284" w:type="dxa"/>
            <w:tcBorders>
              <w:top w:val="single" w:color="auto" w:sz="4" w:space="0"/>
              <w:left w:val="single" w:color="auto" w:sz="4" w:space="0"/>
              <w:bottom w:val="single" w:color="auto" w:sz="4" w:space="0"/>
            </w:tcBorders>
          </w:tcPr>
          <w:p w14:paraId="57510A7F">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购物旅游</w:t>
            </w:r>
          </w:p>
        </w:tc>
      </w:tr>
      <w:tr w14:paraId="654EF4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 w:hRule="atLeast"/>
        </w:trPr>
        <w:tc>
          <w:tcPr>
            <w:tcW w:w="1242" w:type="dxa"/>
            <w:vMerge w:val="continue"/>
          </w:tcPr>
          <w:p w14:paraId="46BB3C0D">
            <w:pPr>
              <w:pStyle w:val="4"/>
              <w:ind w:firstLine="0" w:firstLineChars="0"/>
              <w:rPr>
                <w:rFonts w:ascii="宋体" w:hAnsi="宋体" w:eastAsia="宋体"/>
                <w:color w:val="000000" w:themeColor="text1"/>
                <w:sz w:val="21"/>
                <w:szCs w:val="21"/>
                <w14:textFill>
                  <w14:solidFill>
                    <w14:schemeClr w14:val="tx1"/>
                  </w14:solidFill>
                </w14:textFill>
              </w:rPr>
            </w:pPr>
          </w:p>
        </w:tc>
        <w:tc>
          <w:tcPr>
            <w:tcW w:w="1590" w:type="dxa"/>
            <w:vMerge w:val="continue"/>
            <w:tcBorders>
              <w:right w:val="single" w:color="auto" w:sz="4" w:space="0"/>
            </w:tcBorders>
          </w:tcPr>
          <w:p w14:paraId="26F3456B">
            <w:pPr>
              <w:pStyle w:val="4"/>
              <w:ind w:firstLine="0" w:firstLineChars="0"/>
              <w:rPr>
                <w:rFonts w:ascii="宋体" w:hAnsi="宋体" w:eastAsia="宋体"/>
                <w:color w:val="000000" w:themeColor="text1"/>
                <w:sz w:val="21"/>
                <w:szCs w:val="21"/>
                <w14:textFill>
                  <w14:solidFill>
                    <w14:schemeClr w14:val="tx1"/>
                  </w14:solidFill>
                </w14:textFill>
              </w:rPr>
            </w:pPr>
          </w:p>
        </w:tc>
        <w:tc>
          <w:tcPr>
            <w:tcW w:w="1245" w:type="dxa"/>
            <w:tcBorders>
              <w:top w:val="single" w:color="auto" w:sz="4" w:space="0"/>
              <w:left w:val="single" w:color="auto" w:sz="4" w:space="0"/>
              <w:bottom w:val="single" w:color="auto" w:sz="4" w:space="0"/>
              <w:right w:val="nil"/>
            </w:tcBorders>
          </w:tcPr>
          <w:p w14:paraId="5AF29456">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文化娱乐</w:t>
            </w:r>
          </w:p>
        </w:tc>
        <w:tc>
          <w:tcPr>
            <w:tcW w:w="1544" w:type="dxa"/>
            <w:tcBorders>
              <w:top w:val="single" w:color="auto" w:sz="4" w:space="0"/>
              <w:left w:val="single" w:color="auto" w:sz="4" w:space="0"/>
              <w:bottom w:val="single" w:color="auto" w:sz="4" w:space="0"/>
              <w:right w:val="nil"/>
            </w:tcBorders>
          </w:tcPr>
          <w:p w14:paraId="5223F2D3">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电影院线</w:t>
            </w:r>
          </w:p>
        </w:tc>
        <w:tc>
          <w:tcPr>
            <w:tcW w:w="1717" w:type="dxa"/>
            <w:tcBorders>
              <w:top w:val="single" w:color="auto" w:sz="4" w:space="0"/>
              <w:left w:val="single" w:color="auto" w:sz="4" w:space="0"/>
              <w:bottom w:val="single" w:color="auto" w:sz="4" w:space="0"/>
              <w:right w:val="single" w:color="auto" w:sz="4" w:space="0"/>
            </w:tcBorders>
          </w:tcPr>
          <w:p w14:paraId="50622393">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个人文化娱乐</w:t>
            </w:r>
          </w:p>
        </w:tc>
        <w:tc>
          <w:tcPr>
            <w:tcW w:w="1284" w:type="dxa"/>
            <w:tcBorders>
              <w:top w:val="single" w:color="auto" w:sz="4" w:space="0"/>
              <w:left w:val="single" w:color="auto" w:sz="4" w:space="0"/>
              <w:bottom w:val="single" w:color="auto" w:sz="4" w:space="0"/>
            </w:tcBorders>
          </w:tcPr>
          <w:p w14:paraId="1AC93684">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演出活动</w:t>
            </w:r>
          </w:p>
        </w:tc>
      </w:tr>
      <w:tr w14:paraId="3383D7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 w:hRule="atLeast"/>
        </w:trPr>
        <w:tc>
          <w:tcPr>
            <w:tcW w:w="1242" w:type="dxa"/>
            <w:vMerge w:val="continue"/>
          </w:tcPr>
          <w:p w14:paraId="1BAF6343">
            <w:pPr>
              <w:pStyle w:val="4"/>
              <w:ind w:firstLine="0" w:firstLineChars="0"/>
              <w:rPr>
                <w:rFonts w:ascii="宋体" w:hAnsi="宋体" w:eastAsia="宋体"/>
                <w:color w:val="000000" w:themeColor="text1"/>
                <w:sz w:val="21"/>
                <w:szCs w:val="21"/>
                <w14:textFill>
                  <w14:solidFill>
                    <w14:schemeClr w14:val="tx1"/>
                  </w14:solidFill>
                </w14:textFill>
              </w:rPr>
            </w:pPr>
          </w:p>
        </w:tc>
        <w:tc>
          <w:tcPr>
            <w:tcW w:w="1590" w:type="dxa"/>
            <w:vMerge w:val="continue"/>
            <w:tcBorders>
              <w:bottom w:val="single" w:color="auto" w:sz="4" w:space="0"/>
              <w:right w:val="single" w:color="auto" w:sz="4" w:space="0"/>
            </w:tcBorders>
          </w:tcPr>
          <w:p w14:paraId="3B323137">
            <w:pPr>
              <w:pStyle w:val="4"/>
              <w:ind w:firstLine="0" w:firstLineChars="0"/>
              <w:rPr>
                <w:rFonts w:ascii="宋体" w:hAnsi="宋体" w:eastAsia="宋体"/>
                <w:color w:val="000000" w:themeColor="text1"/>
                <w:sz w:val="21"/>
                <w:szCs w:val="21"/>
                <w14:textFill>
                  <w14:solidFill>
                    <w14:schemeClr w14:val="tx1"/>
                  </w14:solidFill>
                </w14:textFill>
              </w:rPr>
            </w:pPr>
          </w:p>
        </w:tc>
        <w:tc>
          <w:tcPr>
            <w:tcW w:w="1245" w:type="dxa"/>
            <w:tcBorders>
              <w:top w:val="single" w:color="auto" w:sz="4" w:space="0"/>
              <w:left w:val="single" w:color="auto" w:sz="4" w:space="0"/>
              <w:bottom w:val="single" w:color="auto" w:sz="4" w:space="0"/>
              <w:right w:val="nil"/>
            </w:tcBorders>
          </w:tcPr>
          <w:p w14:paraId="240F7653">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体育健身</w:t>
            </w:r>
          </w:p>
        </w:tc>
        <w:tc>
          <w:tcPr>
            <w:tcW w:w="1544" w:type="dxa"/>
            <w:tcBorders>
              <w:top w:val="single" w:color="auto" w:sz="4" w:space="0"/>
              <w:left w:val="single" w:color="auto" w:sz="4" w:space="0"/>
              <w:bottom w:val="single" w:color="auto" w:sz="4" w:space="0"/>
              <w:right w:val="nil"/>
            </w:tcBorders>
          </w:tcPr>
          <w:p w14:paraId="333F5BB1">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体育赛事</w:t>
            </w:r>
          </w:p>
        </w:tc>
        <w:tc>
          <w:tcPr>
            <w:tcW w:w="1717" w:type="dxa"/>
            <w:tcBorders>
              <w:top w:val="single" w:color="auto" w:sz="4" w:space="0"/>
              <w:left w:val="single" w:color="auto" w:sz="4" w:space="0"/>
              <w:bottom w:val="single" w:color="auto" w:sz="4" w:space="0"/>
              <w:right w:val="single" w:color="auto" w:sz="4" w:space="0"/>
            </w:tcBorders>
          </w:tcPr>
          <w:p w14:paraId="07C4248E">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个人体育运动</w:t>
            </w:r>
          </w:p>
        </w:tc>
        <w:tc>
          <w:tcPr>
            <w:tcW w:w="1284" w:type="dxa"/>
            <w:tcBorders>
              <w:top w:val="single" w:color="auto" w:sz="4" w:space="0"/>
              <w:left w:val="single" w:color="auto" w:sz="4" w:space="0"/>
              <w:bottom w:val="single" w:color="auto" w:sz="4" w:space="0"/>
            </w:tcBorders>
          </w:tcPr>
          <w:p w14:paraId="2FA73A16">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健身运动</w:t>
            </w:r>
          </w:p>
        </w:tc>
      </w:tr>
      <w:tr w14:paraId="3C1AF9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1" w:hRule="atLeast"/>
        </w:trPr>
        <w:tc>
          <w:tcPr>
            <w:tcW w:w="1242" w:type="dxa"/>
            <w:vMerge w:val="continue"/>
          </w:tcPr>
          <w:p w14:paraId="4147ABBE">
            <w:pPr>
              <w:pStyle w:val="4"/>
              <w:ind w:firstLine="0" w:firstLineChars="0"/>
              <w:rPr>
                <w:rFonts w:ascii="宋体" w:hAnsi="宋体" w:eastAsia="宋体"/>
                <w:color w:val="000000" w:themeColor="text1"/>
                <w:sz w:val="21"/>
                <w:szCs w:val="21"/>
                <w14:textFill>
                  <w14:solidFill>
                    <w14:schemeClr w14:val="tx1"/>
                  </w14:solidFill>
                </w14:textFill>
              </w:rPr>
            </w:pPr>
          </w:p>
        </w:tc>
        <w:tc>
          <w:tcPr>
            <w:tcW w:w="1590" w:type="dxa"/>
            <w:vMerge w:val="restart"/>
            <w:tcBorders>
              <w:top w:val="single" w:color="auto" w:sz="4" w:space="0"/>
              <w:right w:val="single" w:color="auto" w:sz="4" w:space="0"/>
            </w:tcBorders>
          </w:tcPr>
          <w:p w14:paraId="34CA2137">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家政型服务业</w:t>
            </w:r>
          </w:p>
        </w:tc>
        <w:tc>
          <w:tcPr>
            <w:tcW w:w="1245" w:type="dxa"/>
            <w:tcBorders>
              <w:top w:val="single" w:color="auto" w:sz="4" w:space="0"/>
              <w:left w:val="single" w:color="auto" w:sz="4" w:space="0"/>
              <w:bottom w:val="single" w:color="auto" w:sz="4" w:space="0"/>
              <w:right w:val="nil"/>
            </w:tcBorders>
          </w:tcPr>
          <w:p w14:paraId="129C1797">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养老服务</w:t>
            </w:r>
          </w:p>
        </w:tc>
        <w:tc>
          <w:tcPr>
            <w:tcW w:w="1544" w:type="dxa"/>
            <w:tcBorders>
              <w:top w:val="single" w:color="auto" w:sz="4" w:space="0"/>
              <w:left w:val="single" w:color="auto" w:sz="4" w:space="0"/>
              <w:bottom w:val="single" w:color="auto" w:sz="4" w:space="0"/>
              <w:right w:val="nil"/>
            </w:tcBorders>
          </w:tcPr>
          <w:p w14:paraId="7D229134">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居家养老</w:t>
            </w:r>
          </w:p>
        </w:tc>
        <w:tc>
          <w:tcPr>
            <w:tcW w:w="1717" w:type="dxa"/>
            <w:tcBorders>
              <w:top w:val="single" w:color="auto" w:sz="4" w:space="0"/>
              <w:left w:val="single" w:color="auto" w:sz="4" w:space="0"/>
              <w:bottom w:val="single" w:color="auto" w:sz="4" w:space="0"/>
              <w:right w:val="single" w:color="auto" w:sz="4" w:space="0"/>
            </w:tcBorders>
          </w:tcPr>
          <w:p w14:paraId="6F0F7348">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机构养老</w:t>
            </w:r>
          </w:p>
        </w:tc>
        <w:tc>
          <w:tcPr>
            <w:tcW w:w="1284" w:type="dxa"/>
            <w:tcBorders>
              <w:top w:val="single" w:color="auto" w:sz="4" w:space="0"/>
              <w:left w:val="single" w:color="auto" w:sz="4" w:space="0"/>
              <w:bottom w:val="single" w:color="auto" w:sz="4" w:space="0"/>
            </w:tcBorders>
          </w:tcPr>
          <w:p w14:paraId="41F59085">
            <w:pPr>
              <w:pStyle w:val="4"/>
              <w:ind w:firstLine="0" w:firstLineChars="0"/>
              <w:rPr>
                <w:rFonts w:ascii="宋体" w:hAnsi="宋体" w:eastAsia="宋体"/>
                <w:color w:val="000000" w:themeColor="text1"/>
                <w:sz w:val="21"/>
                <w:szCs w:val="21"/>
                <w14:textFill>
                  <w14:solidFill>
                    <w14:schemeClr w14:val="tx1"/>
                  </w14:solidFill>
                </w14:textFill>
              </w:rPr>
            </w:pPr>
          </w:p>
        </w:tc>
      </w:tr>
      <w:tr w14:paraId="062269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 w:hRule="atLeast"/>
        </w:trPr>
        <w:tc>
          <w:tcPr>
            <w:tcW w:w="1242" w:type="dxa"/>
            <w:vMerge w:val="continue"/>
          </w:tcPr>
          <w:p w14:paraId="1E59F524">
            <w:pPr>
              <w:pStyle w:val="4"/>
              <w:ind w:firstLine="0" w:firstLineChars="0"/>
              <w:rPr>
                <w:rFonts w:ascii="宋体" w:hAnsi="宋体" w:eastAsia="宋体"/>
                <w:color w:val="000000" w:themeColor="text1"/>
                <w:sz w:val="21"/>
                <w:szCs w:val="21"/>
                <w14:textFill>
                  <w14:solidFill>
                    <w14:schemeClr w14:val="tx1"/>
                  </w14:solidFill>
                </w14:textFill>
              </w:rPr>
            </w:pPr>
          </w:p>
        </w:tc>
        <w:tc>
          <w:tcPr>
            <w:tcW w:w="1590" w:type="dxa"/>
            <w:vMerge w:val="continue"/>
            <w:tcBorders>
              <w:right w:val="single" w:color="auto" w:sz="4" w:space="0"/>
            </w:tcBorders>
          </w:tcPr>
          <w:p w14:paraId="5DEC8D3B">
            <w:pPr>
              <w:pStyle w:val="4"/>
              <w:ind w:firstLine="0" w:firstLineChars="0"/>
              <w:rPr>
                <w:rFonts w:ascii="宋体" w:hAnsi="宋体" w:eastAsia="宋体"/>
                <w:color w:val="000000" w:themeColor="text1"/>
                <w:sz w:val="21"/>
                <w:szCs w:val="21"/>
                <w14:textFill>
                  <w14:solidFill>
                    <w14:schemeClr w14:val="tx1"/>
                  </w14:solidFill>
                </w14:textFill>
              </w:rPr>
            </w:pPr>
          </w:p>
        </w:tc>
        <w:tc>
          <w:tcPr>
            <w:tcW w:w="1245" w:type="dxa"/>
            <w:tcBorders>
              <w:top w:val="single" w:color="auto" w:sz="4" w:space="0"/>
              <w:left w:val="single" w:color="auto" w:sz="4" w:space="0"/>
              <w:bottom w:val="single" w:color="auto" w:sz="4" w:space="0"/>
              <w:right w:val="nil"/>
            </w:tcBorders>
          </w:tcPr>
          <w:p w14:paraId="76E1D312">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保洁服务</w:t>
            </w:r>
          </w:p>
        </w:tc>
        <w:tc>
          <w:tcPr>
            <w:tcW w:w="1544" w:type="dxa"/>
            <w:tcBorders>
              <w:top w:val="single" w:color="auto" w:sz="4" w:space="0"/>
              <w:left w:val="single" w:color="auto" w:sz="4" w:space="0"/>
              <w:bottom w:val="single" w:color="auto" w:sz="4" w:space="0"/>
              <w:right w:val="nil"/>
            </w:tcBorders>
          </w:tcPr>
          <w:p w14:paraId="4D862E9B">
            <w:pPr>
              <w:pStyle w:val="4"/>
              <w:ind w:firstLine="0" w:firstLineChars="0"/>
              <w:rPr>
                <w:rFonts w:ascii="宋体" w:hAnsi="宋体" w:eastAsia="宋体"/>
                <w:color w:val="000000" w:themeColor="text1"/>
                <w:sz w:val="21"/>
                <w:szCs w:val="21"/>
                <w14:textFill>
                  <w14:solidFill>
                    <w14:schemeClr w14:val="tx1"/>
                  </w14:solidFill>
                </w14:textFill>
              </w:rPr>
            </w:pPr>
          </w:p>
        </w:tc>
        <w:tc>
          <w:tcPr>
            <w:tcW w:w="1717" w:type="dxa"/>
            <w:tcBorders>
              <w:top w:val="single" w:color="auto" w:sz="4" w:space="0"/>
              <w:left w:val="single" w:color="auto" w:sz="4" w:space="0"/>
              <w:bottom w:val="single" w:color="auto" w:sz="4" w:space="0"/>
              <w:right w:val="single" w:color="auto" w:sz="4" w:space="0"/>
            </w:tcBorders>
          </w:tcPr>
          <w:p w14:paraId="429266DC">
            <w:pPr>
              <w:pStyle w:val="4"/>
              <w:ind w:firstLine="0" w:firstLineChars="0"/>
              <w:rPr>
                <w:rFonts w:ascii="宋体" w:hAnsi="宋体" w:eastAsia="宋体"/>
                <w:color w:val="000000" w:themeColor="text1"/>
                <w:sz w:val="21"/>
                <w:szCs w:val="21"/>
                <w14:textFill>
                  <w14:solidFill>
                    <w14:schemeClr w14:val="tx1"/>
                  </w14:solidFill>
                </w14:textFill>
              </w:rPr>
            </w:pPr>
          </w:p>
        </w:tc>
        <w:tc>
          <w:tcPr>
            <w:tcW w:w="1284" w:type="dxa"/>
            <w:tcBorders>
              <w:top w:val="single" w:color="auto" w:sz="4" w:space="0"/>
              <w:left w:val="single" w:color="auto" w:sz="4" w:space="0"/>
              <w:bottom w:val="single" w:color="auto" w:sz="4" w:space="0"/>
            </w:tcBorders>
          </w:tcPr>
          <w:p w14:paraId="0830DB20">
            <w:pPr>
              <w:pStyle w:val="4"/>
              <w:ind w:firstLine="0" w:firstLineChars="0"/>
              <w:rPr>
                <w:rFonts w:ascii="宋体" w:hAnsi="宋体" w:eastAsia="宋体"/>
                <w:color w:val="000000" w:themeColor="text1"/>
                <w:sz w:val="21"/>
                <w:szCs w:val="21"/>
                <w14:textFill>
                  <w14:solidFill>
                    <w14:schemeClr w14:val="tx1"/>
                  </w14:solidFill>
                </w14:textFill>
              </w:rPr>
            </w:pPr>
          </w:p>
        </w:tc>
      </w:tr>
      <w:tr w14:paraId="538DBB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1242" w:type="dxa"/>
            <w:vMerge w:val="continue"/>
          </w:tcPr>
          <w:p w14:paraId="6FE3933E">
            <w:pPr>
              <w:pStyle w:val="4"/>
              <w:ind w:firstLine="0" w:firstLineChars="0"/>
              <w:rPr>
                <w:rFonts w:ascii="宋体" w:hAnsi="宋体" w:eastAsia="宋体"/>
                <w:color w:val="000000" w:themeColor="text1"/>
                <w:sz w:val="21"/>
                <w:szCs w:val="21"/>
                <w14:textFill>
                  <w14:solidFill>
                    <w14:schemeClr w14:val="tx1"/>
                  </w14:solidFill>
                </w14:textFill>
              </w:rPr>
            </w:pPr>
          </w:p>
        </w:tc>
        <w:tc>
          <w:tcPr>
            <w:tcW w:w="1590" w:type="dxa"/>
            <w:vMerge w:val="continue"/>
            <w:tcBorders>
              <w:right w:val="single" w:color="auto" w:sz="4" w:space="0"/>
            </w:tcBorders>
          </w:tcPr>
          <w:p w14:paraId="7C947669">
            <w:pPr>
              <w:pStyle w:val="4"/>
              <w:ind w:firstLine="0" w:firstLineChars="0"/>
              <w:rPr>
                <w:rFonts w:ascii="宋体" w:hAnsi="宋体" w:eastAsia="宋体"/>
                <w:color w:val="000000" w:themeColor="text1"/>
                <w:sz w:val="21"/>
                <w:szCs w:val="21"/>
                <w14:textFill>
                  <w14:solidFill>
                    <w14:schemeClr w14:val="tx1"/>
                  </w14:solidFill>
                </w14:textFill>
              </w:rPr>
            </w:pPr>
          </w:p>
        </w:tc>
        <w:tc>
          <w:tcPr>
            <w:tcW w:w="1245" w:type="dxa"/>
            <w:tcBorders>
              <w:top w:val="single" w:color="auto" w:sz="4" w:space="0"/>
              <w:left w:val="single" w:color="auto" w:sz="4" w:space="0"/>
              <w:bottom w:val="single" w:color="auto" w:sz="4" w:space="0"/>
              <w:right w:val="nil"/>
            </w:tcBorders>
          </w:tcPr>
          <w:p w14:paraId="6F3089C1">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维修服务</w:t>
            </w:r>
          </w:p>
        </w:tc>
        <w:tc>
          <w:tcPr>
            <w:tcW w:w="1544" w:type="dxa"/>
            <w:tcBorders>
              <w:top w:val="single" w:color="auto" w:sz="4" w:space="0"/>
              <w:left w:val="single" w:color="auto" w:sz="4" w:space="0"/>
              <w:bottom w:val="single" w:color="auto" w:sz="4" w:space="0"/>
              <w:right w:val="nil"/>
            </w:tcBorders>
          </w:tcPr>
          <w:p w14:paraId="4DB6F986">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装修</w:t>
            </w:r>
          </w:p>
        </w:tc>
        <w:tc>
          <w:tcPr>
            <w:tcW w:w="1717" w:type="dxa"/>
            <w:tcBorders>
              <w:top w:val="single" w:color="auto" w:sz="4" w:space="0"/>
              <w:left w:val="single" w:color="auto" w:sz="4" w:space="0"/>
              <w:bottom w:val="single" w:color="auto" w:sz="4" w:space="0"/>
              <w:right w:val="single" w:color="auto" w:sz="4" w:space="0"/>
            </w:tcBorders>
          </w:tcPr>
          <w:p w14:paraId="3ECBB98D">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修理</w:t>
            </w:r>
          </w:p>
        </w:tc>
        <w:tc>
          <w:tcPr>
            <w:tcW w:w="1284" w:type="dxa"/>
            <w:tcBorders>
              <w:top w:val="single" w:color="auto" w:sz="4" w:space="0"/>
              <w:left w:val="single" w:color="auto" w:sz="4" w:space="0"/>
              <w:bottom w:val="single" w:color="auto" w:sz="4" w:space="0"/>
            </w:tcBorders>
          </w:tcPr>
          <w:p w14:paraId="4AB2B430">
            <w:pPr>
              <w:pStyle w:val="4"/>
              <w:ind w:firstLine="0" w:firstLineChars="0"/>
              <w:rPr>
                <w:rFonts w:ascii="宋体" w:hAnsi="宋体" w:eastAsia="宋体"/>
                <w:color w:val="000000" w:themeColor="text1"/>
                <w:sz w:val="21"/>
                <w:szCs w:val="21"/>
                <w14:textFill>
                  <w14:solidFill>
                    <w14:schemeClr w14:val="tx1"/>
                  </w14:solidFill>
                </w14:textFill>
              </w:rPr>
            </w:pPr>
          </w:p>
        </w:tc>
      </w:tr>
      <w:tr w14:paraId="6CEE21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9" w:hRule="atLeast"/>
        </w:trPr>
        <w:tc>
          <w:tcPr>
            <w:tcW w:w="1242" w:type="dxa"/>
            <w:vMerge w:val="continue"/>
          </w:tcPr>
          <w:p w14:paraId="3F522119">
            <w:pPr>
              <w:pStyle w:val="4"/>
              <w:ind w:firstLine="0" w:firstLineChars="0"/>
              <w:rPr>
                <w:rFonts w:ascii="宋体" w:hAnsi="宋体" w:eastAsia="宋体"/>
                <w:color w:val="000000" w:themeColor="text1"/>
                <w:sz w:val="21"/>
                <w:szCs w:val="21"/>
                <w14:textFill>
                  <w14:solidFill>
                    <w14:schemeClr w14:val="tx1"/>
                  </w14:solidFill>
                </w14:textFill>
              </w:rPr>
            </w:pPr>
          </w:p>
        </w:tc>
        <w:tc>
          <w:tcPr>
            <w:tcW w:w="1590" w:type="dxa"/>
            <w:vMerge w:val="continue"/>
            <w:tcBorders>
              <w:bottom w:val="single" w:color="auto" w:sz="4" w:space="0"/>
              <w:right w:val="single" w:color="auto" w:sz="4" w:space="0"/>
            </w:tcBorders>
          </w:tcPr>
          <w:p w14:paraId="4809106D">
            <w:pPr>
              <w:pStyle w:val="4"/>
              <w:ind w:firstLine="0" w:firstLineChars="0"/>
              <w:rPr>
                <w:rFonts w:ascii="宋体" w:hAnsi="宋体" w:eastAsia="宋体"/>
                <w:color w:val="000000" w:themeColor="text1"/>
                <w:sz w:val="21"/>
                <w:szCs w:val="21"/>
                <w14:textFill>
                  <w14:solidFill>
                    <w14:schemeClr w14:val="tx1"/>
                  </w14:solidFill>
                </w14:textFill>
              </w:rPr>
            </w:pPr>
          </w:p>
        </w:tc>
        <w:tc>
          <w:tcPr>
            <w:tcW w:w="1245" w:type="dxa"/>
            <w:tcBorders>
              <w:top w:val="single" w:color="auto" w:sz="4" w:space="0"/>
              <w:left w:val="single" w:color="auto" w:sz="4" w:space="0"/>
              <w:bottom w:val="single" w:color="auto" w:sz="4" w:space="0"/>
              <w:right w:val="nil"/>
            </w:tcBorders>
          </w:tcPr>
          <w:p w14:paraId="4E5CA077">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家庭护理</w:t>
            </w:r>
          </w:p>
        </w:tc>
        <w:tc>
          <w:tcPr>
            <w:tcW w:w="1544" w:type="dxa"/>
            <w:tcBorders>
              <w:top w:val="single" w:color="auto" w:sz="4" w:space="0"/>
              <w:left w:val="single" w:color="auto" w:sz="4" w:space="0"/>
              <w:bottom w:val="single" w:color="auto" w:sz="4" w:space="0"/>
              <w:right w:val="nil"/>
            </w:tcBorders>
          </w:tcPr>
          <w:p w14:paraId="2861AD6C">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孕妇家庭护理</w:t>
            </w:r>
          </w:p>
        </w:tc>
        <w:tc>
          <w:tcPr>
            <w:tcW w:w="1717" w:type="dxa"/>
            <w:tcBorders>
              <w:top w:val="single" w:color="auto" w:sz="4" w:space="0"/>
              <w:left w:val="single" w:color="auto" w:sz="4" w:space="0"/>
              <w:bottom w:val="single" w:color="auto" w:sz="4" w:space="0"/>
              <w:right w:val="single" w:color="auto" w:sz="4" w:space="0"/>
            </w:tcBorders>
          </w:tcPr>
          <w:p w14:paraId="508FE753">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婴幼儿家庭护理</w:t>
            </w:r>
          </w:p>
        </w:tc>
        <w:tc>
          <w:tcPr>
            <w:tcW w:w="1284" w:type="dxa"/>
            <w:tcBorders>
              <w:top w:val="single" w:color="auto" w:sz="4" w:space="0"/>
              <w:left w:val="single" w:color="auto" w:sz="4" w:space="0"/>
              <w:bottom w:val="single" w:color="auto" w:sz="4" w:space="0"/>
            </w:tcBorders>
          </w:tcPr>
          <w:p w14:paraId="5CC635D8">
            <w:pPr>
              <w:pStyle w:val="4"/>
              <w:ind w:leftChars="-51" w:right="-99" w:rightChars="-47" w:hanging="107" w:hangingChars="51"/>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老人家庭护理</w:t>
            </w:r>
          </w:p>
        </w:tc>
      </w:tr>
      <w:tr w14:paraId="4BEECE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0" w:hRule="atLeast"/>
        </w:trPr>
        <w:tc>
          <w:tcPr>
            <w:tcW w:w="1242" w:type="dxa"/>
            <w:vMerge w:val="continue"/>
          </w:tcPr>
          <w:p w14:paraId="789C4A2A">
            <w:pPr>
              <w:pStyle w:val="4"/>
              <w:ind w:firstLine="0" w:firstLineChars="0"/>
              <w:rPr>
                <w:rFonts w:ascii="宋体" w:hAnsi="宋体" w:eastAsia="宋体"/>
                <w:color w:val="000000" w:themeColor="text1"/>
                <w:sz w:val="21"/>
                <w:szCs w:val="21"/>
                <w14:textFill>
                  <w14:solidFill>
                    <w14:schemeClr w14:val="tx1"/>
                  </w14:solidFill>
                </w14:textFill>
              </w:rPr>
            </w:pPr>
          </w:p>
        </w:tc>
        <w:tc>
          <w:tcPr>
            <w:tcW w:w="1590" w:type="dxa"/>
            <w:tcBorders>
              <w:top w:val="single" w:color="auto" w:sz="4" w:space="0"/>
              <w:right w:val="single" w:color="auto" w:sz="4" w:space="0"/>
            </w:tcBorders>
          </w:tcPr>
          <w:p w14:paraId="48E12912">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房地产业</w:t>
            </w:r>
          </w:p>
        </w:tc>
        <w:tc>
          <w:tcPr>
            <w:tcW w:w="1245" w:type="dxa"/>
            <w:tcBorders>
              <w:top w:val="single" w:color="auto" w:sz="4" w:space="0"/>
              <w:left w:val="single" w:color="auto" w:sz="4" w:space="0"/>
              <w:right w:val="nil"/>
            </w:tcBorders>
          </w:tcPr>
          <w:p w14:paraId="3D54F370">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住宅地产</w:t>
            </w:r>
          </w:p>
        </w:tc>
        <w:tc>
          <w:tcPr>
            <w:tcW w:w="1544" w:type="dxa"/>
            <w:tcBorders>
              <w:top w:val="single" w:color="auto" w:sz="4" w:space="0"/>
              <w:left w:val="single" w:color="auto" w:sz="4" w:space="0"/>
              <w:right w:val="nil"/>
            </w:tcBorders>
          </w:tcPr>
          <w:p w14:paraId="5B9ABE24">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商业地产</w:t>
            </w:r>
          </w:p>
        </w:tc>
        <w:tc>
          <w:tcPr>
            <w:tcW w:w="1717" w:type="dxa"/>
            <w:tcBorders>
              <w:top w:val="single" w:color="auto" w:sz="4" w:space="0"/>
              <w:left w:val="single" w:color="auto" w:sz="4" w:space="0"/>
              <w:right w:val="single" w:color="auto" w:sz="4" w:space="0"/>
            </w:tcBorders>
          </w:tcPr>
          <w:p w14:paraId="293B8505">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工业地产</w:t>
            </w:r>
          </w:p>
        </w:tc>
        <w:tc>
          <w:tcPr>
            <w:tcW w:w="1284" w:type="dxa"/>
            <w:tcBorders>
              <w:top w:val="single" w:color="auto" w:sz="4" w:space="0"/>
              <w:left w:val="single" w:color="auto" w:sz="4" w:space="0"/>
            </w:tcBorders>
          </w:tcPr>
          <w:p w14:paraId="4469A28D">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旅游地产</w:t>
            </w:r>
          </w:p>
        </w:tc>
      </w:tr>
      <w:tr w14:paraId="367DD4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3" w:hRule="atLeast"/>
        </w:trPr>
        <w:tc>
          <w:tcPr>
            <w:tcW w:w="1242" w:type="dxa"/>
            <w:tcBorders>
              <w:bottom w:val="nil"/>
              <w:right w:val="single" w:color="auto" w:sz="4" w:space="0"/>
            </w:tcBorders>
          </w:tcPr>
          <w:p w14:paraId="51ACEBC1">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制造业</w:t>
            </w:r>
          </w:p>
        </w:tc>
        <w:tc>
          <w:tcPr>
            <w:tcW w:w="1590" w:type="dxa"/>
            <w:vMerge w:val="restart"/>
            <w:tcBorders>
              <w:right w:val="single" w:color="auto" w:sz="4" w:space="0"/>
            </w:tcBorders>
          </w:tcPr>
          <w:p w14:paraId="38EAEA9B">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存量制造业</w:t>
            </w:r>
          </w:p>
        </w:tc>
        <w:tc>
          <w:tcPr>
            <w:tcW w:w="5790" w:type="dxa"/>
            <w:gridSpan w:val="4"/>
            <w:tcBorders>
              <w:left w:val="single" w:color="auto" w:sz="4" w:space="0"/>
              <w:bottom w:val="single" w:color="auto" w:sz="4" w:space="0"/>
            </w:tcBorders>
          </w:tcPr>
          <w:p w14:paraId="5AC6847C">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生产型制造——服务型制造</w:t>
            </w:r>
          </w:p>
        </w:tc>
      </w:tr>
      <w:tr w14:paraId="7D12BD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 w:hRule="atLeast"/>
        </w:trPr>
        <w:tc>
          <w:tcPr>
            <w:tcW w:w="1242" w:type="dxa"/>
            <w:vMerge w:val="restart"/>
            <w:tcBorders>
              <w:top w:val="nil"/>
            </w:tcBorders>
          </w:tcPr>
          <w:p w14:paraId="4E1DFB48">
            <w:pPr>
              <w:pStyle w:val="4"/>
              <w:ind w:firstLine="0" w:firstLineChars="0"/>
              <w:rPr>
                <w:rFonts w:ascii="宋体" w:hAnsi="宋体" w:eastAsia="宋体"/>
                <w:color w:val="000000" w:themeColor="text1"/>
                <w:sz w:val="21"/>
                <w:szCs w:val="21"/>
                <w14:textFill>
                  <w14:solidFill>
                    <w14:schemeClr w14:val="tx1"/>
                  </w14:solidFill>
                </w14:textFill>
              </w:rPr>
            </w:pPr>
          </w:p>
        </w:tc>
        <w:tc>
          <w:tcPr>
            <w:tcW w:w="1590" w:type="dxa"/>
            <w:vMerge w:val="continue"/>
            <w:tcBorders>
              <w:bottom w:val="single" w:color="auto" w:sz="4" w:space="0"/>
              <w:right w:val="single" w:color="auto" w:sz="4" w:space="0"/>
            </w:tcBorders>
          </w:tcPr>
          <w:p w14:paraId="6E049EF3">
            <w:pPr>
              <w:pStyle w:val="4"/>
              <w:ind w:firstLine="0" w:firstLineChars="0"/>
              <w:rPr>
                <w:rFonts w:ascii="宋体" w:hAnsi="宋体" w:eastAsia="宋体"/>
                <w:color w:val="000000" w:themeColor="text1"/>
                <w:sz w:val="21"/>
                <w:szCs w:val="21"/>
                <w14:textFill>
                  <w14:solidFill>
                    <w14:schemeClr w14:val="tx1"/>
                  </w14:solidFill>
                </w14:textFill>
              </w:rPr>
            </w:pPr>
          </w:p>
        </w:tc>
        <w:tc>
          <w:tcPr>
            <w:tcW w:w="5790" w:type="dxa"/>
            <w:gridSpan w:val="4"/>
            <w:tcBorders>
              <w:top w:val="single" w:color="auto" w:sz="4" w:space="0"/>
              <w:left w:val="single" w:color="auto" w:sz="4" w:space="0"/>
              <w:bottom w:val="single" w:color="auto" w:sz="4" w:space="0"/>
            </w:tcBorders>
          </w:tcPr>
          <w:p w14:paraId="2C969807">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发展机电一体化、电子信息产业</w:t>
            </w:r>
          </w:p>
        </w:tc>
      </w:tr>
      <w:tr w14:paraId="335B92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1242" w:type="dxa"/>
            <w:vMerge w:val="continue"/>
          </w:tcPr>
          <w:p w14:paraId="12660077">
            <w:pPr>
              <w:pStyle w:val="4"/>
              <w:ind w:firstLine="0" w:firstLineChars="0"/>
              <w:rPr>
                <w:rFonts w:ascii="宋体" w:hAnsi="宋体" w:eastAsia="宋体"/>
                <w:color w:val="000000" w:themeColor="text1"/>
                <w:sz w:val="21"/>
                <w:szCs w:val="21"/>
                <w14:textFill>
                  <w14:solidFill>
                    <w14:schemeClr w14:val="tx1"/>
                  </w14:solidFill>
                </w14:textFill>
              </w:rPr>
            </w:pPr>
          </w:p>
        </w:tc>
        <w:tc>
          <w:tcPr>
            <w:tcW w:w="1590" w:type="dxa"/>
            <w:vMerge w:val="restart"/>
            <w:tcBorders>
              <w:top w:val="single" w:color="auto" w:sz="4" w:space="0"/>
              <w:right w:val="single" w:color="auto" w:sz="4" w:space="0"/>
            </w:tcBorders>
          </w:tcPr>
          <w:p w14:paraId="5BDC2524">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增量制造业</w:t>
            </w:r>
          </w:p>
        </w:tc>
        <w:tc>
          <w:tcPr>
            <w:tcW w:w="5790" w:type="dxa"/>
            <w:gridSpan w:val="4"/>
            <w:tcBorders>
              <w:top w:val="single" w:color="auto" w:sz="4" w:space="0"/>
              <w:left w:val="single" w:color="auto" w:sz="4" w:space="0"/>
              <w:bottom w:val="single" w:color="auto" w:sz="4" w:space="0"/>
            </w:tcBorders>
          </w:tcPr>
          <w:p w14:paraId="4795A06F">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孵化器、加速器：企业产品总装、另部件外包生产</w:t>
            </w:r>
          </w:p>
        </w:tc>
      </w:tr>
      <w:tr w14:paraId="57016C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4" w:hRule="atLeast"/>
        </w:trPr>
        <w:tc>
          <w:tcPr>
            <w:tcW w:w="1242" w:type="dxa"/>
            <w:vMerge w:val="continue"/>
          </w:tcPr>
          <w:p w14:paraId="2B27A27D">
            <w:pPr>
              <w:pStyle w:val="4"/>
              <w:ind w:firstLine="0" w:firstLineChars="0"/>
              <w:rPr>
                <w:rFonts w:ascii="宋体" w:hAnsi="宋体" w:eastAsia="宋体"/>
                <w:color w:val="000000" w:themeColor="text1"/>
                <w:sz w:val="21"/>
                <w:szCs w:val="21"/>
                <w14:textFill>
                  <w14:solidFill>
                    <w14:schemeClr w14:val="tx1"/>
                  </w14:solidFill>
                </w14:textFill>
              </w:rPr>
            </w:pPr>
          </w:p>
        </w:tc>
        <w:tc>
          <w:tcPr>
            <w:tcW w:w="1590" w:type="dxa"/>
            <w:vMerge w:val="continue"/>
            <w:tcBorders>
              <w:right w:val="single" w:color="auto" w:sz="4" w:space="0"/>
            </w:tcBorders>
          </w:tcPr>
          <w:p w14:paraId="58C613A9">
            <w:pPr>
              <w:pStyle w:val="4"/>
              <w:ind w:firstLine="0" w:firstLineChars="0"/>
              <w:rPr>
                <w:rFonts w:ascii="宋体" w:hAnsi="宋体" w:eastAsia="宋体"/>
                <w:color w:val="000000" w:themeColor="text1"/>
                <w:sz w:val="21"/>
                <w:szCs w:val="21"/>
                <w14:textFill>
                  <w14:solidFill>
                    <w14:schemeClr w14:val="tx1"/>
                  </w14:solidFill>
                </w14:textFill>
              </w:rPr>
            </w:pPr>
          </w:p>
        </w:tc>
        <w:tc>
          <w:tcPr>
            <w:tcW w:w="5790" w:type="dxa"/>
            <w:gridSpan w:val="4"/>
            <w:tcBorders>
              <w:top w:val="single" w:color="auto" w:sz="4" w:space="0"/>
              <w:left w:val="single" w:color="auto" w:sz="4" w:space="0"/>
            </w:tcBorders>
          </w:tcPr>
          <w:p w14:paraId="2A4E888B">
            <w:pPr>
              <w:pStyle w:val="4"/>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加速器保留研发、决算，产品异地制造</w:t>
            </w:r>
          </w:p>
        </w:tc>
      </w:tr>
    </w:tbl>
    <w:p w14:paraId="71557C52">
      <w:pPr>
        <w:pStyle w:val="4"/>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从发展机遇与三井街道自身条件和资源匹配情况看，三井街道产业发展分为四个层次：一类是能成为主导产业或支柱产业需要加快重点发展产业，包括总部经济、商务服务、金融服务、科技服务、旅游、商业零售；二类是具有比较优势产业和过程产业，包括文化娱乐、体育健身、住宿餐饮、贸易、物流；三类是满足本地居民服务的家政型服务业，包括家庭孕妇护理、家庭婴幼儿护理、家庭老人护理、楼宇维修、居家装修和维修等；四类是需要加快产业升级、转型产业，主要指制造业，既要收敛产业发展广度，又要提高产业链发展高度。其中，对于总部经济、商务服务、金融服务、科技服务、旅游、市域性商业等产业，“十三五”期间三井街道必须通过有所作为，率先“抢位”，</w:t>
      </w:r>
      <w:r>
        <w:rPr>
          <w:rFonts w:hint="eastAsia" w:ascii="宋体" w:hAnsi="宋体" w:eastAsia="宋体"/>
          <w:color w:val="000000" w:themeColor="text1"/>
          <w:szCs w:val="28"/>
          <w14:textFill>
            <w14:solidFill>
              <w14:schemeClr w14:val="tx1"/>
            </w14:solidFill>
          </w14:textFill>
        </w:rPr>
        <w:t>明确自己与众不同，并让市场或社会接受产业发展方向，从而主动向既定目标或模式发展；制造业作为三井街道优势产业，必须有选择地保留若干行业，通过扶持、提升，尽快提高产业辩识度，形成具有竞争优势产业集群。</w:t>
      </w:r>
    </w:p>
    <w:p w14:paraId="3927CC4F">
      <w:pPr>
        <w:pStyle w:val="4"/>
        <w:ind w:firstLine="0" w:firstLineChars="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 xml:space="preserve"> </w:t>
      </w:r>
    </w:p>
    <w:p w14:paraId="47E04D36">
      <w:pPr>
        <w:widowControl/>
        <w:spacing w:before="100" w:beforeAutospacing="1" w:after="375" w:line="360" w:lineRule="atLeast"/>
        <w:jc w:val="left"/>
        <w:rPr>
          <w:rFonts w:ascii="黑体" w:hAnsi="宋体" w:eastAsia="黑体" w:cs="宋体"/>
          <w:b/>
          <w:bCs/>
          <w:color w:val="000000" w:themeColor="text1"/>
          <w:kern w:val="0"/>
          <w:sz w:val="32"/>
          <w:szCs w:val="32"/>
          <w14:textFill>
            <w14:solidFill>
              <w14:schemeClr w14:val="tx1"/>
            </w14:solidFill>
          </w14:textFill>
        </w:rPr>
      </w:pPr>
      <w:r>
        <w:rPr>
          <w:rFonts w:hint="eastAsia" w:ascii="黑体" w:hAnsi="宋体" w:eastAsia="黑体" w:cs="宋体"/>
          <w:b/>
          <w:bCs/>
          <w:color w:val="000000" w:themeColor="text1"/>
          <w:kern w:val="0"/>
          <w:sz w:val="32"/>
          <w:szCs w:val="32"/>
          <w14:textFill>
            <w14:solidFill>
              <w14:schemeClr w14:val="tx1"/>
            </w14:solidFill>
          </w14:textFill>
        </w:rPr>
        <w:t>（三）形象定位</w:t>
      </w:r>
    </w:p>
    <w:p w14:paraId="1110FC07">
      <w:pPr>
        <w:widowControl/>
        <w:spacing w:before="100" w:beforeAutospacing="1" w:after="375" w:line="360" w:lineRule="atLeast"/>
        <w:jc w:val="left"/>
        <w:rPr>
          <w:rFonts w:ascii="Arial" w:hAnsi="Arial" w:cs="Arial"/>
          <w:color w:val="000000" w:themeColor="text1"/>
          <w:kern w:val="0"/>
          <w:sz w:val="28"/>
          <w:szCs w:val="28"/>
          <w14:textFill>
            <w14:solidFill>
              <w14:schemeClr w14:val="tx1"/>
            </w14:solidFill>
          </w14:textFill>
        </w:rPr>
      </w:pPr>
      <w:r>
        <w:rPr>
          <w:rFonts w:hint="eastAsia" w:ascii="宋体" w:hAnsi="宋体" w:cs="宋体"/>
          <w:bCs/>
          <w:color w:val="000000" w:themeColor="text1"/>
          <w:kern w:val="0"/>
          <w:sz w:val="28"/>
          <w:szCs w:val="28"/>
          <w14:textFill>
            <w14:solidFill>
              <w14:schemeClr w14:val="tx1"/>
            </w14:solidFill>
          </w14:textFill>
        </w:rPr>
        <w:t xml:space="preserve">     区域定位战略本质上就是走差异化道路，</w:t>
      </w:r>
      <w:r>
        <w:rPr>
          <w:rFonts w:ascii="Arial" w:hAnsi="Arial" w:cs="Arial"/>
          <w:color w:val="000000" w:themeColor="text1"/>
          <w:kern w:val="0"/>
          <w:sz w:val="28"/>
          <w:szCs w:val="28"/>
          <w14:textFill>
            <w14:solidFill>
              <w14:schemeClr w14:val="tx1"/>
            </w14:solidFill>
          </w14:textFill>
        </w:rPr>
        <w:t>强有力地塑造出与众不同的、给人印象鲜明的个性或形象，并把这种形象生动地传递给</w:t>
      </w:r>
      <w:r>
        <w:rPr>
          <w:rFonts w:hint="eastAsia" w:ascii="Arial" w:hAnsi="Arial" w:cs="Arial"/>
          <w:color w:val="000000" w:themeColor="text1"/>
          <w:kern w:val="0"/>
          <w:sz w:val="28"/>
          <w:szCs w:val="28"/>
          <w14:textFill>
            <w14:solidFill>
              <w14:schemeClr w14:val="tx1"/>
            </w14:solidFill>
          </w14:textFill>
        </w:rPr>
        <w:t>市场和社会。梳理各种资源，三井街道社会经济资源分为三类：一是为我所有又能为我所控资源，如国家级科技企业孵化器三晶信息技术孵化器、锦湖大厦、国家广告产业园三井基地；二是不为我所控但为我所在资源，如常州行政中心、常州文化体育中心（常州奥林匹克中心、常州大剧院）、常州规划馆；三是不为我所有但为我所用资源，如环球恐龙园、迪诺水镇、万达商业广场等。</w:t>
      </w:r>
    </w:p>
    <w:p w14:paraId="1C39BB3F">
      <w:pPr>
        <w:widowControl/>
        <w:spacing w:before="100" w:beforeAutospacing="1" w:after="375" w:line="360" w:lineRule="atLeast"/>
        <w:ind w:firstLine="560" w:firstLineChars="200"/>
        <w:jc w:val="left"/>
        <w:rPr>
          <w:rFonts w:ascii="Arial" w:hAnsi="Arial" w:cs="Arial"/>
          <w:color w:val="000000" w:themeColor="text1"/>
          <w:kern w:val="0"/>
          <w:sz w:val="28"/>
          <w:szCs w:val="28"/>
          <w14:textFill>
            <w14:solidFill>
              <w14:schemeClr w14:val="tx1"/>
            </w14:solidFill>
          </w14:textFill>
        </w:rPr>
      </w:pPr>
      <w:r>
        <w:rPr>
          <w:rFonts w:hint="eastAsia" w:ascii="Arial" w:hAnsi="Arial" w:cs="Arial"/>
          <w:color w:val="000000" w:themeColor="text1"/>
          <w:kern w:val="0"/>
          <w:sz w:val="28"/>
          <w:szCs w:val="28"/>
          <w14:textFill>
            <w14:solidFill>
              <w14:schemeClr w14:val="tx1"/>
            </w14:solidFill>
          </w14:textFill>
        </w:rPr>
        <w:t>对不同类型资源利用，首先要明确哪些资源是三井街道特有的，并且植入客户心里的；哪些资源是三井街道具有竞争优势，竞争对手短期难于超越的；哪些资源是三井街道具有比较优势，但还不为外界所知的；哪些资源三井街道虽有比较优势，但容易被竞争对手超越的；哪些资源三井街道不具有优势的。对三井街道各类资源比较分析，按照优势度排序，应该是常州行政中心（含常州文体中心）——环球恐龙园——万达商业广场——创意产业园（含广告产业园）——三晶孵化器；按照知名度排序，应该是环球恐龙园——常州行政中心(常州文体中心)——万达商业广场——创意产业园（含广告产业园）——三晶孵化器。</w:t>
      </w:r>
    </w:p>
    <w:p w14:paraId="7DE2BE55">
      <w:pPr>
        <w:widowControl/>
        <w:spacing w:before="100" w:beforeAutospacing="1" w:after="375" w:line="360" w:lineRule="atLeast"/>
        <w:ind w:firstLine="560" w:firstLineChars="200"/>
        <w:jc w:val="left"/>
        <w:rPr>
          <w:rFonts w:ascii="Arial" w:hAnsi="Arial" w:cs="Arial"/>
          <w:color w:val="000000" w:themeColor="text1"/>
          <w:kern w:val="0"/>
          <w:sz w:val="28"/>
          <w:szCs w:val="28"/>
          <w14:textFill>
            <w14:solidFill>
              <w14:schemeClr w14:val="tx1"/>
            </w14:solidFill>
          </w14:textFill>
        </w:rPr>
      </w:pPr>
      <w:r>
        <w:rPr>
          <w:rFonts w:hint="eastAsia" w:ascii="Arial" w:hAnsi="Arial" w:cs="Arial"/>
          <w:color w:val="000000" w:themeColor="text1"/>
          <w:kern w:val="0"/>
          <w:sz w:val="28"/>
          <w:szCs w:val="28"/>
          <w14:textFill>
            <w14:solidFill>
              <w14:schemeClr w14:val="tx1"/>
            </w14:solidFill>
          </w14:textFill>
        </w:rPr>
        <w:t>从三井街道形象定位看，三井街道没有很好形象定位：一是三井街道没有很好利用常州行政中心资源，借势发展，突出常州中心政务区定位；二是三晶信息技术孵化器形象定位不突出，国家级品牌没有利用好；三是环球恐龙园有非常好的形象，但与三井街道关联度不大，带动性不强；四是区域形象依靠产品、企业、产业三个维度体现，三井街道难于通过有效产品形象、企业形象、产业形象体现区域形象；四是三井街道不乏各种强势地理形象，但各种强势地理形象呈“碎片化”状态，缺乏整体包装。</w:t>
      </w:r>
    </w:p>
    <w:p w14:paraId="34CE4F76">
      <w:pPr>
        <w:spacing w:line="360" w:lineRule="auto"/>
        <w:ind w:firstLine="560" w:firstLineChars="200"/>
        <w:rPr>
          <w:rFonts w:ascii="Arial" w:hAnsi="Arial" w:cs="Arial"/>
          <w:color w:val="000000" w:themeColor="text1"/>
          <w:kern w:val="0"/>
          <w:sz w:val="28"/>
          <w:szCs w:val="28"/>
          <w14:textFill>
            <w14:solidFill>
              <w14:schemeClr w14:val="tx1"/>
            </w14:solidFill>
          </w14:textFill>
        </w:rPr>
      </w:pPr>
      <w:r>
        <w:rPr>
          <w:rFonts w:hint="eastAsia" w:ascii="Arial" w:hAnsi="Arial" w:cs="Arial"/>
          <w:color w:val="000000" w:themeColor="text1"/>
          <w:kern w:val="0"/>
          <w:sz w:val="28"/>
          <w:szCs w:val="28"/>
          <w14:textFill>
            <w14:solidFill>
              <w14:schemeClr w14:val="tx1"/>
            </w14:solidFill>
          </w14:textFill>
        </w:rPr>
        <w:t>三井街道如何形象定位？一是借势定位、关联定位，借助常州行政中心资源，对外宣传突出常州行政中心区位，塑造常州政务区形象，由此打造总部经济；二是把企业品牌、产品品牌与区域形象结合起来，尤其要把环球恐龙园与三井街道形象结合起来，强化创意旅游区概念；三是强化三晶信息技术孵化器形象宣传，以优质服务塑造品牌效应，以成功案例强化品牌优势。总之，三井街道在形象定位上要突出“政务商务的三井、创意创新的三井、科技产业的三井”，并通过引进项目带动产业发展，依靠产业发展提升三井形象。</w:t>
      </w:r>
    </w:p>
    <w:p w14:paraId="0C25C065">
      <w:pPr>
        <w:widowControl/>
        <w:jc w:val="left"/>
        <w:rPr>
          <w:rFonts w:ascii="Arial" w:hAnsi="Arial" w:cs="Arial"/>
          <w:color w:val="000000" w:themeColor="text1"/>
          <w:kern w:val="0"/>
          <w:sz w:val="28"/>
          <w:szCs w:val="28"/>
          <w14:textFill>
            <w14:solidFill>
              <w14:schemeClr w14:val="tx1"/>
            </w14:solidFill>
          </w14:textFill>
        </w:rPr>
      </w:pPr>
      <w:r>
        <w:rPr>
          <w:rFonts w:ascii="Arial" w:hAnsi="Arial" w:cs="Arial"/>
          <w:color w:val="000000" w:themeColor="text1"/>
          <w:kern w:val="0"/>
          <w:sz w:val="28"/>
          <w:szCs w:val="28"/>
          <w14:textFill>
            <w14:solidFill>
              <w14:schemeClr w14:val="tx1"/>
            </w14:solidFill>
          </w14:textFill>
        </w:rPr>
        <w:br w:type="page"/>
      </w:r>
    </w:p>
    <w:p w14:paraId="4AAC2778">
      <w:pPr>
        <w:spacing w:line="360" w:lineRule="auto"/>
        <w:rPr>
          <w:rFonts w:ascii="宋体" w:hAnsi="宋体"/>
          <w:b/>
          <w:color w:val="000000" w:themeColor="text1"/>
          <w:sz w:val="72"/>
          <w:szCs w:val="72"/>
          <w14:textFill>
            <w14:solidFill>
              <w14:schemeClr w14:val="tx1"/>
            </w14:solidFill>
          </w14:textFill>
        </w:rPr>
      </w:pPr>
    </w:p>
    <w:p w14:paraId="55DE347D">
      <w:pPr>
        <w:spacing w:line="360" w:lineRule="auto"/>
        <w:ind w:firstLine="221" w:firstLineChars="50"/>
        <w:rPr>
          <w:rFonts w:ascii="黑体" w:hAnsi="宋体" w:eastAsia="黑体"/>
          <w:b/>
          <w:color w:val="000000" w:themeColor="text1"/>
          <w:sz w:val="44"/>
          <w:szCs w:val="44"/>
          <w14:textFill>
            <w14:solidFill>
              <w14:schemeClr w14:val="tx1"/>
            </w14:solidFill>
          </w14:textFill>
        </w:rPr>
      </w:pPr>
      <w:r>
        <w:rPr>
          <w:rFonts w:hint="eastAsia" w:ascii="黑体" w:hAnsi="宋体" w:eastAsia="黑体"/>
          <w:b/>
          <w:color w:val="000000" w:themeColor="text1"/>
          <w:sz w:val="44"/>
          <w:szCs w:val="44"/>
          <w14:textFill>
            <w14:solidFill>
              <w14:schemeClr w14:val="tx1"/>
            </w14:solidFill>
          </w14:textFill>
        </w:rPr>
        <w:t>四、“十三五”规划发展思路与发展目标</w:t>
      </w:r>
    </w:p>
    <w:p w14:paraId="33A110AF">
      <w:pPr>
        <w:spacing w:line="360" w:lineRule="auto"/>
        <w:rPr>
          <w:rFonts w:ascii="黑体" w:hAnsi="宋体" w:eastAsia="黑体"/>
          <w:b/>
          <w:color w:val="000000" w:themeColor="text1"/>
          <w:sz w:val="44"/>
          <w:szCs w:val="44"/>
          <w14:textFill>
            <w14:solidFill>
              <w14:schemeClr w14:val="tx1"/>
            </w14:solidFill>
          </w14:textFill>
        </w:rPr>
      </w:pPr>
      <w:r>
        <w:rPr>
          <w:rFonts w:hint="eastAsia" w:ascii="黑体" w:hAnsi="宋体" w:eastAsia="黑体"/>
          <w:b/>
          <w:color w:val="000000" w:themeColor="text1"/>
          <w:sz w:val="44"/>
          <w:szCs w:val="44"/>
          <w14:textFill>
            <w14:solidFill>
              <w14:schemeClr w14:val="tx1"/>
            </w14:solidFill>
          </w14:textFill>
        </w:rPr>
        <w:t xml:space="preserve">  </w:t>
      </w:r>
    </w:p>
    <w:p w14:paraId="38DB265E">
      <w:pPr>
        <w:spacing w:line="360" w:lineRule="auto"/>
        <w:ind w:firstLine="420" w:firstLineChars="15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对未来发展目标和社会经济指标研究，通常采用“趋势外推法”，即用过去推测未来，但这种方法通常在相同发展阶段或增长动力机制没有发生重大变化情况下有效。在大格局变化情况下或在社会经济发展出现“拐点”情况下，对“十三五”期间三井街道发展目标和社会经济指标进行预测，在方法论上就遇到大的挑战，但规划又必须要有明确目标和指标，这就需要对三井街道发展阶段和新的经济增长点要有清晰和清醒认识，然后在这基础上再作出社会经济发展谨慎预测。</w:t>
      </w:r>
    </w:p>
    <w:p w14:paraId="33009BF7">
      <w:pPr>
        <w:spacing w:line="360" w:lineRule="auto"/>
        <w:rPr>
          <w:rFonts w:ascii="宋体" w:hAnsi="宋体"/>
          <w:color w:val="000000" w:themeColor="text1"/>
          <w:sz w:val="28"/>
          <w:szCs w:val="28"/>
          <w14:textFill>
            <w14:solidFill>
              <w14:schemeClr w14:val="tx1"/>
            </w14:solidFill>
          </w14:textFill>
        </w:rPr>
      </w:pPr>
    </w:p>
    <w:p w14:paraId="301EFB6F">
      <w:pPr>
        <w:spacing w:line="360" w:lineRule="auto"/>
        <w:rPr>
          <w:rFonts w:ascii="黑体" w:hAnsi="宋体" w:eastAsia="黑体"/>
          <w:b/>
          <w:color w:val="000000" w:themeColor="text1"/>
          <w:sz w:val="32"/>
          <w:szCs w:val="32"/>
          <w14:textFill>
            <w14:solidFill>
              <w14:schemeClr w14:val="tx1"/>
            </w14:solidFill>
          </w14:textFill>
        </w:rPr>
      </w:pPr>
      <w:r>
        <w:rPr>
          <w:rFonts w:hint="eastAsia" w:ascii="黑体" w:hAnsi="宋体" w:eastAsia="黑体"/>
          <w:b/>
          <w:color w:val="000000" w:themeColor="text1"/>
          <w:sz w:val="32"/>
          <w:szCs w:val="32"/>
          <w14:textFill>
            <w14:solidFill>
              <w14:schemeClr w14:val="tx1"/>
            </w14:solidFill>
          </w14:textFill>
        </w:rPr>
        <w:t>（</w:t>
      </w:r>
      <w:r>
        <w:rPr>
          <w:rFonts w:hint="eastAsia" w:ascii="黑体" w:eastAsia="黑体"/>
          <w:b/>
          <w:sz w:val="32"/>
          <w:szCs w:val="32"/>
        </w:rPr>
        <w:t>一）指导思想</w:t>
      </w:r>
    </w:p>
    <w:p w14:paraId="55CF742B">
      <w:pPr>
        <w:widowControl/>
        <w:shd w:val="clear" w:color="auto" w:fill="FFFFFF"/>
        <w:spacing w:line="360" w:lineRule="atLeast"/>
        <w:ind w:firstLine="560"/>
        <w:jc w:val="left"/>
        <w:rPr>
          <w:rFonts w:asciiTheme="minorEastAsia" w:hAnsiTheme="minorEastAsia" w:eastAsiaTheme="minorEastAsia"/>
          <w:sz w:val="28"/>
          <w:szCs w:val="28"/>
        </w:rPr>
      </w:pPr>
      <w:r>
        <w:rPr>
          <w:rFonts w:hint="eastAsia" w:asciiTheme="minorEastAsia" w:hAnsiTheme="minorEastAsia" w:eastAsiaTheme="minorEastAsia"/>
          <w:sz w:val="28"/>
          <w:szCs w:val="28"/>
        </w:rPr>
        <w:t>坚持以邓小平理论、“三个代表”重要思想、科学发展观为指导，深入贯彻党的十八大、十八届三中、四中全会、五中全会精神及习近平总书记系列重要讲话精神，认真落实中央、省、市、区各项决策部署，积极适应新常态，紧紧围绕建设“经济强、百姓富、环境美、社会文明程度高”新常州的战略要求，</w:t>
      </w:r>
      <w:r>
        <w:rPr>
          <w:rFonts w:cs="Arial" w:asciiTheme="minorEastAsia" w:hAnsiTheme="minorEastAsia" w:eastAsiaTheme="minorEastAsia"/>
          <w:color w:val="333333"/>
          <w:kern w:val="0"/>
          <w:sz w:val="28"/>
          <w:szCs w:val="28"/>
        </w:rPr>
        <w:t>坚持全面建成小康社会、全面深化改革、全面依法治国、全面从严治党的战略布局，坚持发展是第一要务，以提高发展质量和效益为中心，</w:t>
      </w:r>
      <w:r>
        <w:rPr>
          <w:rFonts w:hint="eastAsia" w:asciiTheme="minorEastAsia" w:hAnsiTheme="minorEastAsia" w:eastAsiaTheme="minorEastAsia"/>
          <w:sz w:val="28"/>
          <w:szCs w:val="28"/>
        </w:rPr>
        <w:t>以创新发展、协调发展、绿色发展、开放发展、共享发展为主线，</w:t>
      </w:r>
      <w:r>
        <w:rPr>
          <w:rFonts w:cs="Arial" w:asciiTheme="minorEastAsia" w:hAnsiTheme="minorEastAsia" w:eastAsiaTheme="minorEastAsia"/>
          <w:color w:val="333333"/>
          <w:kern w:val="0"/>
          <w:sz w:val="28"/>
          <w:szCs w:val="28"/>
        </w:rPr>
        <w:t>加快形成引领经济发展新常态的体制机制和发展方式，保持战略定力，坚持稳中求进，统筹推进经济建设、政治建设、文化建设、社会建设、生态文明建设和党的建设，</w:t>
      </w:r>
      <w:r>
        <w:rPr>
          <w:rFonts w:hint="eastAsia" w:asciiTheme="minorEastAsia" w:hAnsiTheme="minorEastAsia" w:eastAsiaTheme="minorEastAsia"/>
          <w:sz w:val="28"/>
          <w:szCs w:val="28"/>
        </w:rPr>
        <w:t>以增进民生福祉为宗旨，在更高层次上实现三井街道经济、社会、生态、民生协调发展。</w:t>
      </w:r>
    </w:p>
    <w:p w14:paraId="26016CA4">
      <w:pPr>
        <w:spacing w:line="580" w:lineRule="exact"/>
      </w:pPr>
    </w:p>
    <w:p w14:paraId="3302AC99">
      <w:pPr>
        <w:spacing w:line="580" w:lineRule="exact"/>
        <w:rPr>
          <w:rFonts w:ascii="黑体" w:eastAsia="黑体"/>
          <w:b/>
          <w:sz w:val="32"/>
          <w:szCs w:val="32"/>
        </w:rPr>
      </w:pPr>
      <w:r>
        <w:rPr>
          <w:rFonts w:hint="eastAsia" w:ascii="黑体" w:eastAsia="黑体"/>
          <w:b/>
          <w:sz w:val="32"/>
          <w:szCs w:val="32"/>
        </w:rPr>
        <w:t>（二）发展思路</w:t>
      </w:r>
    </w:p>
    <w:p w14:paraId="4A73F2E2">
      <w:pPr>
        <w:spacing w:line="480" w:lineRule="auto"/>
        <w:ind w:firstLine="560"/>
        <w:rPr>
          <w:rFonts w:asciiTheme="minorEastAsia" w:hAnsiTheme="minorEastAsia" w:eastAsiaTheme="minorEastAsia"/>
          <w:color w:val="000000" w:themeColor="text1"/>
          <w:sz w:val="28"/>
          <w:szCs w:val="28"/>
          <w14:textFill>
            <w14:solidFill>
              <w14:schemeClr w14:val="tx1"/>
            </w14:solidFill>
          </w14:textFill>
        </w:rPr>
      </w:pPr>
      <w:r>
        <w:rPr>
          <w:rFonts w:hint="eastAsia" w:asciiTheme="minorEastAsia" w:hAnsiTheme="minorEastAsia" w:eastAsiaTheme="minorEastAsia"/>
          <w:color w:val="000000" w:themeColor="text1"/>
          <w:sz w:val="28"/>
          <w:szCs w:val="28"/>
          <w14:textFill>
            <w14:solidFill>
              <w14:schemeClr w14:val="tx1"/>
            </w14:solidFill>
          </w14:textFill>
        </w:rPr>
        <w:t>“十三五”期间，三井街道要按照2020年苏南基本现代化和建成国家自主创新示范区要求，推进社会经济各项事业发展。</w:t>
      </w:r>
    </w:p>
    <w:p w14:paraId="44A74188">
      <w:pPr>
        <w:spacing w:line="480" w:lineRule="auto"/>
        <w:rPr>
          <w:rFonts w:ascii="黑体" w:hAnsi="宋体" w:eastAsia="黑体" w:cs="方正仿宋简体"/>
          <w:b/>
          <w:color w:val="000000" w:themeColor="text1"/>
          <w:sz w:val="28"/>
          <w:szCs w:val="28"/>
          <w14:textFill>
            <w14:solidFill>
              <w14:schemeClr w14:val="tx1"/>
            </w14:solidFill>
          </w14:textFill>
        </w:rPr>
      </w:pPr>
      <w:r>
        <w:rPr>
          <w:rFonts w:hint="eastAsia" w:ascii="黑体" w:hAnsi="宋体" w:eastAsia="黑体" w:cs="方正仿宋简体"/>
          <w:b/>
          <w:color w:val="000000" w:themeColor="text1"/>
          <w:sz w:val="28"/>
          <w:szCs w:val="28"/>
          <w14:textFill>
            <w14:solidFill>
              <w14:schemeClr w14:val="tx1"/>
            </w14:solidFill>
          </w14:textFill>
        </w:rPr>
        <w:t>1.产业升级、经济转型</w:t>
      </w:r>
    </w:p>
    <w:p w14:paraId="442D5041">
      <w:pPr>
        <w:spacing w:line="480" w:lineRule="auto"/>
        <w:ind w:firstLine="560"/>
        <w:rPr>
          <w:rFonts w:cs="方正仿宋简体" w:asciiTheme="minorEastAsia" w:hAnsiTheme="minorEastAsia" w:eastAsiaTheme="minorEastAsia"/>
          <w:color w:val="000000" w:themeColor="text1"/>
          <w:sz w:val="28"/>
          <w:szCs w:val="28"/>
          <w14:textFill>
            <w14:solidFill>
              <w14:schemeClr w14:val="tx1"/>
            </w14:solidFill>
          </w14:textFill>
        </w:rPr>
      </w:pPr>
      <w:r>
        <w:rPr>
          <w:rFonts w:hint="eastAsia" w:cs="方正仿宋简体" w:asciiTheme="minorEastAsia" w:hAnsiTheme="minorEastAsia" w:eastAsiaTheme="minorEastAsia"/>
          <w:color w:val="000000" w:themeColor="text1"/>
          <w:sz w:val="28"/>
          <w:szCs w:val="28"/>
          <w14:textFill>
            <w14:solidFill>
              <w14:schemeClr w14:val="tx1"/>
            </w14:solidFill>
          </w14:textFill>
        </w:rPr>
        <w:t>2020年三井街道产业升级、经济转型具体目标：一是提高土地利用效率，推动三井工业园工业企业向机电一体化、电子信息等新兴发展，由产业链微笑曲线</w:t>
      </w:r>
      <w:r>
        <w:rPr>
          <w:rStyle w:val="14"/>
          <w:rFonts w:cs="方正仿宋简体" w:asciiTheme="minorEastAsia" w:hAnsiTheme="minorEastAsia" w:eastAsiaTheme="minorEastAsia"/>
          <w:color w:val="000000" w:themeColor="text1"/>
          <w:sz w:val="28"/>
          <w:szCs w:val="28"/>
          <w14:textFill>
            <w14:solidFill>
              <w14:schemeClr w14:val="tx1"/>
            </w14:solidFill>
          </w14:textFill>
        </w:rPr>
        <w:footnoteReference w:id="12"/>
      </w:r>
      <w:r>
        <w:rPr>
          <w:rFonts w:hint="eastAsia" w:cs="方正仿宋简体" w:asciiTheme="minorEastAsia" w:hAnsiTheme="minorEastAsia" w:eastAsiaTheme="minorEastAsia"/>
          <w:color w:val="000000" w:themeColor="text1"/>
          <w:sz w:val="28"/>
          <w:szCs w:val="28"/>
          <w14:textFill>
            <w14:solidFill>
              <w14:schemeClr w14:val="tx1"/>
            </w14:solidFill>
          </w14:textFill>
        </w:rPr>
        <w:t>制造环节向研发、设计方向发展，推进工业企业朝智能化、集聚化、高端化、特色化方向发展；二是以通江路、太湖路、晋陵路多栋商务楼宇建设和投入使用为契机，围绕常州中心政务区功能定位，加快总部经济和商务服务业发展；三是完善科技企业创新创业链建设，培育和创建江苏省产业技术研究院专业研究所，完善三晶信息技术孵化器、海博生物医疗器械科技园、创意产业园、广告产业园（含三井基地）服务功能，大力发展智慧产业（创意创新产业），围绕主要产业和发展方向，建立。通过“传统产业高端化、生产型制造业服务化、创意创新产业规模化、服务业现代化”，实现三井街道经济快速发展。</w:t>
      </w:r>
    </w:p>
    <w:p w14:paraId="13905C02">
      <w:pPr>
        <w:spacing w:line="480" w:lineRule="auto"/>
        <w:rPr>
          <w:rFonts w:ascii="黑体" w:hAnsi="宋体" w:eastAsia="黑体" w:cs="方正仿宋简体"/>
          <w:b/>
          <w:color w:val="000000" w:themeColor="text1"/>
          <w:sz w:val="28"/>
          <w:szCs w:val="28"/>
          <w14:textFill>
            <w14:solidFill>
              <w14:schemeClr w14:val="tx1"/>
            </w14:solidFill>
          </w14:textFill>
        </w:rPr>
      </w:pPr>
      <w:r>
        <w:rPr>
          <w:rFonts w:hint="eastAsia" w:ascii="黑体" w:hAnsi="宋体" w:eastAsia="黑体" w:cs="方正仿宋简体"/>
          <w:b/>
          <w:color w:val="000000" w:themeColor="text1"/>
          <w:sz w:val="28"/>
          <w:szCs w:val="28"/>
          <w14:textFill>
            <w14:solidFill>
              <w14:schemeClr w14:val="tx1"/>
            </w14:solidFill>
          </w14:textFill>
        </w:rPr>
        <w:t>2．人口集聚、服务功能完善</w:t>
      </w:r>
    </w:p>
    <w:p w14:paraId="3A5E1F1E">
      <w:pPr>
        <w:spacing w:line="480" w:lineRule="auto"/>
        <w:ind w:firstLine="560"/>
        <w:rPr>
          <w:rFonts w:cs="方正仿宋简体" w:asciiTheme="minorEastAsia" w:hAnsiTheme="minorEastAsia" w:eastAsiaTheme="minorEastAsia"/>
          <w:color w:val="000000" w:themeColor="text1"/>
          <w:sz w:val="28"/>
          <w:szCs w:val="28"/>
          <w14:textFill>
            <w14:solidFill>
              <w14:schemeClr w14:val="tx1"/>
            </w14:solidFill>
          </w14:textFill>
        </w:rPr>
      </w:pPr>
      <w:r>
        <w:rPr>
          <w:rFonts w:hint="eastAsia" w:cs="方正仿宋简体" w:asciiTheme="minorEastAsia" w:hAnsiTheme="minorEastAsia" w:eastAsiaTheme="minorEastAsia"/>
          <w:color w:val="000000" w:themeColor="text1"/>
          <w:sz w:val="28"/>
          <w:szCs w:val="28"/>
          <w14:textFill>
            <w14:solidFill>
              <w14:schemeClr w14:val="tx1"/>
            </w14:solidFill>
          </w14:textFill>
        </w:rPr>
        <w:t>2020年三井街道人口和社会发展目标：常住人口达到17万人以上（按照每平方公里1万人计算，三井街道常住人口可达17万人；按照实际房地产商开发小区户数计算，三井街道常住人口可达20万人以上）；另外，城区、社区综合服务设施覆盖率达到100%，实现子女上园和入学、医疗、基本养老、文体娱乐等基本公共服务均等化、便民化和高水平社会保障全覆盖，居民生活更有尊严、更加幸福。</w:t>
      </w:r>
    </w:p>
    <w:p w14:paraId="3B98400D">
      <w:pPr>
        <w:spacing w:line="480" w:lineRule="auto"/>
        <w:rPr>
          <w:rFonts w:ascii="黑体" w:hAnsi="宋体" w:eastAsia="黑体" w:cs="方正仿宋简体"/>
          <w:b/>
          <w:color w:val="000000" w:themeColor="text1"/>
          <w:sz w:val="28"/>
          <w:szCs w:val="28"/>
          <w14:textFill>
            <w14:solidFill>
              <w14:schemeClr w14:val="tx1"/>
            </w14:solidFill>
          </w14:textFill>
        </w:rPr>
      </w:pPr>
      <w:r>
        <w:rPr>
          <w:rFonts w:hint="eastAsia" w:ascii="黑体" w:hAnsi="宋体" w:eastAsia="黑体" w:cs="方正仿宋简体"/>
          <w:b/>
          <w:color w:val="000000" w:themeColor="text1"/>
          <w:sz w:val="28"/>
          <w:szCs w:val="28"/>
          <w14:textFill>
            <w14:solidFill>
              <w14:schemeClr w14:val="tx1"/>
            </w14:solidFill>
          </w14:textFill>
        </w:rPr>
        <w:t>3.空间配置均衡协调</w:t>
      </w:r>
    </w:p>
    <w:p w14:paraId="4B68D48E">
      <w:pPr>
        <w:spacing w:line="480" w:lineRule="auto"/>
        <w:ind w:firstLine="560"/>
        <w:rPr>
          <w:rFonts w:cs="方正仿宋简体" w:asciiTheme="minorEastAsia" w:hAnsiTheme="minorEastAsia" w:eastAsiaTheme="minorEastAsia"/>
          <w:color w:val="000000" w:themeColor="text1"/>
          <w:sz w:val="28"/>
          <w:szCs w:val="28"/>
          <w14:textFill>
            <w14:solidFill>
              <w14:schemeClr w14:val="tx1"/>
            </w14:solidFill>
          </w14:textFill>
        </w:rPr>
      </w:pPr>
      <w:r>
        <w:rPr>
          <w:rFonts w:hint="eastAsia" w:cs="方正仿宋简体" w:asciiTheme="minorEastAsia" w:hAnsiTheme="minorEastAsia" w:eastAsiaTheme="minorEastAsia"/>
          <w:color w:val="000000" w:themeColor="text1"/>
          <w:sz w:val="28"/>
          <w:szCs w:val="28"/>
          <w14:textFill>
            <w14:solidFill>
              <w14:schemeClr w14:val="tx1"/>
            </w14:solidFill>
          </w14:textFill>
        </w:rPr>
        <w:t>2020年三井街道空间优化目标：大力优化城区总体布局和职能分工，加快城市有机更新和产业有序更替，空间集聚集约水平明显提升。2020年三井街道每平方公里实际居住人口达到1万人以上、产出达到14亿元以上、财政贡献达到2.8亿元以上。</w:t>
      </w:r>
    </w:p>
    <w:p w14:paraId="602E8069">
      <w:pPr>
        <w:spacing w:line="480" w:lineRule="auto"/>
        <w:rPr>
          <w:rFonts w:ascii="黑体" w:hAnsi="宋体" w:eastAsia="黑体" w:cs="方正仿宋简体"/>
          <w:b/>
          <w:color w:val="000000" w:themeColor="text1"/>
          <w:sz w:val="28"/>
          <w:szCs w:val="28"/>
          <w14:textFill>
            <w14:solidFill>
              <w14:schemeClr w14:val="tx1"/>
            </w14:solidFill>
          </w14:textFill>
        </w:rPr>
      </w:pPr>
      <w:r>
        <w:rPr>
          <w:rFonts w:hint="eastAsia" w:ascii="黑体" w:hAnsi="宋体" w:eastAsia="黑体" w:cs="方正仿宋简体"/>
          <w:b/>
          <w:color w:val="000000" w:themeColor="text1"/>
          <w:sz w:val="28"/>
          <w:szCs w:val="28"/>
          <w14:textFill>
            <w14:solidFill>
              <w14:schemeClr w14:val="tx1"/>
            </w14:solidFill>
          </w14:textFill>
        </w:rPr>
        <w:t>4.多样化产城融合路径基本形成</w:t>
      </w:r>
    </w:p>
    <w:p w14:paraId="118F8C4A">
      <w:pPr>
        <w:spacing w:line="480" w:lineRule="auto"/>
        <w:ind w:firstLine="560"/>
        <w:rPr>
          <w:rFonts w:cs="方正仿宋简体" w:asciiTheme="minorEastAsia" w:hAnsiTheme="minorEastAsia" w:eastAsiaTheme="minorEastAsia"/>
          <w:color w:val="000000" w:themeColor="text1"/>
          <w:sz w:val="28"/>
          <w:szCs w:val="28"/>
          <w14:textFill>
            <w14:solidFill>
              <w14:schemeClr w14:val="tx1"/>
            </w14:solidFill>
          </w14:textFill>
        </w:rPr>
      </w:pPr>
      <w:r>
        <w:rPr>
          <w:rFonts w:hint="eastAsia" w:cs="方正仿宋简体" w:asciiTheme="minorEastAsia" w:hAnsiTheme="minorEastAsia" w:eastAsiaTheme="minorEastAsia"/>
          <w:color w:val="000000" w:themeColor="text1"/>
          <w:sz w:val="28"/>
          <w:szCs w:val="28"/>
          <w14:textFill>
            <w14:solidFill>
              <w14:schemeClr w14:val="tx1"/>
            </w14:solidFill>
          </w14:textFill>
        </w:rPr>
        <w:t>2020年三井街道产城融合发展目标：2020年三井工业园、三晶信息技术孵化器、海博生物医疗器械科技园、创意产业园、广告产业园（含三井基地）以及太湖路、龙锦路等不同类型区域做到因地制宜、各具特色、可持续发展，从而达到三井街道常住人口“就业有岗位、创业有机会、发展有空间、创新有平台”目的，真正实现产城高度融合发展目标。</w:t>
      </w:r>
    </w:p>
    <w:p w14:paraId="271D8653">
      <w:pPr>
        <w:spacing w:line="480" w:lineRule="auto"/>
        <w:rPr>
          <w:rFonts w:ascii="黑体" w:hAnsi="宋体" w:eastAsia="黑体" w:cs="方正仿宋简体"/>
          <w:b/>
          <w:color w:val="000000" w:themeColor="text1"/>
          <w:sz w:val="28"/>
          <w:szCs w:val="28"/>
          <w14:textFill>
            <w14:solidFill>
              <w14:schemeClr w14:val="tx1"/>
            </w14:solidFill>
          </w14:textFill>
        </w:rPr>
      </w:pPr>
      <w:r>
        <w:rPr>
          <w:rFonts w:hint="eastAsia" w:ascii="黑体" w:hAnsi="宋体" w:eastAsia="黑体" w:cs="方正仿宋简体"/>
          <w:b/>
          <w:color w:val="000000" w:themeColor="text1"/>
          <w:sz w:val="28"/>
          <w:szCs w:val="28"/>
          <w14:textFill>
            <w14:solidFill>
              <w14:schemeClr w14:val="tx1"/>
            </w14:solidFill>
          </w14:textFill>
        </w:rPr>
        <w:t>5.产城融合体制机制</w:t>
      </w:r>
    </w:p>
    <w:p w14:paraId="0107CD12">
      <w:pPr>
        <w:spacing w:line="360" w:lineRule="auto"/>
        <w:ind w:firstLine="560" w:firstLineChars="200"/>
        <w:rPr>
          <w:rFonts w:cs="方正仿宋简体" w:asciiTheme="minorEastAsia" w:hAnsiTheme="minorEastAsia" w:eastAsiaTheme="minorEastAsia"/>
          <w:color w:val="000000" w:themeColor="text1"/>
          <w:sz w:val="28"/>
          <w:szCs w:val="28"/>
          <w14:textFill>
            <w14:solidFill>
              <w14:schemeClr w14:val="tx1"/>
            </w14:solidFill>
          </w14:textFill>
        </w:rPr>
      </w:pPr>
      <w:r>
        <w:rPr>
          <w:rFonts w:hint="eastAsia" w:cs="方正仿宋简体" w:asciiTheme="minorEastAsia" w:hAnsiTheme="minorEastAsia" w:eastAsiaTheme="minorEastAsia"/>
          <w:color w:val="000000" w:themeColor="text1"/>
          <w:sz w:val="28"/>
          <w:szCs w:val="28"/>
          <w14:textFill>
            <w14:solidFill>
              <w14:schemeClr w14:val="tx1"/>
            </w14:solidFill>
          </w14:textFill>
        </w:rPr>
        <w:t>2020年三井街道基本建立与新型城市化和产城融合发展相适应的发展规划、产业布局、功能区管制、土地利用、生态环境保护、投融资、市场决定资源配置、社区综合治理、社区考核评价等体制机制，并建立健全多元、多层公共服务供给制度，满足三井街道常住人口基本的教育、医疗、文化娱乐、体育健身、就业培训等需要。</w:t>
      </w:r>
    </w:p>
    <w:p w14:paraId="0B6039A3">
      <w:pPr>
        <w:spacing w:line="580" w:lineRule="exact"/>
        <w:rPr>
          <w:rFonts w:cs="方正仿宋简体" w:asciiTheme="minorEastAsia" w:hAnsiTheme="minorEastAsia" w:eastAsiaTheme="minorEastAsia"/>
          <w:color w:val="000000" w:themeColor="text1"/>
          <w:sz w:val="28"/>
          <w:szCs w:val="28"/>
          <w14:textFill>
            <w14:solidFill>
              <w14:schemeClr w14:val="tx1"/>
            </w14:solidFill>
          </w14:textFill>
        </w:rPr>
      </w:pPr>
    </w:p>
    <w:p w14:paraId="70705C6F">
      <w:pPr>
        <w:spacing w:line="360" w:lineRule="auto"/>
        <w:rPr>
          <w:rFonts w:asciiTheme="minorEastAsia" w:hAnsiTheme="minorEastAsia" w:eastAsiaTheme="minorEastAsia"/>
          <w:bCs/>
          <w:color w:val="000000" w:themeColor="text1"/>
          <w:sz w:val="32"/>
          <w:szCs w:val="32"/>
          <w14:textFill>
            <w14:solidFill>
              <w14:schemeClr w14:val="tx1"/>
            </w14:solidFill>
          </w14:textFill>
        </w:rPr>
      </w:pPr>
      <w:r>
        <w:rPr>
          <w:rFonts w:hint="eastAsia" w:ascii="黑体" w:hAnsi="宋体" w:eastAsia="黑体" w:cs="方正仿宋简体"/>
          <w:b/>
          <w:color w:val="000000" w:themeColor="text1"/>
          <w:sz w:val="32"/>
          <w:szCs w:val="32"/>
          <w14:textFill>
            <w14:solidFill>
              <w14:schemeClr w14:val="tx1"/>
            </w14:solidFill>
          </w14:textFill>
        </w:rPr>
        <w:t>（三）</w:t>
      </w:r>
      <w:r>
        <w:rPr>
          <w:rFonts w:hint="eastAsia" w:ascii="黑体" w:hAnsi="宋体" w:eastAsia="黑体"/>
          <w:b/>
          <w:color w:val="000000" w:themeColor="text1"/>
          <w:sz w:val="32"/>
          <w:szCs w:val="32"/>
          <w14:textFill>
            <w14:solidFill>
              <w14:schemeClr w14:val="tx1"/>
            </w14:solidFill>
          </w14:textFill>
        </w:rPr>
        <w:t>发展目标</w:t>
      </w:r>
    </w:p>
    <w:p w14:paraId="4A813938">
      <w:pPr>
        <w:pStyle w:val="4"/>
        <w:spacing w:line="360" w:lineRule="auto"/>
        <w:jc w:val="both"/>
        <w:rPr>
          <w:rFonts w:ascii="宋体" w:hAnsi="宋体" w:eastAsia="宋体"/>
          <w:bCs/>
          <w:color w:val="000000"/>
          <w:szCs w:val="28"/>
        </w:rPr>
      </w:pPr>
      <w:r>
        <w:rPr>
          <w:rFonts w:hint="eastAsia" w:cs="方正仿宋简体" w:asciiTheme="minorEastAsia" w:hAnsiTheme="minorEastAsia" w:eastAsiaTheme="minorEastAsia"/>
          <w:color w:val="000000" w:themeColor="text1"/>
          <w:szCs w:val="28"/>
          <w14:textFill>
            <w14:solidFill>
              <w14:schemeClr w14:val="tx1"/>
            </w14:solidFill>
          </w14:textFill>
        </w:rPr>
        <w:t>2020年三井街道总体发展目标：基本建成具有</w:t>
      </w:r>
      <w:r>
        <w:rPr>
          <w:rFonts w:hint="eastAsia" w:ascii="宋体" w:hAnsi="宋体" w:eastAsia="宋体"/>
          <w:color w:val="000000"/>
        </w:rPr>
        <w:t>适应并引领新常态发展和长三角发展领先的常州中心政务区、中心商务区、创新创业区、创意旅游区、生态宜居区。</w:t>
      </w:r>
    </w:p>
    <w:p w14:paraId="24040B66">
      <w:pPr>
        <w:spacing w:line="480" w:lineRule="auto"/>
        <w:ind w:firstLine="560"/>
        <w:rPr>
          <w:rFonts w:asciiTheme="minorEastAsia" w:hAnsiTheme="minorEastAsia" w:eastAsiaTheme="minorEastAsia"/>
          <w:b/>
          <w:color w:val="000000" w:themeColor="text1"/>
          <w:sz w:val="28"/>
          <w:szCs w:val="28"/>
          <w14:textFill>
            <w14:solidFill>
              <w14:schemeClr w14:val="tx1"/>
            </w14:solidFill>
          </w14:textFill>
        </w:rPr>
      </w:pPr>
      <w:r>
        <w:rPr>
          <w:rFonts w:hint="eastAsia" w:asciiTheme="minorEastAsia" w:hAnsiTheme="minorEastAsia" w:eastAsiaTheme="minorEastAsia"/>
          <w:color w:val="000000" w:themeColor="text1"/>
          <w:sz w:val="28"/>
          <w:szCs w:val="28"/>
          <w14:textFill>
            <w14:solidFill>
              <w14:schemeClr w14:val="tx1"/>
            </w14:solidFill>
          </w14:textFill>
        </w:rPr>
        <w:t>中心政务区、中心商务区、创新创业区、创意旅游区。</w:t>
      </w:r>
    </w:p>
    <w:p w14:paraId="794467AB">
      <w:pPr>
        <w:spacing w:line="480" w:lineRule="auto"/>
        <w:ind w:firstLine="560"/>
        <w:rPr>
          <w:rFonts w:asciiTheme="minorEastAsia" w:hAnsiTheme="minorEastAsia" w:eastAsiaTheme="minorEastAsia"/>
          <w:color w:val="000000" w:themeColor="text1"/>
          <w:sz w:val="28"/>
          <w:szCs w:val="28"/>
          <w14:textFill>
            <w14:solidFill>
              <w14:schemeClr w14:val="tx1"/>
            </w14:solidFill>
          </w14:textFill>
        </w:rPr>
      </w:pPr>
      <w:r>
        <w:rPr>
          <w:rFonts w:hint="eastAsia" w:asciiTheme="minorEastAsia" w:hAnsiTheme="minorEastAsia" w:eastAsiaTheme="minorEastAsia"/>
          <w:color w:val="000000" w:themeColor="text1"/>
          <w:sz w:val="28"/>
          <w:szCs w:val="28"/>
          <w14:textFill>
            <w14:solidFill>
              <w14:schemeClr w14:val="tx1"/>
            </w14:solidFill>
          </w14:textFill>
        </w:rPr>
        <w:t>在经济发展方面，以“稳增长”为核心，依靠转型升级促进经济发展，保证年均经济总量（GDP</w:t>
      </w:r>
      <w:r>
        <w:rPr>
          <w:rFonts w:asciiTheme="minorEastAsia" w:hAnsiTheme="minorEastAsia" w:eastAsiaTheme="minorEastAsia"/>
          <w:color w:val="000000" w:themeColor="text1"/>
          <w:sz w:val="28"/>
          <w:szCs w:val="28"/>
          <w14:textFill>
            <w14:solidFill>
              <w14:schemeClr w14:val="tx1"/>
            </w14:solidFill>
          </w14:textFill>
        </w:rPr>
        <w:t>）</w:t>
      </w:r>
      <w:r>
        <w:rPr>
          <w:rFonts w:hint="eastAsia" w:asciiTheme="minorEastAsia" w:hAnsiTheme="minorEastAsia" w:eastAsiaTheme="minorEastAsia"/>
          <w:color w:val="000000" w:themeColor="text1"/>
          <w:sz w:val="28"/>
          <w:szCs w:val="28"/>
          <w14:textFill>
            <w14:solidFill>
              <w14:schemeClr w14:val="tx1"/>
            </w14:solidFill>
          </w14:textFill>
        </w:rPr>
        <w:t>、财政收入、一般预算收入等主要经济指标增长速度达到8%以上，2020年经济总量（GDP</w:t>
      </w:r>
      <w:r>
        <w:rPr>
          <w:rFonts w:asciiTheme="minorEastAsia" w:hAnsiTheme="minorEastAsia" w:eastAsiaTheme="minorEastAsia"/>
          <w:color w:val="000000" w:themeColor="text1"/>
          <w:sz w:val="28"/>
          <w:szCs w:val="28"/>
          <w14:textFill>
            <w14:solidFill>
              <w14:schemeClr w14:val="tx1"/>
            </w14:solidFill>
          </w14:textFill>
        </w:rPr>
        <w:t>）</w:t>
      </w:r>
      <w:r>
        <w:rPr>
          <w:rFonts w:hint="eastAsia" w:asciiTheme="minorEastAsia" w:hAnsiTheme="minorEastAsia" w:eastAsiaTheme="minorEastAsia"/>
          <w:color w:val="000000" w:themeColor="text1"/>
          <w:sz w:val="28"/>
          <w:szCs w:val="28"/>
          <w14:textFill>
            <w14:solidFill>
              <w14:schemeClr w14:val="tx1"/>
            </w14:solidFill>
          </w14:textFill>
        </w:rPr>
        <w:t>、财政收入、一般预算收入分别为240亿元、48亿元、24亿元以上；以加快现代服务业发展为核心，年均提升第三产业比重2个百分点以上，2020年第三产业比重达到70%以上。</w:t>
      </w:r>
    </w:p>
    <w:p w14:paraId="39CC052C">
      <w:pPr>
        <w:spacing w:line="480" w:lineRule="auto"/>
        <w:ind w:firstLine="560"/>
        <w:rPr>
          <w:rFonts w:asciiTheme="minorEastAsia" w:hAnsiTheme="minorEastAsia" w:eastAsiaTheme="minorEastAsia"/>
          <w:color w:val="000000" w:themeColor="text1"/>
          <w:sz w:val="28"/>
          <w:szCs w:val="28"/>
          <w14:textFill>
            <w14:solidFill>
              <w14:schemeClr w14:val="tx1"/>
            </w14:solidFill>
          </w14:textFill>
        </w:rPr>
      </w:pPr>
      <w:r>
        <w:rPr>
          <w:rFonts w:hint="eastAsia" w:asciiTheme="minorEastAsia" w:hAnsiTheme="minorEastAsia" w:eastAsiaTheme="minorEastAsia"/>
          <w:color w:val="000000" w:themeColor="text1"/>
          <w:sz w:val="28"/>
          <w:szCs w:val="28"/>
          <w14:textFill>
            <w14:solidFill>
              <w14:schemeClr w14:val="tx1"/>
            </w14:solidFill>
          </w14:textFill>
        </w:rPr>
        <w:t>在自主创新方面，建立江苏产业技术研究院专业研究所1家，新认定高新技术企业合计50家，新认定高新技术产品累计200个，申报发明专利累计2000项，引进国家“千人计划”人才合计30人，引进省“双创”项目合计40个，引进市“龙城英才计划”项目合计100个，2020年高新技术产业产值占规模以上工业产值比值60%以上。</w:t>
      </w:r>
    </w:p>
    <w:p w14:paraId="78ADC73A">
      <w:pPr>
        <w:spacing w:line="480" w:lineRule="auto"/>
        <w:ind w:firstLine="560"/>
        <w:rPr>
          <w:rFonts w:asciiTheme="minorEastAsia" w:hAnsiTheme="minorEastAsia" w:eastAsiaTheme="minorEastAsia"/>
          <w:color w:val="000000" w:themeColor="text1"/>
          <w:sz w:val="28"/>
          <w:szCs w:val="28"/>
          <w14:textFill>
            <w14:solidFill>
              <w14:schemeClr w14:val="tx1"/>
            </w14:solidFill>
          </w14:textFill>
        </w:rPr>
      </w:pPr>
      <w:r>
        <w:rPr>
          <w:rFonts w:hint="eastAsia" w:asciiTheme="minorEastAsia" w:hAnsiTheme="minorEastAsia" w:eastAsiaTheme="minorEastAsia"/>
          <w:color w:val="000000" w:themeColor="text1"/>
          <w:sz w:val="28"/>
          <w:szCs w:val="28"/>
          <w14:textFill>
            <w14:solidFill>
              <w14:schemeClr w14:val="tx1"/>
            </w14:solidFill>
          </w14:textFill>
        </w:rPr>
        <w:t>在社会发展方面，以满足常住居民和外来就业/创业人员基本公共需求为目标，加大公共财政民生支出，增加公立幼儿园、小学、中学数量，满足常住人口和在三井街道就业、创业一定年限以上者子女就近入园、上学需求，以服务优化管理，提升城区、社区公共管理水平；建立健全与人口分布相匹配的社区医疗服务体系、户外健身服务体系、居家养老服务体系、文化活动服务体系；建立健全慢行路网，满足居民步行健身需要。</w:t>
      </w:r>
    </w:p>
    <w:p w14:paraId="7FC71E38">
      <w:pPr>
        <w:spacing w:line="480" w:lineRule="auto"/>
        <w:ind w:firstLine="560"/>
        <w:rPr>
          <w:rFonts w:asciiTheme="minorEastAsia" w:hAnsiTheme="minorEastAsia" w:eastAsiaTheme="minorEastAsia"/>
          <w:color w:val="000000" w:themeColor="text1"/>
          <w:sz w:val="28"/>
          <w:szCs w:val="28"/>
          <w14:textFill>
            <w14:solidFill>
              <w14:schemeClr w14:val="tx1"/>
            </w14:solidFill>
          </w14:textFill>
        </w:rPr>
      </w:pPr>
      <w:r>
        <w:rPr>
          <w:rFonts w:hint="eastAsia" w:asciiTheme="minorEastAsia" w:hAnsiTheme="minorEastAsia" w:eastAsiaTheme="minorEastAsia"/>
          <w:color w:val="000000" w:themeColor="text1"/>
          <w:sz w:val="28"/>
          <w:szCs w:val="28"/>
          <w14:textFill>
            <w14:solidFill>
              <w14:schemeClr w14:val="tx1"/>
            </w14:solidFill>
          </w14:textFill>
        </w:rPr>
        <w:t>在生态环境建设方面，一方面，逐步建立生活污水和雨水分别处理系统，实现生活垃圾、工业垃圾处理全覆盖，工业废气、废水零排放；另一方面，以主题旅游公园（环球恐龙园）、市民广场公园、华山公园、飞龙公园为核心，以新老藻江河、北塘河、东支河、三井河及主要道路两侧为绿色廊道，构建并完善绿色生态网络体系。</w:t>
      </w:r>
    </w:p>
    <w:p w14:paraId="61B66596">
      <w:pPr>
        <w:widowControl/>
        <w:jc w:val="left"/>
        <w:rPr>
          <w:rFonts w:asciiTheme="minorEastAsia" w:hAnsiTheme="minorEastAsia" w:eastAsiaTheme="minorEastAsia"/>
          <w:color w:val="000000" w:themeColor="text1"/>
          <w:sz w:val="28"/>
          <w:szCs w:val="28"/>
          <w14:textFill>
            <w14:solidFill>
              <w14:schemeClr w14:val="tx1"/>
            </w14:solidFill>
          </w14:textFill>
        </w:rPr>
      </w:pPr>
      <w:r>
        <w:rPr>
          <w:rFonts w:asciiTheme="minorEastAsia" w:hAnsiTheme="minorEastAsia" w:eastAsiaTheme="minorEastAsia"/>
          <w:color w:val="000000" w:themeColor="text1"/>
          <w:sz w:val="28"/>
          <w:szCs w:val="28"/>
          <w14:textFill>
            <w14:solidFill>
              <w14:schemeClr w14:val="tx1"/>
            </w14:solidFill>
          </w14:textFill>
        </w:rPr>
        <w:br w:type="page"/>
      </w:r>
    </w:p>
    <w:p w14:paraId="33A3E5A2">
      <w:pPr>
        <w:spacing w:line="580" w:lineRule="exact"/>
        <w:ind w:firstLine="1446" w:firstLineChars="600"/>
        <w:rPr>
          <w:rFonts w:ascii="黑体" w:hAnsi="宋体" w:eastAsia="黑体"/>
          <w:b/>
          <w:color w:val="000000" w:themeColor="text1"/>
          <w:sz w:val="24"/>
          <w14:textFill>
            <w14:solidFill>
              <w14:schemeClr w14:val="tx1"/>
            </w14:solidFill>
          </w14:textFill>
        </w:rPr>
      </w:pPr>
      <w:r>
        <w:rPr>
          <w:rFonts w:hint="eastAsia" w:ascii="黑体" w:hAnsi="宋体" w:eastAsia="黑体"/>
          <w:b/>
          <w:color w:val="000000" w:themeColor="text1"/>
          <w:sz w:val="24"/>
          <w14:textFill>
            <w14:solidFill>
              <w14:schemeClr w14:val="tx1"/>
            </w14:solidFill>
          </w14:textFill>
        </w:rPr>
        <w:t>表7：2020年三井街道社会经济发展指标</w:t>
      </w:r>
    </w:p>
    <w:tbl>
      <w:tblPr>
        <w:tblStyle w:val="10"/>
        <w:tblW w:w="861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42"/>
        <w:gridCol w:w="1701"/>
        <w:gridCol w:w="1134"/>
        <w:gridCol w:w="993"/>
        <w:gridCol w:w="141"/>
        <w:gridCol w:w="142"/>
        <w:gridCol w:w="851"/>
        <w:gridCol w:w="141"/>
        <w:gridCol w:w="142"/>
        <w:gridCol w:w="842"/>
        <w:gridCol w:w="150"/>
        <w:gridCol w:w="142"/>
        <w:gridCol w:w="991"/>
      </w:tblGrid>
      <w:tr w14:paraId="550245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14:paraId="4941350A">
            <w:pPr>
              <w:spacing w:line="0" w:lineRule="atLeast"/>
              <w:ind w:firstLine="420"/>
              <w:rPr>
                <w:rFonts w:cs="方正仿宋简体" w:asciiTheme="minorEastAsia" w:hAnsiTheme="minorEastAsia" w:eastAsiaTheme="minorEastAsia"/>
                <w:color w:val="000000" w:themeColor="text1"/>
                <w:szCs w:val="21"/>
                <w14:textFill>
                  <w14:solidFill>
                    <w14:schemeClr w14:val="tx1"/>
                  </w14:solidFill>
                </w14:textFill>
              </w:rPr>
            </w:pPr>
            <w:r>
              <w:rPr>
                <w:rFonts w:hint="eastAsia" w:cs="方正仿宋简体" w:asciiTheme="minorEastAsia" w:hAnsiTheme="minorEastAsia" w:eastAsiaTheme="minorEastAsia"/>
                <w:color w:val="000000" w:themeColor="text1"/>
                <w:szCs w:val="21"/>
                <w14:textFill>
                  <w14:solidFill>
                    <w14:schemeClr w14:val="tx1"/>
                  </w14:solidFill>
                </w14:textFill>
              </w:rPr>
              <w:t>项目</w:t>
            </w:r>
          </w:p>
        </w:tc>
        <w:tc>
          <w:tcPr>
            <w:tcW w:w="1701" w:type="dxa"/>
          </w:tcPr>
          <w:p w14:paraId="2EC5EF19">
            <w:pPr>
              <w:spacing w:line="0" w:lineRule="atLeast"/>
              <w:ind w:firstLine="420"/>
              <w:rPr>
                <w:rFonts w:cs="方正仿宋简体" w:asciiTheme="minorEastAsia" w:hAnsiTheme="minorEastAsia" w:eastAsiaTheme="minorEastAsia"/>
                <w:color w:val="000000" w:themeColor="text1"/>
                <w:szCs w:val="21"/>
                <w14:textFill>
                  <w14:solidFill>
                    <w14:schemeClr w14:val="tx1"/>
                  </w14:solidFill>
                </w14:textFill>
              </w:rPr>
            </w:pPr>
            <w:r>
              <w:rPr>
                <w:rFonts w:hint="eastAsia" w:cs="方正仿宋简体" w:asciiTheme="minorEastAsia" w:hAnsiTheme="minorEastAsia" w:eastAsiaTheme="minorEastAsia"/>
                <w:color w:val="000000" w:themeColor="text1"/>
                <w:szCs w:val="21"/>
                <w14:textFill>
                  <w14:solidFill>
                    <w14:schemeClr w14:val="tx1"/>
                  </w14:solidFill>
                </w14:textFill>
              </w:rPr>
              <w:t>内容</w:t>
            </w:r>
          </w:p>
        </w:tc>
        <w:tc>
          <w:tcPr>
            <w:tcW w:w="5669" w:type="dxa"/>
            <w:gridSpan w:val="11"/>
          </w:tcPr>
          <w:p w14:paraId="76D81D7B">
            <w:pPr>
              <w:spacing w:line="0" w:lineRule="atLeast"/>
              <w:ind w:firstLine="420"/>
              <w:rPr>
                <w:rFonts w:cs="方正仿宋简体" w:asciiTheme="minorEastAsia" w:hAnsiTheme="minorEastAsia" w:eastAsiaTheme="minorEastAsia"/>
                <w:color w:val="000000" w:themeColor="text1"/>
                <w:szCs w:val="21"/>
                <w14:textFill>
                  <w14:solidFill>
                    <w14:schemeClr w14:val="tx1"/>
                  </w14:solidFill>
                </w14:textFill>
              </w:rPr>
            </w:pPr>
            <w:r>
              <w:rPr>
                <w:rFonts w:hint="eastAsia" w:cs="方正仿宋简体" w:asciiTheme="minorEastAsia" w:hAnsiTheme="minorEastAsia" w:eastAsiaTheme="minorEastAsia"/>
                <w:color w:val="000000" w:themeColor="text1"/>
                <w:szCs w:val="21"/>
                <w14:textFill>
                  <w14:solidFill>
                    <w14:schemeClr w14:val="tx1"/>
                  </w14:solidFill>
                </w14:textFill>
              </w:rPr>
              <w:t>目标</w:t>
            </w:r>
          </w:p>
        </w:tc>
      </w:tr>
      <w:tr w14:paraId="716DFC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1" w:hRule="atLeast"/>
        </w:trPr>
        <w:tc>
          <w:tcPr>
            <w:tcW w:w="1242" w:type="dxa"/>
            <w:vMerge w:val="restart"/>
          </w:tcPr>
          <w:p w14:paraId="42E342EA">
            <w:pPr>
              <w:spacing w:line="0" w:lineRule="atLeast"/>
              <w:rPr>
                <w:rFonts w:cs="方正仿宋简体" w:asciiTheme="minorEastAsia" w:hAnsiTheme="minorEastAsia" w:eastAsiaTheme="minorEastAsia"/>
                <w:color w:val="000000" w:themeColor="text1"/>
                <w:szCs w:val="21"/>
                <w14:textFill>
                  <w14:solidFill>
                    <w14:schemeClr w14:val="tx1"/>
                  </w14:solidFill>
                </w14:textFill>
              </w:rPr>
            </w:pPr>
            <w:r>
              <w:rPr>
                <w:rFonts w:hint="eastAsia" w:cs="方正仿宋简体" w:asciiTheme="minorEastAsia" w:hAnsiTheme="minorEastAsia" w:eastAsiaTheme="minorEastAsia"/>
                <w:color w:val="000000" w:themeColor="text1"/>
                <w:szCs w:val="21"/>
                <w14:textFill>
                  <w14:solidFill>
                    <w14:schemeClr w14:val="tx1"/>
                  </w14:solidFill>
                </w14:textFill>
              </w:rPr>
              <w:t>经济总量</w:t>
            </w:r>
          </w:p>
        </w:tc>
        <w:tc>
          <w:tcPr>
            <w:tcW w:w="1701" w:type="dxa"/>
            <w:vMerge w:val="restart"/>
          </w:tcPr>
          <w:p w14:paraId="61AF09D2">
            <w:pPr>
              <w:spacing w:line="0" w:lineRule="atLeast"/>
              <w:ind w:leftChars="-51" w:hanging="107" w:hangingChars="51"/>
              <w:rPr>
                <w:rFonts w:cs="方正仿宋简体" w:asciiTheme="minorEastAsia" w:hAnsiTheme="minorEastAsia" w:eastAsiaTheme="minorEastAsia"/>
                <w:color w:val="000000" w:themeColor="text1"/>
                <w:szCs w:val="21"/>
                <w14:textFill>
                  <w14:solidFill>
                    <w14:schemeClr w14:val="tx1"/>
                  </w14:solidFill>
                </w14:textFill>
              </w:rPr>
            </w:pPr>
            <w:r>
              <w:rPr>
                <w:rFonts w:hint="eastAsia" w:cs="方正仿宋简体" w:asciiTheme="minorEastAsia" w:hAnsiTheme="minorEastAsia" w:eastAsiaTheme="minorEastAsia"/>
                <w:color w:val="000000" w:themeColor="text1"/>
                <w:szCs w:val="21"/>
                <w14:textFill>
                  <w14:solidFill>
                    <w14:schemeClr w14:val="tx1"/>
                  </w14:solidFill>
                </w14:textFill>
              </w:rPr>
              <w:t>地区生产总值</w:t>
            </w:r>
          </w:p>
        </w:tc>
        <w:tc>
          <w:tcPr>
            <w:tcW w:w="5669" w:type="dxa"/>
            <w:gridSpan w:val="11"/>
            <w:tcBorders>
              <w:bottom w:val="single" w:color="auto" w:sz="4" w:space="0"/>
            </w:tcBorders>
          </w:tcPr>
          <w:p w14:paraId="1ADA6DDB">
            <w:pPr>
              <w:spacing w:line="0" w:lineRule="atLeast"/>
              <w:rPr>
                <w:rFonts w:cs="方正仿宋简体" w:asciiTheme="minorEastAsia" w:hAnsiTheme="minorEastAsia" w:eastAsiaTheme="minorEastAsia"/>
                <w:color w:val="000000" w:themeColor="text1"/>
                <w:szCs w:val="21"/>
                <w14:textFill>
                  <w14:solidFill>
                    <w14:schemeClr w14:val="tx1"/>
                  </w14:solidFill>
                </w14:textFill>
              </w:rPr>
            </w:pPr>
            <w:r>
              <w:rPr>
                <w:rFonts w:hint="eastAsia" w:cs="方正仿宋简体" w:asciiTheme="minorEastAsia" w:hAnsiTheme="minorEastAsia" w:eastAsiaTheme="minorEastAsia"/>
                <w:color w:val="000000" w:themeColor="text1"/>
                <w:szCs w:val="21"/>
                <w14:textFill>
                  <w14:solidFill>
                    <w14:schemeClr w14:val="tx1"/>
                  </w14:solidFill>
                </w14:textFill>
              </w:rPr>
              <w:t>2020年地区生产总值240亿元（2015年不变价）</w:t>
            </w:r>
          </w:p>
        </w:tc>
      </w:tr>
      <w:tr w14:paraId="2604D2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5" w:hRule="atLeast"/>
        </w:trPr>
        <w:tc>
          <w:tcPr>
            <w:tcW w:w="1242" w:type="dxa"/>
            <w:vMerge w:val="continue"/>
          </w:tcPr>
          <w:p w14:paraId="70A6814B">
            <w:pPr>
              <w:spacing w:line="0" w:lineRule="atLeast"/>
              <w:ind w:firstLine="420"/>
              <w:rPr>
                <w:rFonts w:cs="方正仿宋简体" w:asciiTheme="minorEastAsia" w:hAnsiTheme="minorEastAsia" w:eastAsiaTheme="minorEastAsia"/>
                <w:color w:val="000000" w:themeColor="text1"/>
                <w:szCs w:val="21"/>
                <w14:textFill>
                  <w14:solidFill>
                    <w14:schemeClr w14:val="tx1"/>
                  </w14:solidFill>
                </w14:textFill>
              </w:rPr>
            </w:pPr>
          </w:p>
        </w:tc>
        <w:tc>
          <w:tcPr>
            <w:tcW w:w="1701" w:type="dxa"/>
            <w:vMerge w:val="continue"/>
          </w:tcPr>
          <w:p w14:paraId="461E350C">
            <w:pPr>
              <w:spacing w:line="0" w:lineRule="atLeast"/>
              <w:ind w:leftChars="-51" w:hanging="107" w:hangingChars="51"/>
              <w:rPr>
                <w:rFonts w:cs="方正仿宋简体" w:asciiTheme="minorEastAsia" w:hAnsiTheme="minorEastAsia" w:eastAsiaTheme="minorEastAsia"/>
                <w:color w:val="000000" w:themeColor="text1"/>
                <w:szCs w:val="21"/>
                <w14:textFill>
                  <w14:solidFill>
                    <w14:schemeClr w14:val="tx1"/>
                  </w14:solidFill>
                </w14:textFill>
              </w:rPr>
            </w:pPr>
          </w:p>
        </w:tc>
        <w:tc>
          <w:tcPr>
            <w:tcW w:w="5669" w:type="dxa"/>
            <w:gridSpan w:val="11"/>
            <w:tcBorders>
              <w:top w:val="single" w:color="auto" w:sz="4" w:space="0"/>
              <w:bottom w:val="single" w:color="auto" w:sz="4" w:space="0"/>
            </w:tcBorders>
          </w:tcPr>
          <w:p w14:paraId="2C4D558C">
            <w:pPr>
              <w:spacing w:line="0" w:lineRule="atLeast"/>
              <w:rPr>
                <w:rFonts w:cs="方正仿宋简体" w:asciiTheme="minorEastAsia" w:hAnsiTheme="minorEastAsia" w:eastAsiaTheme="minorEastAsia"/>
                <w:color w:val="000000" w:themeColor="text1"/>
                <w:szCs w:val="21"/>
                <w14:textFill>
                  <w14:solidFill>
                    <w14:schemeClr w14:val="tx1"/>
                  </w14:solidFill>
                </w14:textFill>
              </w:rPr>
            </w:pPr>
            <w:r>
              <w:rPr>
                <w:rFonts w:hint="eastAsia" w:cs="方正仿宋简体" w:asciiTheme="minorEastAsia" w:hAnsiTheme="minorEastAsia" w:eastAsiaTheme="minorEastAsia"/>
                <w:color w:val="000000" w:themeColor="text1"/>
                <w:szCs w:val="21"/>
                <w14:textFill>
                  <w14:solidFill>
                    <w14:schemeClr w14:val="tx1"/>
                  </w14:solidFill>
                </w14:textFill>
              </w:rPr>
              <w:t>“十三五”期间，地区生产总值年均增长率10%</w:t>
            </w:r>
          </w:p>
        </w:tc>
      </w:tr>
      <w:tr w14:paraId="059189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4" w:hRule="atLeast"/>
        </w:trPr>
        <w:tc>
          <w:tcPr>
            <w:tcW w:w="1242" w:type="dxa"/>
            <w:vMerge w:val="continue"/>
          </w:tcPr>
          <w:p w14:paraId="6A87920C">
            <w:pPr>
              <w:spacing w:line="0" w:lineRule="atLeast"/>
              <w:ind w:firstLine="420"/>
              <w:rPr>
                <w:rFonts w:cs="方正仿宋简体" w:asciiTheme="minorEastAsia" w:hAnsiTheme="minorEastAsia" w:eastAsiaTheme="minorEastAsia"/>
                <w:color w:val="000000" w:themeColor="text1"/>
                <w:szCs w:val="21"/>
                <w14:textFill>
                  <w14:solidFill>
                    <w14:schemeClr w14:val="tx1"/>
                  </w14:solidFill>
                </w14:textFill>
              </w:rPr>
            </w:pPr>
          </w:p>
        </w:tc>
        <w:tc>
          <w:tcPr>
            <w:tcW w:w="1701" w:type="dxa"/>
            <w:vMerge w:val="continue"/>
          </w:tcPr>
          <w:p w14:paraId="7665CF18">
            <w:pPr>
              <w:spacing w:line="0" w:lineRule="atLeast"/>
              <w:ind w:leftChars="-51" w:hanging="107" w:hangingChars="51"/>
              <w:rPr>
                <w:rFonts w:cs="方正仿宋简体" w:asciiTheme="minorEastAsia" w:hAnsiTheme="minorEastAsia" w:eastAsiaTheme="minorEastAsia"/>
                <w:color w:val="000000" w:themeColor="text1"/>
                <w:szCs w:val="21"/>
                <w14:textFill>
                  <w14:solidFill>
                    <w14:schemeClr w14:val="tx1"/>
                  </w14:solidFill>
                </w14:textFill>
              </w:rPr>
            </w:pPr>
          </w:p>
        </w:tc>
        <w:tc>
          <w:tcPr>
            <w:tcW w:w="1134" w:type="dxa"/>
            <w:tcBorders>
              <w:top w:val="single" w:color="auto" w:sz="4" w:space="0"/>
              <w:bottom w:val="single" w:color="auto" w:sz="4" w:space="0"/>
              <w:right w:val="single" w:color="auto" w:sz="4" w:space="0"/>
            </w:tcBorders>
          </w:tcPr>
          <w:p w14:paraId="0170C4DD">
            <w:pPr>
              <w:spacing w:line="0" w:lineRule="atLeast"/>
              <w:ind w:leftChars="-1" w:right="-149" w:rightChars="-71" w:hanging="2" w:hangingChars="1"/>
              <w:rPr>
                <w:rFonts w:cs="方正仿宋简体" w:asciiTheme="minorEastAsia" w:hAnsiTheme="minorEastAsia" w:eastAsiaTheme="minorEastAsia"/>
                <w:color w:val="000000" w:themeColor="text1"/>
                <w:szCs w:val="21"/>
                <w14:textFill>
                  <w14:solidFill>
                    <w14:schemeClr w14:val="tx1"/>
                  </w14:solidFill>
                </w14:textFill>
              </w:rPr>
            </w:pPr>
            <w:r>
              <w:rPr>
                <w:rFonts w:hint="eastAsia" w:cs="方正仿宋简体" w:asciiTheme="minorEastAsia" w:hAnsiTheme="minorEastAsia" w:eastAsiaTheme="minorEastAsia"/>
                <w:color w:val="000000" w:themeColor="text1"/>
                <w:szCs w:val="21"/>
                <w14:textFill>
                  <w14:solidFill>
                    <w14:schemeClr w14:val="tx1"/>
                  </w14:solidFill>
                </w14:textFill>
              </w:rPr>
              <w:t>162(2016)</w:t>
            </w:r>
          </w:p>
        </w:tc>
        <w:tc>
          <w:tcPr>
            <w:tcW w:w="993" w:type="dxa"/>
            <w:tcBorders>
              <w:top w:val="single" w:color="auto" w:sz="4" w:space="0"/>
              <w:left w:val="single" w:color="auto" w:sz="4" w:space="0"/>
              <w:bottom w:val="single" w:color="auto" w:sz="4" w:space="0"/>
              <w:right w:val="single" w:color="auto" w:sz="4" w:space="0"/>
            </w:tcBorders>
          </w:tcPr>
          <w:p w14:paraId="48667ADA">
            <w:pPr>
              <w:spacing w:line="0" w:lineRule="atLeast"/>
              <w:ind w:left="38" w:leftChars="-33" w:right="-107" w:rightChars="-51" w:hanging="107" w:hangingChars="51"/>
              <w:rPr>
                <w:rFonts w:cs="方正仿宋简体" w:asciiTheme="minorEastAsia" w:hAnsiTheme="minorEastAsia" w:eastAsiaTheme="minorEastAsia"/>
                <w:color w:val="000000" w:themeColor="text1"/>
                <w:szCs w:val="21"/>
                <w14:textFill>
                  <w14:solidFill>
                    <w14:schemeClr w14:val="tx1"/>
                  </w14:solidFill>
                </w14:textFill>
              </w:rPr>
            </w:pPr>
            <w:r>
              <w:rPr>
                <w:rFonts w:hint="eastAsia" w:cs="方正仿宋简体" w:asciiTheme="minorEastAsia" w:hAnsiTheme="minorEastAsia" w:eastAsiaTheme="minorEastAsia"/>
                <w:color w:val="000000" w:themeColor="text1"/>
                <w:szCs w:val="21"/>
                <w14:textFill>
                  <w14:solidFill>
                    <w14:schemeClr w14:val="tx1"/>
                  </w14:solidFill>
                </w14:textFill>
              </w:rPr>
              <w:t>178(2017）</w:t>
            </w:r>
          </w:p>
        </w:tc>
        <w:tc>
          <w:tcPr>
            <w:tcW w:w="1134" w:type="dxa"/>
            <w:gridSpan w:val="3"/>
            <w:tcBorders>
              <w:top w:val="single" w:color="auto" w:sz="4" w:space="0"/>
              <w:left w:val="single" w:color="auto" w:sz="4" w:space="0"/>
              <w:bottom w:val="single" w:color="auto" w:sz="4" w:space="0"/>
              <w:right w:val="single" w:color="auto" w:sz="4" w:space="0"/>
            </w:tcBorders>
          </w:tcPr>
          <w:p w14:paraId="68921EBF">
            <w:pPr>
              <w:spacing w:line="0" w:lineRule="atLeast"/>
              <w:ind w:leftChars="-1" w:right="-107" w:rightChars="-51" w:hanging="2" w:hangingChars="1"/>
              <w:rPr>
                <w:rFonts w:cs="方正仿宋简体" w:asciiTheme="minorEastAsia" w:hAnsiTheme="minorEastAsia" w:eastAsiaTheme="minorEastAsia"/>
                <w:color w:val="000000" w:themeColor="text1"/>
                <w:szCs w:val="21"/>
                <w14:textFill>
                  <w14:solidFill>
                    <w14:schemeClr w14:val="tx1"/>
                  </w14:solidFill>
                </w14:textFill>
              </w:rPr>
            </w:pPr>
            <w:r>
              <w:rPr>
                <w:rFonts w:hint="eastAsia" w:cs="方正仿宋简体" w:asciiTheme="minorEastAsia" w:hAnsiTheme="minorEastAsia" w:eastAsiaTheme="minorEastAsia"/>
                <w:color w:val="000000" w:themeColor="text1"/>
                <w:szCs w:val="21"/>
                <w14:textFill>
                  <w14:solidFill>
                    <w14:schemeClr w14:val="tx1"/>
                  </w14:solidFill>
                </w14:textFill>
              </w:rPr>
              <w:t>197(2018)</w:t>
            </w:r>
          </w:p>
        </w:tc>
        <w:tc>
          <w:tcPr>
            <w:tcW w:w="1125" w:type="dxa"/>
            <w:gridSpan w:val="3"/>
            <w:tcBorders>
              <w:top w:val="single" w:color="auto" w:sz="4" w:space="0"/>
              <w:left w:val="single" w:color="auto" w:sz="4" w:space="0"/>
              <w:bottom w:val="single" w:color="auto" w:sz="4" w:space="0"/>
              <w:right w:val="single" w:color="auto" w:sz="4" w:space="0"/>
            </w:tcBorders>
          </w:tcPr>
          <w:p w14:paraId="30924EBC">
            <w:pPr>
              <w:spacing w:line="0" w:lineRule="atLeast"/>
              <w:ind w:leftChars="-1" w:right="-76" w:rightChars="-36" w:hanging="2" w:hangingChars="1"/>
              <w:rPr>
                <w:rFonts w:cs="方正仿宋简体" w:asciiTheme="minorEastAsia" w:hAnsiTheme="minorEastAsia" w:eastAsiaTheme="minorEastAsia"/>
                <w:color w:val="000000" w:themeColor="text1"/>
                <w:szCs w:val="21"/>
                <w14:textFill>
                  <w14:solidFill>
                    <w14:schemeClr w14:val="tx1"/>
                  </w14:solidFill>
                </w14:textFill>
              </w:rPr>
            </w:pPr>
            <w:r>
              <w:rPr>
                <w:rFonts w:hint="eastAsia" w:cs="方正仿宋简体" w:asciiTheme="minorEastAsia" w:hAnsiTheme="minorEastAsia" w:eastAsiaTheme="minorEastAsia"/>
                <w:color w:val="000000" w:themeColor="text1"/>
                <w:szCs w:val="21"/>
                <w14:textFill>
                  <w14:solidFill>
                    <w14:schemeClr w14:val="tx1"/>
                  </w14:solidFill>
                </w14:textFill>
              </w:rPr>
              <w:t>217(2019)</w:t>
            </w:r>
          </w:p>
        </w:tc>
        <w:tc>
          <w:tcPr>
            <w:tcW w:w="1283" w:type="dxa"/>
            <w:gridSpan w:val="3"/>
            <w:tcBorders>
              <w:top w:val="single" w:color="auto" w:sz="4" w:space="0"/>
              <w:left w:val="single" w:color="auto" w:sz="4" w:space="0"/>
              <w:bottom w:val="single" w:color="auto" w:sz="4" w:space="0"/>
            </w:tcBorders>
          </w:tcPr>
          <w:p w14:paraId="18E49D1B">
            <w:pPr>
              <w:spacing w:line="0" w:lineRule="atLeast"/>
              <w:rPr>
                <w:rFonts w:cs="方正仿宋简体" w:asciiTheme="minorEastAsia" w:hAnsiTheme="minorEastAsia" w:eastAsiaTheme="minorEastAsia"/>
                <w:color w:val="000000" w:themeColor="text1"/>
                <w:szCs w:val="21"/>
                <w14:textFill>
                  <w14:solidFill>
                    <w14:schemeClr w14:val="tx1"/>
                  </w14:solidFill>
                </w14:textFill>
              </w:rPr>
            </w:pPr>
            <w:r>
              <w:rPr>
                <w:rFonts w:hint="eastAsia" w:cs="方正仿宋简体" w:asciiTheme="minorEastAsia" w:hAnsiTheme="minorEastAsia" w:eastAsiaTheme="minorEastAsia"/>
                <w:color w:val="000000" w:themeColor="text1"/>
                <w:szCs w:val="21"/>
                <w14:textFill>
                  <w14:solidFill>
                    <w14:schemeClr w14:val="tx1"/>
                  </w14:solidFill>
                </w14:textFill>
              </w:rPr>
              <w:t>240（2020）</w:t>
            </w:r>
          </w:p>
        </w:tc>
      </w:tr>
      <w:tr w14:paraId="476CC7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0" w:hRule="atLeast"/>
        </w:trPr>
        <w:tc>
          <w:tcPr>
            <w:tcW w:w="1242" w:type="dxa"/>
            <w:vMerge w:val="continue"/>
            <w:tcBorders>
              <w:bottom w:val="single" w:color="auto" w:sz="4" w:space="0"/>
            </w:tcBorders>
          </w:tcPr>
          <w:p w14:paraId="5465135D">
            <w:pPr>
              <w:spacing w:line="0" w:lineRule="atLeast"/>
              <w:ind w:firstLine="420"/>
              <w:rPr>
                <w:rFonts w:cs="方正仿宋简体" w:asciiTheme="minorEastAsia" w:hAnsiTheme="minorEastAsia" w:eastAsiaTheme="minorEastAsia"/>
                <w:color w:val="000000" w:themeColor="text1"/>
                <w:szCs w:val="21"/>
                <w14:textFill>
                  <w14:solidFill>
                    <w14:schemeClr w14:val="tx1"/>
                  </w14:solidFill>
                </w14:textFill>
              </w:rPr>
            </w:pPr>
          </w:p>
        </w:tc>
        <w:tc>
          <w:tcPr>
            <w:tcW w:w="1701" w:type="dxa"/>
            <w:vMerge w:val="continue"/>
            <w:tcBorders>
              <w:bottom w:val="single" w:color="auto" w:sz="4" w:space="0"/>
            </w:tcBorders>
          </w:tcPr>
          <w:p w14:paraId="18142530">
            <w:pPr>
              <w:spacing w:line="0" w:lineRule="atLeast"/>
              <w:ind w:leftChars="-51" w:hanging="107" w:hangingChars="51"/>
              <w:rPr>
                <w:rFonts w:cs="方正仿宋简体" w:asciiTheme="minorEastAsia" w:hAnsiTheme="minorEastAsia" w:eastAsiaTheme="minorEastAsia"/>
                <w:color w:val="000000" w:themeColor="text1"/>
                <w:szCs w:val="21"/>
                <w14:textFill>
                  <w14:solidFill>
                    <w14:schemeClr w14:val="tx1"/>
                  </w14:solidFill>
                </w14:textFill>
              </w:rPr>
            </w:pPr>
          </w:p>
        </w:tc>
        <w:tc>
          <w:tcPr>
            <w:tcW w:w="5669" w:type="dxa"/>
            <w:gridSpan w:val="11"/>
            <w:tcBorders>
              <w:top w:val="single" w:color="auto" w:sz="4" w:space="0"/>
              <w:bottom w:val="single" w:color="auto" w:sz="4" w:space="0"/>
            </w:tcBorders>
          </w:tcPr>
          <w:p w14:paraId="3763CAE7">
            <w:pPr>
              <w:spacing w:line="0" w:lineRule="atLeast"/>
              <w:rPr>
                <w:rFonts w:cs="方正仿宋简体" w:asciiTheme="minorEastAsia" w:hAnsiTheme="minorEastAsia" w:eastAsiaTheme="minorEastAsia"/>
                <w:color w:val="000000" w:themeColor="text1"/>
                <w:szCs w:val="21"/>
                <w14:textFill>
                  <w14:solidFill>
                    <w14:schemeClr w14:val="tx1"/>
                  </w14:solidFill>
                </w14:textFill>
              </w:rPr>
            </w:pPr>
            <w:r>
              <w:rPr>
                <w:rFonts w:hint="eastAsia" w:cs="方正仿宋简体" w:asciiTheme="minorEastAsia" w:hAnsiTheme="minorEastAsia" w:eastAsiaTheme="minorEastAsia"/>
                <w:color w:val="000000" w:themeColor="text1"/>
                <w:szCs w:val="21"/>
                <w14:textFill>
                  <w14:solidFill>
                    <w14:schemeClr w14:val="tx1"/>
                  </w14:solidFill>
                </w14:textFill>
              </w:rPr>
              <w:t>2020年人均地区生产总值15万元以上</w:t>
            </w:r>
          </w:p>
        </w:tc>
      </w:tr>
      <w:tr w14:paraId="461FC4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0" w:hRule="atLeast"/>
        </w:trPr>
        <w:tc>
          <w:tcPr>
            <w:tcW w:w="1242" w:type="dxa"/>
            <w:vMerge w:val="restart"/>
            <w:tcBorders>
              <w:top w:val="single" w:color="auto" w:sz="4" w:space="0"/>
            </w:tcBorders>
          </w:tcPr>
          <w:p w14:paraId="01A98B36">
            <w:pPr>
              <w:spacing w:line="0" w:lineRule="atLeast"/>
              <w:rPr>
                <w:rFonts w:cs="方正仿宋简体" w:asciiTheme="minorEastAsia" w:hAnsiTheme="minorEastAsia" w:eastAsiaTheme="minorEastAsia"/>
                <w:color w:val="000000" w:themeColor="text1"/>
                <w:szCs w:val="21"/>
                <w14:textFill>
                  <w14:solidFill>
                    <w14:schemeClr w14:val="tx1"/>
                  </w14:solidFill>
                </w14:textFill>
              </w:rPr>
            </w:pPr>
            <w:r>
              <w:rPr>
                <w:rFonts w:hint="eastAsia" w:cs="方正仿宋简体" w:asciiTheme="minorEastAsia" w:hAnsiTheme="minorEastAsia" w:eastAsiaTheme="minorEastAsia"/>
                <w:color w:val="000000" w:themeColor="text1"/>
                <w:szCs w:val="21"/>
                <w14:textFill>
                  <w14:solidFill>
                    <w14:schemeClr w14:val="tx1"/>
                  </w14:solidFill>
                </w14:textFill>
              </w:rPr>
              <w:t>财政收入</w:t>
            </w:r>
          </w:p>
        </w:tc>
        <w:tc>
          <w:tcPr>
            <w:tcW w:w="1701" w:type="dxa"/>
            <w:vMerge w:val="restart"/>
            <w:tcBorders>
              <w:top w:val="single" w:color="auto" w:sz="4" w:space="0"/>
            </w:tcBorders>
          </w:tcPr>
          <w:p w14:paraId="20F3647E">
            <w:pPr>
              <w:spacing w:line="0" w:lineRule="atLeast"/>
              <w:rPr>
                <w:rFonts w:cs="方正仿宋简体" w:asciiTheme="minorEastAsia" w:hAnsiTheme="minorEastAsia" w:eastAsiaTheme="minorEastAsia"/>
                <w:color w:val="000000" w:themeColor="text1"/>
                <w:szCs w:val="21"/>
                <w14:textFill>
                  <w14:solidFill>
                    <w14:schemeClr w14:val="tx1"/>
                  </w14:solidFill>
                </w14:textFill>
              </w:rPr>
            </w:pPr>
            <w:r>
              <w:rPr>
                <w:rFonts w:hint="eastAsia" w:cs="方正仿宋简体" w:asciiTheme="minorEastAsia" w:hAnsiTheme="minorEastAsia" w:eastAsiaTheme="minorEastAsia"/>
                <w:color w:val="000000" w:themeColor="text1"/>
                <w:szCs w:val="21"/>
                <w14:textFill>
                  <w14:solidFill>
                    <w14:schemeClr w14:val="tx1"/>
                  </w14:solidFill>
                </w14:textFill>
              </w:rPr>
              <w:t>财政收入</w:t>
            </w:r>
          </w:p>
        </w:tc>
        <w:tc>
          <w:tcPr>
            <w:tcW w:w="5669" w:type="dxa"/>
            <w:gridSpan w:val="11"/>
            <w:tcBorders>
              <w:top w:val="single" w:color="auto" w:sz="4" w:space="0"/>
              <w:bottom w:val="single" w:color="auto" w:sz="4" w:space="0"/>
            </w:tcBorders>
          </w:tcPr>
          <w:p w14:paraId="2E2A5DD1">
            <w:pPr>
              <w:spacing w:line="0" w:lineRule="atLeast"/>
              <w:rPr>
                <w:rFonts w:cs="方正仿宋简体" w:asciiTheme="minorEastAsia" w:hAnsiTheme="minorEastAsia" w:eastAsiaTheme="minorEastAsia"/>
                <w:color w:val="000000" w:themeColor="text1"/>
                <w:szCs w:val="21"/>
                <w14:textFill>
                  <w14:solidFill>
                    <w14:schemeClr w14:val="tx1"/>
                  </w14:solidFill>
                </w14:textFill>
              </w:rPr>
            </w:pPr>
            <w:r>
              <w:rPr>
                <w:rFonts w:hint="eastAsia" w:cs="方正仿宋简体" w:asciiTheme="minorEastAsia" w:hAnsiTheme="minorEastAsia" w:eastAsiaTheme="minorEastAsia"/>
                <w:color w:val="000000" w:themeColor="text1"/>
                <w:szCs w:val="21"/>
                <w14:textFill>
                  <w14:solidFill>
                    <w14:schemeClr w14:val="tx1"/>
                  </w14:solidFill>
                </w14:textFill>
              </w:rPr>
              <w:t>2020年财政收入达到48亿元以上</w:t>
            </w:r>
          </w:p>
        </w:tc>
      </w:tr>
      <w:tr w14:paraId="5AEB19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5" w:hRule="atLeast"/>
        </w:trPr>
        <w:tc>
          <w:tcPr>
            <w:tcW w:w="1242" w:type="dxa"/>
            <w:vMerge w:val="continue"/>
          </w:tcPr>
          <w:p w14:paraId="7F1074B2">
            <w:pPr>
              <w:spacing w:line="0" w:lineRule="atLeast"/>
              <w:ind w:firstLine="420"/>
              <w:rPr>
                <w:rFonts w:cs="方正仿宋简体" w:asciiTheme="minorEastAsia" w:hAnsiTheme="minorEastAsia" w:eastAsiaTheme="minorEastAsia"/>
                <w:color w:val="000000" w:themeColor="text1"/>
                <w:szCs w:val="21"/>
                <w14:textFill>
                  <w14:solidFill>
                    <w14:schemeClr w14:val="tx1"/>
                  </w14:solidFill>
                </w14:textFill>
              </w:rPr>
            </w:pPr>
          </w:p>
        </w:tc>
        <w:tc>
          <w:tcPr>
            <w:tcW w:w="1701" w:type="dxa"/>
            <w:vMerge w:val="continue"/>
            <w:tcBorders>
              <w:bottom w:val="single" w:color="auto" w:sz="4" w:space="0"/>
            </w:tcBorders>
          </w:tcPr>
          <w:p w14:paraId="24418724">
            <w:pPr>
              <w:spacing w:line="0" w:lineRule="atLeast"/>
              <w:ind w:leftChars="-51" w:hanging="107" w:hangingChars="51"/>
              <w:rPr>
                <w:rFonts w:cs="方正仿宋简体" w:asciiTheme="minorEastAsia" w:hAnsiTheme="minorEastAsia" w:eastAsiaTheme="minorEastAsia"/>
                <w:color w:val="000000" w:themeColor="text1"/>
                <w:szCs w:val="21"/>
                <w14:textFill>
                  <w14:solidFill>
                    <w14:schemeClr w14:val="tx1"/>
                  </w14:solidFill>
                </w14:textFill>
              </w:rPr>
            </w:pPr>
          </w:p>
        </w:tc>
        <w:tc>
          <w:tcPr>
            <w:tcW w:w="1134" w:type="dxa"/>
            <w:tcBorders>
              <w:top w:val="single" w:color="auto" w:sz="4" w:space="0"/>
              <w:bottom w:val="single" w:color="auto" w:sz="4" w:space="0"/>
              <w:right w:val="single" w:color="auto" w:sz="4" w:space="0"/>
            </w:tcBorders>
          </w:tcPr>
          <w:p w14:paraId="077EAAF3">
            <w:pPr>
              <w:spacing w:line="0" w:lineRule="atLeast"/>
              <w:ind w:leftChars="-1" w:right="-149" w:rightChars="-71" w:hanging="2" w:hangingChars="1"/>
              <w:rPr>
                <w:rFonts w:cs="方正仿宋简体" w:asciiTheme="minorEastAsia" w:hAnsiTheme="minorEastAsia" w:eastAsiaTheme="minorEastAsia"/>
                <w:color w:val="000000" w:themeColor="text1"/>
                <w:szCs w:val="21"/>
                <w14:textFill>
                  <w14:solidFill>
                    <w14:schemeClr w14:val="tx1"/>
                  </w14:solidFill>
                </w14:textFill>
              </w:rPr>
            </w:pPr>
            <w:r>
              <w:rPr>
                <w:rFonts w:hint="eastAsia" w:cs="方正仿宋简体" w:asciiTheme="minorEastAsia" w:hAnsiTheme="minorEastAsia" w:eastAsiaTheme="minorEastAsia"/>
                <w:color w:val="000000" w:themeColor="text1"/>
                <w:szCs w:val="21"/>
                <w14:textFill>
                  <w14:solidFill>
                    <w14:schemeClr w14:val="tx1"/>
                  </w14:solidFill>
                </w14:textFill>
              </w:rPr>
              <w:t>32.5(2016)</w:t>
            </w:r>
          </w:p>
        </w:tc>
        <w:tc>
          <w:tcPr>
            <w:tcW w:w="1134" w:type="dxa"/>
            <w:gridSpan w:val="2"/>
            <w:tcBorders>
              <w:top w:val="single" w:color="auto" w:sz="4" w:space="0"/>
              <w:left w:val="single" w:color="auto" w:sz="4" w:space="0"/>
              <w:bottom w:val="single" w:color="auto" w:sz="4" w:space="0"/>
              <w:right w:val="single" w:color="auto" w:sz="4" w:space="0"/>
            </w:tcBorders>
          </w:tcPr>
          <w:p w14:paraId="1FBBC4B5">
            <w:pPr>
              <w:spacing w:line="0" w:lineRule="atLeast"/>
              <w:ind w:left="36" w:leftChars="-33" w:right="-69" w:rightChars="-33" w:hanging="105" w:hangingChars="50"/>
              <w:rPr>
                <w:rFonts w:cs="方正仿宋简体" w:asciiTheme="minorEastAsia" w:hAnsiTheme="minorEastAsia" w:eastAsiaTheme="minorEastAsia"/>
                <w:color w:val="000000" w:themeColor="text1"/>
                <w:szCs w:val="21"/>
                <w14:textFill>
                  <w14:solidFill>
                    <w14:schemeClr w14:val="tx1"/>
                  </w14:solidFill>
                </w14:textFill>
              </w:rPr>
            </w:pPr>
            <w:r>
              <w:rPr>
                <w:rFonts w:hint="eastAsia" w:cs="方正仿宋简体" w:asciiTheme="minorEastAsia" w:hAnsiTheme="minorEastAsia" w:eastAsiaTheme="minorEastAsia"/>
                <w:color w:val="000000" w:themeColor="text1"/>
                <w:szCs w:val="21"/>
                <w14:textFill>
                  <w14:solidFill>
                    <w14:schemeClr w14:val="tx1"/>
                  </w14:solidFill>
                </w14:textFill>
              </w:rPr>
              <w:t>35.6(2017）</w:t>
            </w:r>
          </w:p>
        </w:tc>
        <w:tc>
          <w:tcPr>
            <w:tcW w:w="1134" w:type="dxa"/>
            <w:gridSpan w:val="3"/>
            <w:tcBorders>
              <w:top w:val="single" w:color="auto" w:sz="4" w:space="0"/>
              <w:left w:val="single" w:color="auto" w:sz="4" w:space="0"/>
              <w:bottom w:val="single" w:color="auto" w:sz="4" w:space="0"/>
              <w:right w:val="single" w:color="auto" w:sz="4" w:space="0"/>
            </w:tcBorders>
          </w:tcPr>
          <w:p w14:paraId="34D78FB8">
            <w:pPr>
              <w:spacing w:line="0" w:lineRule="atLeast"/>
              <w:ind w:leftChars="-51" w:right="-107" w:rightChars="-51" w:hanging="107" w:hangingChars="51"/>
              <w:rPr>
                <w:rFonts w:cs="方正仿宋简体" w:asciiTheme="minorEastAsia" w:hAnsiTheme="minorEastAsia" w:eastAsiaTheme="minorEastAsia"/>
                <w:color w:val="000000" w:themeColor="text1"/>
                <w:szCs w:val="21"/>
                <w14:textFill>
                  <w14:solidFill>
                    <w14:schemeClr w14:val="tx1"/>
                  </w14:solidFill>
                </w14:textFill>
              </w:rPr>
            </w:pPr>
            <w:r>
              <w:rPr>
                <w:rFonts w:hint="eastAsia" w:cs="方正仿宋简体" w:asciiTheme="minorEastAsia" w:hAnsiTheme="minorEastAsia" w:eastAsiaTheme="minorEastAsia"/>
                <w:color w:val="000000" w:themeColor="text1"/>
                <w:szCs w:val="21"/>
                <w14:textFill>
                  <w14:solidFill>
                    <w14:schemeClr w14:val="tx1"/>
                  </w14:solidFill>
                </w14:textFill>
              </w:rPr>
              <w:t>39.4(2018)</w:t>
            </w:r>
          </w:p>
        </w:tc>
        <w:tc>
          <w:tcPr>
            <w:tcW w:w="1134" w:type="dxa"/>
            <w:gridSpan w:val="3"/>
            <w:tcBorders>
              <w:top w:val="single" w:color="auto" w:sz="4" w:space="0"/>
              <w:left w:val="single" w:color="auto" w:sz="4" w:space="0"/>
              <w:bottom w:val="single" w:color="auto" w:sz="4" w:space="0"/>
              <w:right w:val="single" w:color="auto" w:sz="4" w:space="0"/>
            </w:tcBorders>
          </w:tcPr>
          <w:p w14:paraId="6FC80DF0">
            <w:pPr>
              <w:spacing w:line="0" w:lineRule="atLeast"/>
              <w:ind w:left="36" w:leftChars="-33" w:right="-145" w:rightChars="-69" w:hanging="105" w:hangingChars="50"/>
              <w:rPr>
                <w:rFonts w:cs="方正仿宋简体" w:asciiTheme="minorEastAsia" w:hAnsiTheme="minorEastAsia" w:eastAsiaTheme="minorEastAsia"/>
                <w:color w:val="000000" w:themeColor="text1"/>
                <w:szCs w:val="21"/>
                <w14:textFill>
                  <w14:solidFill>
                    <w14:schemeClr w14:val="tx1"/>
                  </w14:solidFill>
                </w14:textFill>
              </w:rPr>
            </w:pPr>
            <w:r>
              <w:rPr>
                <w:rFonts w:hint="eastAsia" w:cs="方正仿宋简体" w:asciiTheme="minorEastAsia" w:hAnsiTheme="minorEastAsia" w:eastAsiaTheme="minorEastAsia"/>
                <w:color w:val="000000" w:themeColor="text1"/>
                <w:szCs w:val="21"/>
                <w14:textFill>
                  <w14:solidFill>
                    <w14:schemeClr w14:val="tx1"/>
                  </w14:solidFill>
                </w14:textFill>
              </w:rPr>
              <w:t>43.4(2019)</w:t>
            </w:r>
          </w:p>
        </w:tc>
        <w:tc>
          <w:tcPr>
            <w:tcW w:w="1133" w:type="dxa"/>
            <w:gridSpan w:val="2"/>
            <w:tcBorders>
              <w:top w:val="single" w:color="auto" w:sz="4" w:space="0"/>
              <w:left w:val="single" w:color="auto" w:sz="4" w:space="0"/>
              <w:bottom w:val="single" w:color="auto" w:sz="4" w:space="0"/>
            </w:tcBorders>
          </w:tcPr>
          <w:p w14:paraId="168D16FB">
            <w:pPr>
              <w:spacing w:line="0" w:lineRule="atLeast"/>
              <w:ind w:leftChars="-1" w:hanging="2" w:hangingChars="1"/>
              <w:rPr>
                <w:rFonts w:cs="方正仿宋简体" w:asciiTheme="minorEastAsia" w:hAnsiTheme="minorEastAsia" w:eastAsiaTheme="minorEastAsia"/>
                <w:color w:val="000000" w:themeColor="text1"/>
                <w:szCs w:val="21"/>
                <w14:textFill>
                  <w14:solidFill>
                    <w14:schemeClr w14:val="tx1"/>
                  </w14:solidFill>
                </w14:textFill>
              </w:rPr>
            </w:pPr>
            <w:r>
              <w:rPr>
                <w:rFonts w:hint="eastAsia" w:cs="方正仿宋简体" w:asciiTheme="minorEastAsia" w:hAnsiTheme="minorEastAsia" w:eastAsiaTheme="minorEastAsia"/>
                <w:color w:val="000000" w:themeColor="text1"/>
                <w:szCs w:val="21"/>
                <w14:textFill>
                  <w14:solidFill>
                    <w14:schemeClr w14:val="tx1"/>
                  </w14:solidFill>
                </w14:textFill>
              </w:rPr>
              <w:t>48（2020）</w:t>
            </w:r>
          </w:p>
        </w:tc>
      </w:tr>
      <w:tr w14:paraId="585C62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0" w:hRule="atLeast"/>
        </w:trPr>
        <w:tc>
          <w:tcPr>
            <w:tcW w:w="1242" w:type="dxa"/>
            <w:vMerge w:val="continue"/>
          </w:tcPr>
          <w:p w14:paraId="2BB76A50">
            <w:pPr>
              <w:spacing w:line="0" w:lineRule="atLeast"/>
              <w:ind w:firstLine="420"/>
              <w:rPr>
                <w:rFonts w:cs="方正仿宋简体" w:asciiTheme="minorEastAsia" w:hAnsiTheme="minorEastAsia" w:eastAsiaTheme="minorEastAsia"/>
                <w:color w:val="000000" w:themeColor="text1"/>
                <w:szCs w:val="21"/>
                <w14:textFill>
                  <w14:solidFill>
                    <w14:schemeClr w14:val="tx1"/>
                  </w14:solidFill>
                </w14:textFill>
              </w:rPr>
            </w:pPr>
          </w:p>
        </w:tc>
        <w:tc>
          <w:tcPr>
            <w:tcW w:w="1701" w:type="dxa"/>
            <w:vMerge w:val="restart"/>
            <w:tcBorders>
              <w:top w:val="single" w:color="auto" w:sz="4" w:space="0"/>
            </w:tcBorders>
          </w:tcPr>
          <w:p w14:paraId="0EA367B1">
            <w:pPr>
              <w:spacing w:line="0" w:lineRule="atLeast"/>
              <w:ind w:leftChars="-51" w:hanging="107" w:hangingChars="51"/>
              <w:rPr>
                <w:rFonts w:cs="方正仿宋简体" w:asciiTheme="minorEastAsia" w:hAnsiTheme="minorEastAsia" w:eastAsiaTheme="minorEastAsia"/>
                <w:color w:val="000000" w:themeColor="text1"/>
                <w:szCs w:val="21"/>
                <w14:textFill>
                  <w14:solidFill>
                    <w14:schemeClr w14:val="tx1"/>
                  </w14:solidFill>
                </w14:textFill>
              </w:rPr>
            </w:pPr>
            <w:r>
              <w:rPr>
                <w:rFonts w:hint="eastAsia" w:cs="方正仿宋简体" w:asciiTheme="minorEastAsia" w:hAnsiTheme="minorEastAsia" w:eastAsiaTheme="minorEastAsia"/>
                <w:color w:val="000000" w:themeColor="text1"/>
                <w:szCs w:val="21"/>
                <w14:textFill>
                  <w14:solidFill>
                    <w14:schemeClr w14:val="tx1"/>
                  </w14:solidFill>
                </w14:textFill>
              </w:rPr>
              <w:t xml:space="preserve"> 一般预算收入</w:t>
            </w:r>
          </w:p>
        </w:tc>
        <w:tc>
          <w:tcPr>
            <w:tcW w:w="5669" w:type="dxa"/>
            <w:gridSpan w:val="11"/>
            <w:tcBorders>
              <w:top w:val="single" w:color="auto" w:sz="4" w:space="0"/>
              <w:bottom w:val="single" w:color="auto" w:sz="4" w:space="0"/>
            </w:tcBorders>
          </w:tcPr>
          <w:p w14:paraId="4E61765E">
            <w:pPr>
              <w:spacing w:line="0" w:lineRule="atLeast"/>
              <w:rPr>
                <w:rFonts w:cs="方正仿宋简体" w:asciiTheme="minorEastAsia" w:hAnsiTheme="minorEastAsia" w:eastAsiaTheme="minorEastAsia"/>
                <w:color w:val="000000" w:themeColor="text1"/>
                <w:szCs w:val="21"/>
                <w14:textFill>
                  <w14:solidFill>
                    <w14:schemeClr w14:val="tx1"/>
                  </w14:solidFill>
                </w14:textFill>
              </w:rPr>
            </w:pPr>
            <w:r>
              <w:rPr>
                <w:rFonts w:hint="eastAsia" w:cs="方正仿宋简体" w:asciiTheme="minorEastAsia" w:hAnsiTheme="minorEastAsia" w:eastAsiaTheme="minorEastAsia"/>
                <w:color w:val="000000" w:themeColor="text1"/>
                <w:szCs w:val="21"/>
                <w14:textFill>
                  <w14:solidFill>
                    <w14:schemeClr w14:val="tx1"/>
                  </w14:solidFill>
                </w14:textFill>
              </w:rPr>
              <w:t>2020年一般预算收入达到24亿元以上</w:t>
            </w:r>
          </w:p>
        </w:tc>
      </w:tr>
      <w:tr w14:paraId="1EC4A7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242" w:type="dxa"/>
            <w:vMerge w:val="continue"/>
          </w:tcPr>
          <w:p w14:paraId="057BEC81">
            <w:pPr>
              <w:spacing w:line="0" w:lineRule="atLeast"/>
              <w:ind w:firstLine="420"/>
              <w:rPr>
                <w:rFonts w:cs="方正仿宋简体" w:asciiTheme="minorEastAsia" w:hAnsiTheme="minorEastAsia" w:eastAsiaTheme="minorEastAsia"/>
                <w:color w:val="000000" w:themeColor="text1"/>
                <w:szCs w:val="21"/>
                <w14:textFill>
                  <w14:solidFill>
                    <w14:schemeClr w14:val="tx1"/>
                  </w14:solidFill>
                </w14:textFill>
              </w:rPr>
            </w:pPr>
          </w:p>
        </w:tc>
        <w:tc>
          <w:tcPr>
            <w:tcW w:w="1701" w:type="dxa"/>
            <w:vMerge w:val="continue"/>
          </w:tcPr>
          <w:p w14:paraId="5507DA83">
            <w:pPr>
              <w:spacing w:line="0" w:lineRule="atLeast"/>
              <w:ind w:leftChars="-51" w:hanging="107" w:hangingChars="51"/>
              <w:rPr>
                <w:rFonts w:cs="方正仿宋简体" w:asciiTheme="minorEastAsia" w:hAnsiTheme="minorEastAsia" w:eastAsiaTheme="minorEastAsia"/>
                <w:color w:val="000000" w:themeColor="text1"/>
                <w:szCs w:val="21"/>
                <w14:textFill>
                  <w14:solidFill>
                    <w14:schemeClr w14:val="tx1"/>
                  </w14:solidFill>
                </w14:textFill>
              </w:rPr>
            </w:pPr>
          </w:p>
        </w:tc>
        <w:tc>
          <w:tcPr>
            <w:tcW w:w="1134" w:type="dxa"/>
            <w:tcBorders>
              <w:top w:val="single" w:color="auto" w:sz="4" w:space="0"/>
              <w:right w:val="single" w:color="auto" w:sz="4" w:space="0"/>
            </w:tcBorders>
          </w:tcPr>
          <w:p w14:paraId="59DA24D6">
            <w:pPr>
              <w:spacing w:line="0" w:lineRule="atLeast"/>
              <w:ind w:leftChars="-1" w:right="-149" w:rightChars="-71" w:hanging="2" w:hangingChars="1"/>
              <w:rPr>
                <w:rFonts w:cs="方正仿宋简体" w:asciiTheme="minorEastAsia" w:hAnsiTheme="minorEastAsia" w:eastAsiaTheme="minorEastAsia"/>
                <w:color w:val="000000" w:themeColor="text1"/>
                <w:szCs w:val="21"/>
                <w14:textFill>
                  <w14:solidFill>
                    <w14:schemeClr w14:val="tx1"/>
                  </w14:solidFill>
                </w14:textFill>
              </w:rPr>
            </w:pPr>
            <w:r>
              <w:rPr>
                <w:rFonts w:hint="eastAsia" w:cs="方正仿宋简体" w:asciiTheme="minorEastAsia" w:hAnsiTheme="minorEastAsia" w:eastAsiaTheme="minorEastAsia"/>
                <w:color w:val="000000" w:themeColor="text1"/>
                <w:szCs w:val="21"/>
                <w14:textFill>
                  <w14:solidFill>
                    <w14:schemeClr w14:val="tx1"/>
                  </w14:solidFill>
                </w14:textFill>
              </w:rPr>
              <w:t>16.2(2016)</w:t>
            </w:r>
          </w:p>
        </w:tc>
        <w:tc>
          <w:tcPr>
            <w:tcW w:w="1276" w:type="dxa"/>
            <w:gridSpan w:val="3"/>
            <w:tcBorders>
              <w:top w:val="single" w:color="auto" w:sz="4" w:space="0"/>
              <w:left w:val="single" w:color="auto" w:sz="4" w:space="0"/>
              <w:right w:val="single" w:color="auto" w:sz="4" w:space="0"/>
            </w:tcBorders>
          </w:tcPr>
          <w:p w14:paraId="0C9A1677">
            <w:pPr>
              <w:spacing w:line="0" w:lineRule="atLeast"/>
              <w:ind w:leftChars="-1" w:right="-69" w:rightChars="-33" w:hanging="2" w:hangingChars="1"/>
              <w:rPr>
                <w:rFonts w:cs="方正仿宋简体" w:asciiTheme="minorEastAsia" w:hAnsiTheme="minorEastAsia" w:eastAsiaTheme="minorEastAsia"/>
                <w:color w:val="000000" w:themeColor="text1"/>
                <w:szCs w:val="21"/>
                <w14:textFill>
                  <w14:solidFill>
                    <w14:schemeClr w14:val="tx1"/>
                  </w14:solidFill>
                </w14:textFill>
              </w:rPr>
            </w:pPr>
            <w:r>
              <w:rPr>
                <w:rFonts w:hint="eastAsia" w:cs="方正仿宋简体" w:asciiTheme="minorEastAsia" w:hAnsiTheme="minorEastAsia" w:eastAsiaTheme="minorEastAsia"/>
                <w:color w:val="000000" w:themeColor="text1"/>
                <w:szCs w:val="21"/>
                <w14:textFill>
                  <w14:solidFill>
                    <w14:schemeClr w14:val="tx1"/>
                  </w14:solidFill>
                </w14:textFill>
              </w:rPr>
              <w:t>17.8(2017）</w:t>
            </w:r>
          </w:p>
        </w:tc>
        <w:tc>
          <w:tcPr>
            <w:tcW w:w="1134" w:type="dxa"/>
            <w:gridSpan w:val="3"/>
            <w:tcBorders>
              <w:top w:val="single" w:color="auto" w:sz="4" w:space="0"/>
              <w:left w:val="single" w:color="auto" w:sz="4" w:space="0"/>
              <w:right w:val="single" w:color="auto" w:sz="4" w:space="0"/>
            </w:tcBorders>
          </w:tcPr>
          <w:p w14:paraId="29351D2F">
            <w:pPr>
              <w:spacing w:line="0" w:lineRule="atLeast"/>
              <w:ind w:left="36" w:leftChars="-33" w:right="-107" w:rightChars="-51" w:hanging="105" w:hangingChars="50"/>
              <w:rPr>
                <w:rFonts w:cs="方正仿宋简体" w:asciiTheme="minorEastAsia" w:hAnsiTheme="minorEastAsia" w:eastAsiaTheme="minorEastAsia"/>
                <w:color w:val="000000" w:themeColor="text1"/>
                <w:szCs w:val="21"/>
                <w14:textFill>
                  <w14:solidFill>
                    <w14:schemeClr w14:val="tx1"/>
                  </w14:solidFill>
                </w14:textFill>
              </w:rPr>
            </w:pPr>
            <w:r>
              <w:rPr>
                <w:rFonts w:hint="eastAsia" w:cs="方正仿宋简体" w:asciiTheme="minorEastAsia" w:hAnsiTheme="minorEastAsia" w:eastAsiaTheme="minorEastAsia"/>
                <w:color w:val="000000" w:themeColor="text1"/>
                <w:szCs w:val="21"/>
                <w14:textFill>
                  <w14:solidFill>
                    <w14:schemeClr w14:val="tx1"/>
                  </w14:solidFill>
                </w14:textFill>
              </w:rPr>
              <w:t>19.7(2018)</w:t>
            </w:r>
          </w:p>
        </w:tc>
        <w:tc>
          <w:tcPr>
            <w:tcW w:w="1134" w:type="dxa"/>
            <w:gridSpan w:val="3"/>
            <w:tcBorders>
              <w:top w:val="single" w:color="auto" w:sz="4" w:space="0"/>
              <w:left w:val="single" w:color="auto" w:sz="4" w:space="0"/>
              <w:right w:val="single" w:color="auto" w:sz="4" w:space="0"/>
            </w:tcBorders>
          </w:tcPr>
          <w:p w14:paraId="65C8D474">
            <w:pPr>
              <w:spacing w:line="0" w:lineRule="atLeast"/>
              <w:ind w:left="38" w:leftChars="-33" w:right="-107" w:rightChars="-51" w:hanging="107" w:hangingChars="51"/>
              <w:rPr>
                <w:rFonts w:cs="方正仿宋简体" w:asciiTheme="minorEastAsia" w:hAnsiTheme="minorEastAsia" w:eastAsiaTheme="minorEastAsia"/>
                <w:color w:val="000000" w:themeColor="text1"/>
                <w:szCs w:val="21"/>
                <w14:textFill>
                  <w14:solidFill>
                    <w14:schemeClr w14:val="tx1"/>
                  </w14:solidFill>
                </w14:textFill>
              </w:rPr>
            </w:pPr>
            <w:r>
              <w:rPr>
                <w:rFonts w:hint="eastAsia" w:cs="方正仿宋简体" w:asciiTheme="minorEastAsia" w:hAnsiTheme="minorEastAsia" w:eastAsiaTheme="minorEastAsia"/>
                <w:color w:val="000000" w:themeColor="text1"/>
                <w:szCs w:val="21"/>
                <w14:textFill>
                  <w14:solidFill>
                    <w14:schemeClr w14:val="tx1"/>
                  </w14:solidFill>
                </w14:textFill>
              </w:rPr>
              <w:t>21.7(2019)</w:t>
            </w:r>
          </w:p>
        </w:tc>
        <w:tc>
          <w:tcPr>
            <w:tcW w:w="991" w:type="dxa"/>
            <w:tcBorders>
              <w:top w:val="single" w:color="auto" w:sz="4" w:space="0"/>
              <w:left w:val="single" w:color="auto" w:sz="4" w:space="0"/>
            </w:tcBorders>
          </w:tcPr>
          <w:p w14:paraId="5864C6BC">
            <w:pPr>
              <w:spacing w:line="0" w:lineRule="atLeast"/>
              <w:ind w:leftChars="-1" w:right="-71" w:rightChars="-34" w:hanging="2" w:hangingChars="1"/>
              <w:rPr>
                <w:rFonts w:cs="方正仿宋简体" w:asciiTheme="minorEastAsia" w:hAnsiTheme="minorEastAsia" w:eastAsiaTheme="minorEastAsia"/>
                <w:color w:val="000000" w:themeColor="text1"/>
                <w:szCs w:val="21"/>
                <w14:textFill>
                  <w14:solidFill>
                    <w14:schemeClr w14:val="tx1"/>
                  </w14:solidFill>
                </w14:textFill>
              </w:rPr>
            </w:pPr>
            <w:r>
              <w:rPr>
                <w:rFonts w:hint="eastAsia" w:cs="方正仿宋简体" w:asciiTheme="minorEastAsia" w:hAnsiTheme="minorEastAsia" w:eastAsiaTheme="minorEastAsia"/>
                <w:color w:val="000000" w:themeColor="text1"/>
                <w:szCs w:val="21"/>
                <w14:textFill>
                  <w14:solidFill>
                    <w14:schemeClr w14:val="tx1"/>
                  </w14:solidFill>
                </w14:textFill>
              </w:rPr>
              <w:t>24（2020）</w:t>
            </w:r>
          </w:p>
        </w:tc>
      </w:tr>
      <w:tr w14:paraId="555339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5" w:hRule="atLeast"/>
        </w:trPr>
        <w:tc>
          <w:tcPr>
            <w:tcW w:w="1242" w:type="dxa"/>
            <w:vMerge w:val="restart"/>
          </w:tcPr>
          <w:p w14:paraId="27DEB149">
            <w:pPr>
              <w:spacing w:line="0" w:lineRule="atLeast"/>
              <w:rPr>
                <w:rFonts w:cs="方正仿宋简体" w:asciiTheme="minorEastAsia" w:hAnsiTheme="minorEastAsia" w:eastAsiaTheme="minorEastAsia"/>
                <w:color w:val="000000" w:themeColor="text1"/>
                <w:szCs w:val="21"/>
                <w14:textFill>
                  <w14:solidFill>
                    <w14:schemeClr w14:val="tx1"/>
                  </w14:solidFill>
                </w14:textFill>
              </w:rPr>
            </w:pPr>
            <w:r>
              <w:rPr>
                <w:rFonts w:hint="eastAsia" w:cs="方正仿宋简体" w:asciiTheme="minorEastAsia" w:hAnsiTheme="minorEastAsia" w:eastAsiaTheme="minorEastAsia"/>
                <w:color w:val="000000" w:themeColor="text1"/>
                <w:szCs w:val="21"/>
                <w14:textFill>
                  <w14:solidFill>
                    <w14:schemeClr w14:val="tx1"/>
                  </w14:solidFill>
                </w14:textFill>
              </w:rPr>
              <w:t>产业</w:t>
            </w:r>
          </w:p>
        </w:tc>
        <w:tc>
          <w:tcPr>
            <w:tcW w:w="1701" w:type="dxa"/>
            <w:tcBorders>
              <w:bottom w:val="single" w:color="auto" w:sz="4" w:space="0"/>
            </w:tcBorders>
          </w:tcPr>
          <w:p w14:paraId="199E9048">
            <w:pPr>
              <w:spacing w:line="0" w:lineRule="atLeast"/>
              <w:ind w:leftChars="-1" w:hanging="2" w:hangingChars="1"/>
              <w:rPr>
                <w:rFonts w:cs="方正仿宋简体" w:asciiTheme="minorEastAsia" w:hAnsiTheme="minorEastAsia" w:eastAsiaTheme="minorEastAsia"/>
                <w:color w:val="000000" w:themeColor="text1"/>
                <w:szCs w:val="21"/>
                <w14:textFill>
                  <w14:solidFill>
                    <w14:schemeClr w14:val="tx1"/>
                  </w14:solidFill>
                </w14:textFill>
              </w:rPr>
            </w:pPr>
            <w:r>
              <w:rPr>
                <w:rFonts w:hint="eastAsia" w:cs="方正仿宋简体" w:asciiTheme="minorEastAsia" w:hAnsiTheme="minorEastAsia" w:eastAsiaTheme="minorEastAsia"/>
                <w:color w:val="000000" w:themeColor="text1"/>
                <w:szCs w:val="21"/>
                <w14:textFill>
                  <w14:solidFill>
                    <w14:schemeClr w14:val="tx1"/>
                  </w14:solidFill>
                </w14:textFill>
              </w:rPr>
              <w:t>三次产业结构</w:t>
            </w:r>
          </w:p>
        </w:tc>
        <w:tc>
          <w:tcPr>
            <w:tcW w:w="5669" w:type="dxa"/>
            <w:gridSpan w:val="11"/>
            <w:tcBorders>
              <w:bottom w:val="single" w:color="auto" w:sz="4" w:space="0"/>
            </w:tcBorders>
          </w:tcPr>
          <w:p w14:paraId="456058E3">
            <w:pPr>
              <w:spacing w:line="0" w:lineRule="atLeast"/>
              <w:rPr>
                <w:rFonts w:cs="方正仿宋简体" w:asciiTheme="minorEastAsia" w:hAnsiTheme="minorEastAsia" w:eastAsiaTheme="minorEastAsia"/>
                <w:color w:val="000000" w:themeColor="text1"/>
                <w:szCs w:val="21"/>
                <w14:textFill>
                  <w14:solidFill>
                    <w14:schemeClr w14:val="tx1"/>
                  </w14:solidFill>
                </w14:textFill>
              </w:rPr>
            </w:pPr>
            <w:r>
              <w:rPr>
                <w:rFonts w:hint="eastAsia" w:cs="方正仿宋简体" w:asciiTheme="minorEastAsia" w:hAnsiTheme="minorEastAsia" w:eastAsiaTheme="minorEastAsia"/>
                <w:color w:val="000000" w:themeColor="text1"/>
                <w:szCs w:val="21"/>
                <w14:textFill>
                  <w14:solidFill>
                    <w14:schemeClr w14:val="tx1"/>
                  </w14:solidFill>
                </w14:textFill>
              </w:rPr>
              <w:t>第二产业比重30%,第三产业比重达到70%</w:t>
            </w:r>
          </w:p>
        </w:tc>
      </w:tr>
      <w:tr w14:paraId="0223DB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5" w:hRule="atLeast"/>
        </w:trPr>
        <w:tc>
          <w:tcPr>
            <w:tcW w:w="1242" w:type="dxa"/>
            <w:vMerge w:val="continue"/>
          </w:tcPr>
          <w:p w14:paraId="155897E8">
            <w:pPr>
              <w:spacing w:line="0" w:lineRule="atLeast"/>
              <w:ind w:firstLine="420"/>
              <w:rPr>
                <w:rFonts w:cs="方正仿宋简体" w:asciiTheme="minorEastAsia" w:hAnsiTheme="minorEastAsia" w:eastAsiaTheme="minorEastAsia"/>
                <w:color w:val="000000" w:themeColor="text1"/>
                <w:szCs w:val="21"/>
                <w14:textFill>
                  <w14:solidFill>
                    <w14:schemeClr w14:val="tx1"/>
                  </w14:solidFill>
                </w14:textFill>
              </w:rPr>
            </w:pPr>
          </w:p>
        </w:tc>
        <w:tc>
          <w:tcPr>
            <w:tcW w:w="1701" w:type="dxa"/>
            <w:vMerge w:val="restart"/>
            <w:tcBorders>
              <w:top w:val="single" w:color="auto" w:sz="4" w:space="0"/>
            </w:tcBorders>
          </w:tcPr>
          <w:p w14:paraId="0FA6E44F">
            <w:pPr>
              <w:spacing w:line="0" w:lineRule="atLeast"/>
              <w:rPr>
                <w:rFonts w:cs="方正仿宋简体" w:asciiTheme="minorEastAsia" w:hAnsiTheme="minorEastAsia" w:eastAsiaTheme="minorEastAsia"/>
                <w:color w:val="000000" w:themeColor="text1"/>
                <w:szCs w:val="21"/>
                <w14:textFill>
                  <w14:solidFill>
                    <w14:schemeClr w14:val="tx1"/>
                  </w14:solidFill>
                </w14:textFill>
              </w:rPr>
            </w:pPr>
            <w:r>
              <w:rPr>
                <w:rFonts w:hint="eastAsia" w:cs="方正仿宋简体" w:asciiTheme="minorEastAsia" w:hAnsiTheme="minorEastAsia" w:eastAsiaTheme="minorEastAsia"/>
                <w:color w:val="000000" w:themeColor="text1"/>
                <w:szCs w:val="21"/>
                <w14:textFill>
                  <w14:solidFill>
                    <w14:schemeClr w14:val="tx1"/>
                  </w14:solidFill>
                </w14:textFill>
              </w:rPr>
              <w:t>服务业</w:t>
            </w:r>
          </w:p>
        </w:tc>
        <w:tc>
          <w:tcPr>
            <w:tcW w:w="5669" w:type="dxa"/>
            <w:gridSpan w:val="11"/>
            <w:tcBorders>
              <w:top w:val="single" w:color="auto" w:sz="4" w:space="0"/>
              <w:bottom w:val="single" w:color="auto" w:sz="4" w:space="0"/>
            </w:tcBorders>
          </w:tcPr>
          <w:p w14:paraId="281AF4C8">
            <w:pPr>
              <w:spacing w:line="0" w:lineRule="atLeast"/>
              <w:rPr>
                <w:rFonts w:cs="方正仿宋简体" w:asciiTheme="minorEastAsia" w:hAnsiTheme="minorEastAsia" w:eastAsiaTheme="minorEastAsia"/>
                <w:color w:val="000000" w:themeColor="text1"/>
                <w:szCs w:val="21"/>
                <w14:textFill>
                  <w14:solidFill>
                    <w14:schemeClr w14:val="tx1"/>
                  </w14:solidFill>
                </w14:textFill>
              </w:rPr>
            </w:pPr>
            <w:r>
              <w:rPr>
                <w:rFonts w:hint="eastAsia" w:cs="方正仿宋简体" w:asciiTheme="minorEastAsia" w:hAnsiTheme="minorEastAsia" w:eastAsiaTheme="minorEastAsia"/>
                <w:color w:val="000000" w:themeColor="text1"/>
                <w:szCs w:val="21"/>
                <w14:textFill>
                  <w14:solidFill>
                    <w14:schemeClr w14:val="tx1"/>
                  </w14:solidFill>
                </w14:textFill>
              </w:rPr>
              <w:t>服务业增加值170亿元以上</w:t>
            </w:r>
          </w:p>
        </w:tc>
      </w:tr>
      <w:tr w14:paraId="3EDC9B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5" w:hRule="atLeast"/>
        </w:trPr>
        <w:tc>
          <w:tcPr>
            <w:tcW w:w="1242" w:type="dxa"/>
            <w:vMerge w:val="continue"/>
          </w:tcPr>
          <w:p w14:paraId="66656845">
            <w:pPr>
              <w:spacing w:line="0" w:lineRule="atLeast"/>
              <w:ind w:firstLine="420"/>
              <w:rPr>
                <w:rFonts w:cs="方正仿宋简体" w:asciiTheme="minorEastAsia" w:hAnsiTheme="minorEastAsia" w:eastAsiaTheme="minorEastAsia"/>
                <w:color w:val="000000" w:themeColor="text1"/>
                <w:szCs w:val="21"/>
                <w14:textFill>
                  <w14:solidFill>
                    <w14:schemeClr w14:val="tx1"/>
                  </w14:solidFill>
                </w14:textFill>
              </w:rPr>
            </w:pPr>
          </w:p>
        </w:tc>
        <w:tc>
          <w:tcPr>
            <w:tcW w:w="1701" w:type="dxa"/>
            <w:vMerge w:val="continue"/>
          </w:tcPr>
          <w:p w14:paraId="3F01E8E2">
            <w:pPr>
              <w:spacing w:line="0" w:lineRule="atLeast"/>
              <w:ind w:firstLine="420"/>
              <w:rPr>
                <w:rFonts w:cs="方正仿宋简体" w:asciiTheme="minorEastAsia" w:hAnsiTheme="minorEastAsia" w:eastAsiaTheme="minorEastAsia"/>
                <w:color w:val="000000" w:themeColor="text1"/>
                <w:szCs w:val="21"/>
                <w14:textFill>
                  <w14:solidFill>
                    <w14:schemeClr w14:val="tx1"/>
                  </w14:solidFill>
                </w14:textFill>
              </w:rPr>
            </w:pPr>
          </w:p>
        </w:tc>
        <w:tc>
          <w:tcPr>
            <w:tcW w:w="5669" w:type="dxa"/>
            <w:gridSpan w:val="11"/>
            <w:tcBorders>
              <w:top w:val="single" w:color="auto" w:sz="4" w:space="0"/>
              <w:bottom w:val="single" w:color="auto" w:sz="4" w:space="0"/>
            </w:tcBorders>
          </w:tcPr>
          <w:p w14:paraId="31D57E86">
            <w:pPr>
              <w:spacing w:line="0" w:lineRule="atLeast"/>
              <w:rPr>
                <w:rFonts w:cs="方正仿宋简体" w:asciiTheme="minorEastAsia" w:hAnsiTheme="minorEastAsia" w:eastAsiaTheme="minorEastAsia"/>
                <w:color w:val="000000" w:themeColor="text1"/>
                <w:szCs w:val="21"/>
                <w14:textFill>
                  <w14:solidFill>
                    <w14:schemeClr w14:val="tx1"/>
                  </w14:solidFill>
                </w14:textFill>
              </w:rPr>
            </w:pPr>
            <w:r>
              <w:rPr>
                <w:rFonts w:hint="eastAsia" w:cs="方正仿宋简体" w:asciiTheme="minorEastAsia" w:hAnsiTheme="minorEastAsia" w:eastAsiaTheme="minorEastAsia"/>
                <w:color w:val="000000" w:themeColor="text1"/>
                <w:szCs w:val="21"/>
                <w14:textFill>
                  <w14:solidFill>
                    <w14:schemeClr w14:val="tx1"/>
                  </w14:solidFill>
                </w14:textFill>
              </w:rPr>
              <w:t>商业商务、科技服务、旅游成为三井街道服务业增长点</w:t>
            </w:r>
          </w:p>
        </w:tc>
      </w:tr>
      <w:tr w14:paraId="11B893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 w:hRule="atLeast"/>
        </w:trPr>
        <w:tc>
          <w:tcPr>
            <w:tcW w:w="1242" w:type="dxa"/>
            <w:vMerge w:val="continue"/>
            <w:tcBorders>
              <w:bottom w:val="single" w:color="auto" w:sz="4" w:space="0"/>
            </w:tcBorders>
          </w:tcPr>
          <w:p w14:paraId="0ED3265D">
            <w:pPr>
              <w:spacing w:line="0" w:lineRule="atLeast"/>
              <w:ind w:firstLine="420"/>
              <w:rPr>
                <w:rFonts w:cs="方正仿宋简体" w:asciiTheme="minorEastAsia" w:hAnsiTheme="minorEastAsia" w:eastAsiaTheme="minorEastAsia"/>
                <w:color w:val="000000" w:themeColor="text1"/>
                <w:szCs w:val="21"/>
                <w14:textFill>
                  <w14:solidFill>
                    <w14:schemeClr w14:val="tx1"/>
                  </w14:solidFill>
                </w14:textFill>
              </w:rPr>
            </w:pPr>
          </w:p>
        </w:tc>
        <w:tc>
          <w:tcPr>
            <w:tcW w:w="1701" w:type="dxa"/>
            <w:vMerge w:val="continue"/>
            <w:tcBorders>
              <w:bottom w:val="single" w:color="auto" w:sz="4" w:space="0"/>
            </w:tcBorders>
          </w:tcPr>
          <w:p w14:paraId="6D23C377">
            <w:pPr>
              <w:spacing w:line="0" w:lineRule="atLeast"/>
              <w:ind w:firstLine="420"/>
              <w:rPr>
                <w:rFonts w:cs="方正仿宋简体" w:asciiTheme="minorEastAsia" w:hAnsiTheme="minorEastAsia" w:eastAsiaTheme="minorEastAsia"/>
                <w:color w:val="000000" w:themeColor="text1"/>
                <w:szCs w:val="21"/>
                <w14:textFill>
                  <w14:solidFill>
                    <w14:schemeClr w14:val="tx1"/>
                  </w14:solidFill>
                </w14:textFill>
              </w:rPr>
            </w:pPr>
          </w:p>
        </w:tc>
        <w:tc>
          <w:tcPr>
            <w:tcW w:w="5669" w:type="dxa"/>
            <w:gridSpan w:val="11"/>
            <w:tcBorders>
              <w:top w:val="single" w:color="auto" w:sz="4" w:space="0"/>
              <w:bottom w:val="single" w:color="auto" w:sz="4" w:space="0"/>
            </w:tcBorders>
          </w:tcPr>
          <w:p w14:paraId="4EAAABA4">
            <w:pPr>
              <w:spacing w:line="0" w:lineRule="atLeast"/>
              <w:rPr>
                <w:rFonts w:cs="方正仿宋简体" w:asciiTheme="minorEastAsia" w:hAnsiTheme="minorEastAsia" w:eastAsiaTheme="minorEastAsia"/>
                <w:color w:val="000000" w:themeColor="text1"/>
                <w:szCs w:val="21"/>
                <w14:textFill>
                  <w14:solidFill>
                    <w14:schemeClr w14:val="tx1"/>
                  </w14:solidFill>
                </w14:textFill>
              </w:rPr>
            </w:pPr>
            <w:r>
              <w:rPr>
                <w:rFonts w:hint="eastAsia" w:cs="方正仿宋简体" w:asciiTheme="minorEastAsia" w:hAnsiTheme="minorEastAsia" w:eastAsiaTheme="minorEastAsia"/>
                <w:color w:val="000000" w:themeColor="text1"/>
                <w:szCs w:val="21"/>
                <w14:textFill>
                  <w14:solidFill>
                    <w14:schemeClr w14:val="tx1"/>
                  </w14:solidFill>
                </w14:textFill>
              </w:rPr>
              <w:t>民生服务业、消费服务业满足本地居民需求</w:t>
            </w:r>
          </w:p>
        </w:tc>
      </w:tr>
      <w:tr w14:paraId="3099CD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2" w:hRule="atLeast"/>
        </w:trPr>
        <w:tc>
          <w:tcPr>
            <w:tcW w:w="1242" w:type="dxa"/>
            <w:vMerge w:val="restart"/>
            <w:tcBorders>
              <w:top w:val="single" w:color="auto" w:sz="4" w:space="0"/>
              <w:right w:val="single" w:color="auto" w:sz="4" w:space="0"/>
            </w:tcBorders>
          </w:tcPr>
          <w:p w14:paraId="254C8AF6">
            <w:pPr>
              <w:spacing w:line="0" w:lineRule="atLeast"/>
              <w:rPr>
                <w:rFonts w:cs="方正仿宋简体" w:asciiTheme="minorEastAsia" w:hAnsiTheme="minorEastAsia" w:eastAsiaTheme="minorEastAsia"/>
                <w:color w:val="000000" w:themeColor="text1"/>
                <w:szCs w:val="21"/>
                <w14:textFill>
                  <w14:solidFill>
                    <w14:schemeClr w14:val="tx1"/>
                  </w14:solidFill>
                </w14:textFill>
              </w:rPr>
            </w:pPr>
            <w:r>
              <w:rPr>
                <w:rFonts w:hint="eastAsia" w:cs="方正仿宋简体" w:asciiTheme="minorEastAsia" w:hAnsiTheme="minorEastAsia" w:eastAsiaTheme="minorEastAsia"/>
                <w:color w:val="000000" w:themeColor="text1"/>
                <w:szCs w:val="21"/>
                <w14:textFill>
                  <w14:solidFill>
                    <w14:schemeClr w14:val="tx1"/>
                  </w14:solidFill>
                </w14:textFill>
              </w:rPr>
              <w:t>科技创新</w:t>
            </w:r>
          </w:p>
        </w:tc>
        <w:tc>
          <w:tcPr>
            <w:tcW w:w="1701" w:type="dxa"/>
            <w:tcBorders>
              <w:top w:val="single" w:color="auto" w:sz="4" w:space="0"/>
              <w:left w:val="single" w:color="auto" w:sz="4" w:space="0"/>
              <w:bottom w:val="single" w:color="auto" w:sz="4" w:space="0"/>
              <w:right w:val="single" w:color="auto" w:sz="4" w:space="0"/>
            </w:tcBorders>
          </w:tcPr>
          <w:p w14:paraId="265155F5">
            <w:pPr>
              <w:spacing w:line="0" w:lineRule="atLeast"/>
              <w:rPr>
                <w:rFonts w:cs="方正仿宋简体" w:asciiTheme="minorEastAsia" w:hAnsiTheme="minorEastAsia" w:eastAsiaTheme="minorEastAsia"/>
                <w:color w:val="000000" w:themeColor="text1"/>
                <w:szCs w:val="21"/>
                <w14:textFill>
                  <w14:solidFill>
                    <w14:schemeClr w14:val="tx1"/>
                  </w14:solidFill>
                </w14:textFill>
              </w:rPr>
            </w:pPr>
            <w:r>
              <w:rPr>
                <w:rFonts w:hint="eastAsia" w:cs="方正仿宋简体" w:asciiTheme="minorEastAsia" w:hAnsiTheme="minorEastAsia" w:eastAsiaTheme="minorEastAsia"/>
                <w:color w:val="000000" w:themeColor="text1"/>
                <w:szCs w:val="21"/>
                <w14:textFill>
                  <w14:solidFill>
                    <w14:schemeClr w14:val="tx1"/>
                  </w14:solidFill>
                </w14:textFill>
              </w:rPr>
              <w:t>研究机构</w:t>
            </w:r>
          </w:p>
        </w:tc>
        <w:tc>
          <w:tcPr>
            <w:tcW w:w="5669" w:type="dxa"/>
            <w:gridSpan w:val="11"/>
            <w:tcBorders>
              <w:top w:val="single" w:color="auto" w:sz="4" w:space="0"/>
              <w:left w:val="single" w:color="auto" w:sz="4" w:space="0"/>
              <w:bottom w:val="single" w:color="auto" w:sz="4" w:space="0"/>
            </w:tcBorders>
          </w:tcPr>
          <w:p w14:paraId="2795738C">
            <w:pPr>
              <w:tabs>
                <w:tab w:val="left" w:pos="1320"/>
              </w:tabs>
              <w:spacing w:line="0" w:lineRule="atLeast"/>
              <w:rPr>
                <w:rFonts w:cs="方正仿宋简体" w:asciiTheme="minorEastAsia" w:hAnsiTheme="minorEastAsia" w:eastAsiaTheme="minorEastAsia"/>
                <w:color w:val="000000" w:themeColor="text1"/>
                <w:szCs w:val="21"/>
                <w14:textFill>
                  <w14:solidFill>
                    <w14:schemeClr w14:val="tx1"/>
                  </w14:solidFill>
                </w14:textFill>
              </w:rPr>
            </w:pPr>
            <w:r>
              <w:rPr>
                <w:rFonts w:hint="eastAsia" w:cs="方正仿宋简体" w:asciiTheme="minorEastAsia" w:hAnsiTheme="minorEastAsia" w:eastAsiaTheme="minorEastAsia"/>
                <w:color w:val="000000" w:themeColor="text1"/>
                <w:szCs w:val="21"/>
                <w14:textFill>
                  <w14:solidFill>
                    <w14:schemeClr w14:val="tx1"/>
                  </w14:solidFill>
                </w14:textFill>
              </w:rPr>
              <w:t>建立1家隶属于江苏产业技术研究院管辖的专业研究所</w:t>
            </w:r>
          </w:p>
        </w:tc>
      </w:tr>
      <w:tr w14:paraId="2C9584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5" w:hRule="atLeast"/>
        </w:trPr>
        <w:tc>
          <w:tcPr>
            <w:tcW w:w="1242" w:type="dxa"/>
            <w:vMerge w:val="continue"/>
            <w:tcBorders>
              <w:top w:val="single" w:color="auto" w:sz="4" w:space="0"/>
              <w:right w:val="single" w:color="auto" w:sz="4" w:space="0"/>
            </w:tcBorders>
          </w:tcPr>
          <w:p w14:paraId="59D1B165">
            <w:pPr>
              <w:spacing w:line="0" w:lineRule="atLeast"/>
              <w:ind w:firstLine="420"/>
              <w:rPr>
                <w:rFonts w:cs="方正仿宋简体" w:asciiTheme="minorEastAsia" w:hAnsiTheme="minorEastAsia" w:eastAsiaTheme="minorEastAsia"/>
                <w:color w:val="000000" w:themeColor="text1"/>
                <w:szCs w:val="21"/>
                <w14:textFill>
                  <w14:solidFill>
                    <w14:schemeClr w14:val="tx1"/>
                  </w14:solidFill>
                </w14:textFill>
              </w:rPr>
            </w:pPr>
          </w:p>
        </w:tc>
        <w:tc>
          <w:tcPr>
            <w:tcW w:w="1701" w:type="dxa"/>
            <w:tcBorders>
              <w:top w:val="single" w:color="auto" w:sz="4" w:space="0"/>
              <w:left w:val="single" w:color="auto" w:sz="4" w:space="0"/>
              <w:bottom w:val="single" w:color="auto" w:sz="4" w:space="0"/>
              <w:right w:val="single" w:color="auto" w:sz="4" w:space="0"/>
            </w:tcBorders>
          </w:tcPr>
          <w:p w14:paraId="5CEF9DA7">
            <w:pPr>
              <w:spacing w:line="0" w:lineRule="atLeast"/>
              <w:ind w:leftChars="-1" w:hanging="2" w:hangingChars="1"/>
              <w:rPr>
                <w:rFonts w:cs="方正仿宋简体" w:asciiTheme="minorEastAsia" w:hAnsiTheme="minorEastAsia" w:eastAsiaTheme="minorEastAsia"/>
                <w:color w:val="000000" w:themeColor="text1"/>
                <w:szCs w:val="21"/>
                <w14:textFill>
                  <w14:solidFill>
                    <w14:schemeClr w14:val="tx1"/>
                  </w14:solidFill>
                </w14:textFill>
              </w:rPr>
            </w:pPr>
            <w:r>
              <w:rPr>
                <w:rFonts w:hint="eastAsia" w:cs="方正仿宋简体" w:asciiTheme="minorEastAsia" w:hAnsiTheme="minorEastAsia" w:eastAsiaTheme="minorEastAsia"/>
                <w:color w:val="000000" w:themeColor="text1"/>
                <w:szCs w:val="21"/>
                <w14:textFill>
                  <w14:solidFill>
                    <w14:schemeClr w14:val="tx1"/>
                  </w14:solidFill>
                </w14:textFill>
              </w:rPr>
              <w:t>高新技术企业</w:t>
            </w:r>
          </w:p>
        </w:tc>
        <w:tc>
          <w:tcPr>
            <w:tcW w:w="5669" w:type="dxa"/>
            <w:gridSpan w:val="11"/>
            <w:tcBorders>
              <w:top w:val="single" w:color="auto" w:sz="4" w:space="0"/>
              <w:left w:val="single" w:color="auto" w:sz="4" w:space="0"/>
              <w:bottom w:val="single" w:color="auto" w:sz="4" w:space="0"/>
            </w:tcBorders>
          </w:tcPr>
          <w:p w14:paraId="2C6E36C9">
            <w:pPr>
              <w:tabs>
                <w:tab w:val="left" w:pos="1320"/>
              </w:tabs>
              <w:spacing w:line="0" w:lineRule="atLeast"/>
              <w:rPr>
                <w:rFonts w:cs="方正仿宋简体" w:asciiTheme="minorEastAsia" w:hAnsiTheme="minorEastAsia" w:eastAsiaTheme="minorEastAsia"/>
                <w:color w:val="000000" w:themeColor="text1"/>
                <w:szCs w:val="21"/>
                <w14:textFill>
                  <w14:solidFill>
                    <w14:schemeClr w14:val="tx1"/>
                  </w14:solidFill>
                </w14:textFill>
              </w:rPr>
            </w:pPr>
            <w:r>
              <w:rPr>
                <w:rFonts w:hint="eastAsia" w:cs="方正仿宋简体" w:asciiTheme="minorEastAsia" w:hAnsiTheme="minorEastAsia" w:eastAsiaTheme="minorEastAsia"/>
                <w:color w:val="000000" w:themeColor="text1"/>
                <w:szCs w:val="21"/>
                <w14:textFill>
                  <w14:solidFill>
                    <w14:schemeClr w14:val="tx1"/>
                  </w14:solidFill>
                </w14:textFill>
              </w:rPr>
              <w:t>新认定高新技术企业50家，年均认定企业10家</w:t>
            </w:r>
          </w:p>
        </w:tc>
      </w:tr>
      <w:tr w14:paraId="00AA18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0" w:hRule="atLeast"/>
        </w:trPr>
        <w:tc>
          <w:tcPr>
            <w:tcW w:w="1242" w:type="dxa"/>
            <w:vMerge w:val="continue"/>
            <w:tcBorders>
              <w:top w:val="single" w:color="auto" w:sz="4" w:space="0"/>
              <w:right w:val="single" w:color="auto" w:sz="4" w:space="0"/>
            </w:tcBorders>
          </w:tcPr>
          <w:p w14:paraId="3297B2DD">
            <w:pPr>
              <w:spacing w:line="0" w:lineRule="atLeast"/>
              <w:ind w:firstLine="420"/>
              <w:rPr>
                <w:rFonts w:cs="方正仿宋简体" w:asciiTheme="minorEastAsia" w:hAnsiTheme="minorEastAsia" w:eastAsiaTheme="minorEastAsia"/>
                <w:color w:val="000000" w:themeColor="text1"/>
                <w:szCs w:val="21"/>
                <w14:textFill>
                  <w14:solidFill>
                    <w14:schemeClr w14:val="tx1"/>
                  </w14:solidFill>
                </w14:textFill>
              </w:rPr>
            </w:pPr>
          </w:p>
        </w:tc>
        <w:tc>
          <w:tcPr>
            <w:tcW w:w="1701" w:type="dxa"/>
            <w:tcBorders>
              <w:top w:val="single" w:color="auto" w:sz="4" w:space="0"/>
              <w:left w:val="single" w:color="auto" w:sz="4" w:space="0"/>
              <w:bottom w:val="single" w:color="auto" w:sz="4" w:space="0"/>
              <w:right w:val="single" w:color="auto" w:sz="4" w:space="0"/>
            </w:tcBorders>
          </w:tcPr>
          <w:p w14:paraId="49409B31">
            <w:pPr>
              <w:spacing w:line="0" w:lineRule="atLeast"/>
              <w:ind w:leftChars="-1" w:hanging="2" w:hangingChars="1"/>
              <w:rPr>
                <w:rFonts w:cs="方正仿宋简体" w:asciiTheme="minorEastAsia" w:hAnsiTheme="minorEastAsia" w:eastAsiaTheme="minorEastAsia"/>
                <w:color w:val="000000" w:themeColor="text1"/>
                <w:szCs w:val="21"/>
                <w14:textFill>
                  <w14:solidFill>
                    <w14:schemeClr w14:val="tx1"/>
                  </w14:solidFill>
                </w14:textFill>
              </w:rPr>
            </w:pPr>
            <w:r>
              <w:rPr>
                <w:rFonts w:hint="eastAsia" w:cs="方正仿宋简体" w:asciiTheme="minorEastAsia" w:hAnsiTheme="minorEastAsia" w:eastAsiaTheme="minorEastAsia"/>
                <w:color w:val="000000" w:themeColor="text1"/>
                <w:szCs w:val="21"/>
                <w14:textFill>
                  <w14:solidFill>
                    <w14:schemeClr w14:val="tx1"/>
                  </w14:solidFill>
                </w14:textFill>
              </w:rPr>
              <w:t>高新技术产品</w:t>
            </w:r>
          </w:p>
        </w:tc>
        <w:tc>
          <w:tcPr>
            <w:tcW w:w="5669" w:type="dxa"/>
            <w:gridSpan w:val="11"/>
            <w:tcBorders>
              <w:top w:val="single" w:color="auto" w:sz="4" w:space="0"/>
              <w:left w:val="single" w:color="auto" w:sz="4" w:space="0"/>
              <w:bottom w:val="single" w:color="auto" w:sz="4" w:space="0"/>
            </w:tcBorders>
          </w:tcPr>
          <w:p w14:paraId="370D4CE4">
            <w:pPr>
              <w:tabs>
                <w:tab w:val="left" w:pos="1320"/>
              </w:tabs>
              <w:spacing w:line="0" w:lineRule="atLeast"/>
              <w:rPr>
                <w:rFonts w:cs="方正仿宋简体" w:asciiTheme="minorEastAsia" w:hAnsiTheme="minorEastAsia" w:eastAsiaTheme="minorEastAsia"/>
                <w:color w:val="000000" w:themeColor="text1"/>
                <w:szCs w:val="21"/>
                <w14:textFill>
                  <w14:solidFill>
                    <w14:schemeClr w14:val="tx1"/>
                  </w14:solidFill>
                </w14:textFill>
              </w:rPr>
            </w:pPr>
            <w:r>
              <w:rPr>
                <w:rFonts w:hint="eastAsia" w:cs="方正仿宋简体" w:asciiTheme="minorEastAsia" w:hAnsiTheme="minorEastAsia" w:eastAsiaTheme="minorEastAsia"/>
                <w:color w:val="000000" w:themeColor="text1"/>
                <w:szCs w:val="21"/>
                <w14:textFill>
                  <w14:solidFill>
                    <w14:schemeClr w14:val="tx1"/>
                  </w14:solidFill>
                </w14:textFill>
              </w:rPr>
              <w:t>新认定高新技术产品200个，年均认定产品40个</w:t>
            </w:r>
          </w:p>
        </w:tc>
      </w:tr>
      <w:tr w14:paraId="4BDCAB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5" w:hRule="atLeast"/>
        </w:trPr>
        <w:tc>
          <w:tcPr>
            <w:tcW w:w="1242" w:type="dxa"/>
            <w:vMerge w:val="continue"/>
            <w:tcBorders>
              <w:top w:val="single" w:color="auto" w:sz="4" w:space="0"/>
              <w:right w:val="single" w:color="auto" w:sz="4" w:space="0"/>
            </w:tcBorders>
          </w:tcPr>
          <w:p w14:paraId="0B5136E4">
            <w:pPr>
              <w:spacing w:line="0" w:lineRule="atLeast"/>
              <w:ind w:firstLine="420"/>
              <w:rPr>
                <w:rFonts w:cs="方正仿宋简体" w:asciiTheme="minorEastAsia" w:hAnsiTheme="minorEastAsia" w:eastAsiaTheme="minorEastAsia"/>
                <w:color w:val="000000" w:themeColor="text1"/>
                <w:szCs w:val="21"/>
                <w14:textFill>
                  <w14:solidFill>
                    <w14:schemeClr w14:val="tx1"/>
                  </w14:solidFill>
                </w14:textFill>
              </w:rPr>
            </w:pPr>
          </w:p>
        </w:tc>
        <w:tc>
          <w:tcPr>
            <w:tcW w:w="1701" w:type="dxa"/>
            <w:tcBorders>
              <w:top w:val="single" w:color="auto" w:sz="4" w:space="0"/>
              <w:left w:val="single" w:color="auto" w:sz="4" w:space="0"/>
              <w:bottom w:val="single" w:color="auto" w:sz="4" w:space="0"/>
              <w:right w:val="single" w:color="auto" w:sz="4" w:space="0"/>
            </w:tcBorders>
          </w:tcPr>
          <w:p w14:paraId="6CD004F5">
            <w:pPr>
              <w:spacing w:line="0" w:lineRule="atLeast"/>
              <w:ind w:leftChars="-1" w:right="-107" w:rightChars="-51" w:hanging="2" w:hangingChars="1"/>
              <w:rPr>
                <w:rFonts w:cs="方正仿宋简体" w:asciiTheme="minorEastAsia" w:hAnsiTheme="minorEastAsia" w:eastAsiaTheme="minorEastAsia"/>
                <w:color w:val="000000" w:themeColor="text1"/>
                <w:szCs w:val="21"/>
                <w14:textFill>
                  <w14:solidFill>
                    <w14:schemeClr w14:val="tx1"/>
                  </w14:solidFill>
                </w14:textFill>
              </w:rPr>
            </w:pPr>
            <w:r>
              <w:rPr>
                <w:rFonts w:hint="eastAsia" w:cs="方正仿宋简体" w:asciiTheme="minorEastAsia" w:hAnsiTheme="minorEastAsia" w:eastAsiaTheme="minorEastAsia"/>
                <w:color w:val="000000" w:themeColor="text1"/>
                <w:szCs w:val="21"/>
                <w14:textFill>
                  <w14:solidFill>
                    <w14:schemeClr w14:val="tx1"/>
                  </w14:solidFill>
                </w14:textFill>
              </w:rPr>
              <w:t>高新技术企业</w:t>
            </w:r>
          </w:p>
          <w:p w14:paraId="462B6ABA">
            <w:pPr>
              <w:spacing w:line="0" w:lineRule="atLeast"/>
              <w:ind w:leftChars="-1" w:right="-107" w:rightChars="-51" w:hanging="2" w:hangingChars="1"/>
              <w:rPr>
                <w:rFonts w:cs="方正仿宋简体" w:asciiTheme="minorEastAsia" w:hAnsiTheme="minorEastAsia" w:eastAsiaTheme="minorEastAsia"/>
                <w:color w:val="000000" w:themeColor="text1"/>
                <w:szCs w:val="21"/>
                <w14:textFill>
                  <w14:solidFill>
                    <w14:schemeClr w14:val="tx1"/>
                  </w14:solidFill>
                </w14:textFill>
              </w:rPr>
            </w:pPr>
            <w:r>
              <w:rPr>
                <w:rFonts w:hint="eastAsia" w:cs="方正仿宋简体" w:asciiTheme="minorEastAsia" w:hAnsiTheme="minorEastAsia" w:eastAsiaTheme="minorEastAsia"/>
                <w:color w:val="000000" w:themeColor="text1"/>
                <w:szCs w:val="21"/>
                <w14:textFill>
                  <w14:solidFill>
                    <w14:schemeClr w14:val="tx1"/>
                  </w14:solidFill>
                </w14:textFill>
              </w:rPr>
              <w:t>产值</w:t>
            </w:r>
          </w:p>
        </w:tc>
        <w:tc>
          <w:tcPr>
            <w:tcW w:w="5669" w:type="dxa"/>
            <w:gridSpan w:val="11"/>
            <w:tcBorders>
              <w:top w:val="single" w:color="auto" w:sz="4" w:space="0"/>
              <w:left w:val="single" w:color="auto" w:sz="4" w:space="0"/>
              <w:bottom w:val="single" w:color="auto" w:sz="4" w:space="0"/>
            </w:tcBorders>
          </w:tcPr>
          <w:p w14:paraId="05DFA9B3">
            <w:pPr>
              <w:tabs>
                <w:tab w:val="left" w:pos="1320"/>
              </w:tabs>
              <w:spacing w:line="0" w:lineRule="atLeast"/>
              <w:rPr>
                <w:rFonts w:cs="方正仿宋简体" w:asciiTheme="minorEastAsia" w:hAnsiTheme="minorEastAsia" w:eastAsiaTheme="minorEastAsia"/>
                <w:color w:val="000000" w:themeColor="text1"/>
                <w:szCs w:val="21"/>
                <w14:textFill>
                  <w14:solidFill>
                    <w14:schemeClr w14:val="tx1"/>
                  </w14:solidFill>
                </w14:textFill>
              </w:rPr>
            </w:pPr>
            <w:r>
              <w:rPr>
                <w:rFonts w:hint="eastAsia" w:cs="方正仿宋简体" w:asciiTheme="minorEastAsia" w:hAnsiTheme="minorEastAsia" w:eastAsiaTheme="minorEastAsia"/>
                <w:color w:val="000000" w:themeColor="text1"/>
                <w:szCs w:val="21"/>
                <w14:textFill>
                  <w14:solidFill>
                    <w14:schemeClr w14:val="tx1"/>
                  </w14:solidFill>
                </w14:textFill>
              </w:rPr>
              <w:t>高新技术企业产值占规模以上工业产值60%，年均增加2个百分点以上。</w:t>
            </w:r>
          </w:p>
        </w:tc>
      </w:tr>
      <w:tr w14:paraId="1EE3E2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0" w:hRule="atLeast"/>
        </w:trPr>
        <w:tc>
          <w:tcPr>
            <w:tcW w:w="1242" w:type="dxa"/>
            <w:vMerge w:val="continue"/>
            <w:tcBorders>
              <w:right w:val="single" w:color="auto" w:sz="4" w:space="0"/>
            </w:tcBorders>
          </w:tcPr>
          <w:p w14:paraId="597CE147">
            <w:pPr>
              <w:spacing w:line="0" w:lineRule="atLeast"/>
              <w:ind w:firstLine="420"/>
              <w:rPr>
                <w:rFonts w:cs="方正仿宋简体" w:asciiTheme="minorEastAsia" w:hAnsiTheme="minorEastAsia" w:eastAsiaTheme="minorEastAsia"/>
                <w:color w:val="000000" w:themeColor="text1"/>
                <w:szCs w:val="21"/>
                <w14:textFill>
                  <w14:solidFill>
                    <w14:schemeClr w14:val="tx1"/>
                  </w14:solidFill>
                </w14:textFill>
              </w:rPr>
            </w:pPr>
          </w:p>
        </w:tc>
        <w:tc>
          <w:tcPr>
            <w:tcW w:w="1701" w:type="dxa"/>
            <w:vMerge w:val="restart"/>
            <w:tcBorders>
              <w:top w:val="single" w:color="auto" w:sz="4" w:space="0"/>
              <w:left w:val="single" w:color="auto" w:sz="4" w:space="0"/>
              <w:right w:val="single" w:color="auto" w:sz="4" w:space="0"/>
            </w:tcBorders>
          </w:tcPr>
          <w:p w14:paraId="7128468A">
            <w:pPr>
              <w:spacing w:line="0" w:lineRule="atLeast"/>
              <w:rPr>
                <w:rFonts w:cs="方正仿宋简体" w:asciiTheme="minorEastAsia" w:hAnsiTheme="minorEastAsia" w:eastAsiaTheme="minorEastAsia"/>
                <w:color w:val="000000" w:themeColor="text1"/>
                <w:szCs w:val="21"/>
                <w14:textFill>
                  <w14:solidFill>
                    <w14:schemeClr w14:val="tx1"/>
                  </w14:solidFill>
                </w14:textFill>
              </w:rPr>
            </w:pPr>
            <w:r>
              <w:rPr>
                <w:rFonts w:hint="eastAsia" w:cs="方正仿宋简体" w:asciiTheme="minorEastAsia" w:hAnsiTheme="minorEastAsia" w:eastAsiaTheme="minorEastAsia"/>
                <w:color w:val="000000" w:themeColor="text1"/>
                <w:szCs w:val="21"/>
                <w14:textFill>
                  <w14:solidFill>
                    <w14:schemeClr w14:val="tx1"/>
                  </w14:solidFill>
                </w14:textFill>
              </w:rPr>
              <w:t>引进人才和项目</w:t>
            </w:r>
          </w:p>
        </w:tc>
        <w:tc>
          <w:tcPr>
            <w:tcW w:w="5669" w:type="dxa"/>
            <w:gridSpan w:val="11"/>
            <w:tcBorders>
              <w:top w:val="single" w:color="auto" w:sz="4" w:space="0"/>
              <w:left w:val="single" w:color="auto" w:sz="4" w:space="0"/>
              <w:bottom w:val="single" w:color="auto" w:sz="4" w:space="0"/>
            </w:tcBorders>
          </w:tcPr>
          <w:p w14:paraId="3DF01215">
            <w:pPr>
              <w:tabs>
                <w:tab w:val="left" w:pos="1320"/>
              </w:tabs>
              <w:spacing w:line="0" w:lineRule="atLeast"/>
              <w:rPr>
                <w:rFonts w:cs="方正仿宋简体"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引进国家“千人计划”人才合计30人，年均6人</w:t>
            </w:r>
          </w:p>
        </w:tc>
      </w:tr>
      <w:tr w14:paraId="384003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 w:hRule="atLeast"/>
        </w:trPr>
        <w:tc>
          <w:tcPr>
            <w:tcW w:w="1242" w:type="dxa"/>
            <w:vMerge w:val="continue"/>
            <w:tcBorders>
              <w:right w:val="single" w:color="auto" w:sz="4" w:space="0"/>
            </w:tcBorders>
          </w:tcPr>
          <w:p w14:paraId="73D5E655">
            <w:pPr>
              <w:spacing w:line="0" w:lineRule="atLeast"/>
              <w:ind w:firstLine="420"/>
              <w:rPr>
                <w:rFonts w:cs="方正仿宋简体" w:asciiTheme="minorEastAsia" w:hAnsiTheme="minorEastAsia" w:eastAsiaTheme="minorEastAsia"/>
                <w:color w:val="000000" w:themeColor="text1"/>
                <w:szCs w:val="21"/>
                <w14:textFill>
                  <w14:solidFill>
                    <w14:schemeClr w14:val="tx1"/>
                  </w14:solidFill>
                </w14:textFill>
              </w:rPr>
            </w:pPr>
          </w:p>
        </w:tc>
        <w:tc>
          <w:tcPr>
            <w:tcW w:w="1701" w:type="dxa"/>
            <w:vMerge w:val="continue"/>
            <w:tcBorders>
              <w:top w:val="single" w:color="auto" w:sz="4" w:space="0"/>
              <w:left w:val="single" w:color="auto" w:sz="4" w:space="0"/>
              <w:right w:val="single" w:color="auto" w:sz="4" w:space="0"/>
            </w:tcBorders>
          </w:tcPr>
          <w:p w14:paraId="5ACFE1E7">
            <w:pPr>
              <w:spacing w:line="0" w:lineRule="atLeast"/>
              <w:ind w:firstLine="420"/>
              <w:rPr>
                <w:rFonts w:cs="方正仿宋简体" w:asciiTheme="minorEastAsia" w:hAnsiTheme="minorEastAsia" w:eastAsiaTheme="minorEastAsia"/>
                <w:color w:val="000000" w:themeColor="text1"/>
                <w:szCs w:val="21"/>
                <w14:textFill>
                  <w14:solidFill>
                    <w14:schemeClr w14:val="tx1"/>
                  </w14:solidFill>
                </w14:textFill>
              </w:rPr>
            </w:pPr>
          </w:p>
        </w:tc>
        <w:tc>
          <w:tcPr>
            <w:tcW w:w="5669" w:type="dxa"/>
            <w:gridSpan w:val="11"/>
            <w:tcBorders>
              <w:top w:val="single" w:color="auto" w:sz="4" w:space="0"/>
              <w:left w:val="single" w:color="auto" w:sz="4" w:space="0"/>
              <w:bottom w:val="single" w:color="auto" w:sz="4" w:space="0"/>
            </w:tcBorders>
          </w:tcPr>
          <w:p w14:paraId="77DD0BDF">
            <w:pPr>
              <w:tabs>
                <w:tab w:val="left" w:pos="1320"/>
              </w:tabs>
              <w:spacing w:line="0" w:lineRule="atLeast"/>
              <w:rPr>
                <w:rFonts w:cs="方正仿宋简体"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引进省“双创”项目合计40个，年均8个</w:t>
            </w:r>
          </w:p>
        </w:tc>
      </w:tr>
      <w:tr w14:paraId="472B2A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2" w:hRule="atLeast"/>
        </w:trPr>
        <w:tc>
          <w:tcPr>
            <w:tcW w:w="1242" w:type="dxa"/>
            <w:vMerge w:val="continue"/>
            <w:tcBorders>
              <w:right w:val="single" w:color="auto" w:sz="4" w:space="0"/>
            </w:tcBorders>
          </w:tcPr>
          <w:p w14:paraId="629938D2">
            <w:pPr>
              <w:spacing w:line="0" w:lineRule="atLeast"/>
              <w:ind w:firstLine="420"/>
              <w:rPr>
                <w:rFonts w:cs="方正仿宋简体" w:asciiTheme="minorEastAsia" w:hAnsiTheme="minorEastAsia" w:eastAsiaTheme="minorEastAsia"/>
                <w:color w:val="000000" w:themeColor="text1"/>
                <w:szCs w:val="21"/>
                <w14:textFill>
                  <w14:solidFill>
                    <w14:schemeClr w14:val="tx1"/>
                  </w14:solidFill>
                </w14:textFill>
              </w:rPr>
            </w:pPr>
          </w:p>
        </w:tc>
        <w:tc>
          <w:tcPr>
            <w:tcW w:w="1701" w:type="dxa"/>
            <w:vMerge w:val="continue"/>
            <w:tcBorders>
              <w:left w:val="single" w:color="auto" w:sz="4" w:space="0"/>
              <w:right w:val="single" w:color="auto" w:sz="4" w:space="0"/>
            </w:tcBorders>
          </w:tcPr>
          <w:p w14:paraId="07D24D7A">
            <w:pPr>
              <w:spacing w:line="0" w:lineRule="atLeast"/>
              <w:ind w:firstLine="420"/>
              <w:rPr>
                <w:rFonts w:cs="方正仿宋简体" w:asciiTheme="minorEastAsia" w:hAnsiTheme="minorEastAsia" w:eastAsiaTheme="minorEastAsia"/>
                <w:color w:val="000000" w:themeColor="text1"/>
                <w:szCs w:val="21"/>
                <w14:textFill>
                  <w14:solidFill>
                    <w14:schemeClr w14:val="tx1"/>
                  </w14:solidFill>
                </w14:textFill>
              </w:rPr>
            </w:pPr>
          </w:p>
        </w:tc>
        <w:tc>
          <w:tcPr>
            <w:tcW w:w="5669" w:type="dxa"/>
            <w:gridSpan w:val="11"/>
            <w:tcBorders>
              <w:top w:val="single" w:color="auto" w:sz="4" w:space="0"/>
              <w:left w:val="single" w:color="auto" w:sz="4" w:space="0"/>
            </w:tcBorders>
          </w:tcPr>
          <w:p w14:paraId="03D4A5BD">
            <w:pPr>
              <w:tabs>
                <w:tab w:val="left" w:pos="1320"/>
              </w:tabs>
              <w:spacing w:line="0" w:lineRule="atLeast"/>
              <w:rPr>
                <w:rFonts w:cs="方正仿宋简体"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引进市“龙城英才计划”项目100个，年均20个</w:t>
            </w:r>
          </w:p>
        </w:tc>
      </w:tr>
      <w:tr w14:paraId="735F69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3" w:hRule="atLeast"/>
        </w:trPr>
        <w:tc>
          <w:tcPr>
            <w:tcW w:w="1242" w:type="dxa"/>
          </w:tcPr>
          <w:p w14:paraId="0B1DDD1B">
            <w:pPr>
              <w:spacing w:line="0" w:lineRule="atLeast"/>
              <w:rPr>
                <w:rFonts w:cs="方正仿宋简体" w:asciiTheme="minorEastAsia" w:hAnsiTheme="minorEastAsia" w:eastAsiaTheme="minorEastAsia"/>
                <w:color w:val="000000" w:themeColor="text1"/>
                <w:szCs w:val="21"/>
                <w14:textFill>
                  <w14:solidFill>
                    <w14:schemeClr w14:val="tx1"/>
                  </w14:solidFill>
                </w14:textFill>
              </w:rPr>
            </w:pPr>
            <w:r>
              <w:rPr>
                <w:rFonts w:hint="eastAsia" w:cs="方正仿宋简体" w:asciiTheme="minorEastAsia" w:hAnsiTheme="minorEastAsia" w:eastAsiaTheme="minorEastAsia"/>
                <w:color w:val="000000" w:themeColor="text1"/>
                <w:szCs w:val="21"/>
                <w14:textFill>
                  <w14:solidFill>
                    <w14:schemeClr w14:val="tx1"/>
                  </w14:solidFill>
                </w14:textFill>
              </w:rPr>
              <w:t>居民收入</w:t>
            </w:r>
          </w:p>
        </w:tc>
        <w:tc>
          <w:tcPr>
            <w:tcW w:w="1701" w:type="dxa"/>
            <w:tcBorders>
              <w:bottom w:val="single" w:color="auto" w:sz="4" w:space="0"/>
            </w:tcBorders>
          </w:tcPr>
          <w:p w14:paraId="7238F9EF">
            <w:pPr>
              <w:spacing w:line="0" w:lineRule="atLeast"/>
              <w:rPr>
                <w:rFonts w:cs="方正仿宋简体" w:asciiTheme="minorEastAsia" w:hAnsiTheme="minorEastAsia" w:eastAsiaTheme="minorEastAsia"/>
                <w:color w:val="000000" w:themeColor="text1"/>
                <w:szCs w:val="21"/>
                <w14:textFill>
                  <w14:solidFill>
                    <w14:schemeClr w14:val="tx1"/>
                  </w14:solidFill>
                </w14:textFill>
              </w:rPr>
            </w:pPr>
            <w:r>
              <w:rPr>
                <w:rFonts w:hint="eastAsia" w:cs="方正仿宋简体" w:asciiTheme="minorEastAsia" w:hAnsiTheme="minorEastAsia" w:eastAsiaTheme="minorEastAsia"/>
                <w:color w:val="000000" w:themeColor="text1"/>
                <w:szCs w:val="21"/>
                <w14:textFill>
                  <w14:solidFill>
                    <w14:schemeClr w14:val="tx1"/>
                  </w14:solidFill>
                </w14:textFill>
              </w:rPr>
              <w:t>常住人口</w:t>
            </w:r>
          </w:p>
        </w:tc>
        <w:tc>
          <w:tcPr>
            <w:tcW w:w="5669" w:type="dxa"/>
            <w:gridSpan w:val="11"/>
            <w:tcBorders>
              <w:bottom w:val="single" w:color="auto" w:sz="4" w:space="0"/>
            </w:tcBorders>
          </w:tcPr>
          <w:p w14:paraId="46F1C2CF">
            <w:pPr>
              <w:spacing w:line="0" w:lineRule="atLeast"/>
              <w:rPr>
                <w:rFonts w:cs="方正仿宋简体" w:asciiTheme="minorEastAsia" w:hAnsiTheme="minorEastAsia" w:eastAsiaTheme="minorEastAsia"/>
                <w:color w:val="000000" w:themeColor="text1"/>
                <w:szCs w:val="21"/>
                <w14:textFill>
                  <w14:solidFill>
                    <w14:schemeClr w14:val="tx1"/>
                  </w14:solidFill>
                </w14:textFill>
              </w:rPr>
            </w:pPr>
            <w:r>
              <w:rPr>
                <w:rFonts w:hint="eastAsia" w:cs="方正仿宋简体" w:asciiTheme="minorEastAsia" w:hAnsiTheme="minorEastAsia" w:eastAsiaTheme="minorEastAsia"/>
                <w:color w:val="000000" w:themeColor="text1"/>
                <w:szCs w:val="21"/>
                <w14:textFill>
                  <w14:solidFill>
                    <w14:schemeClr w14:val="tx1"/>
                  </w14:solidFill>
                </w14:textFill>
              </w:rPr>
              <w:t>人均可支配收入8万元/人.年</w:t>
            </w:r>
          </w:p>
        </w:tc>
      </w:tr>
      <w:tr w14:paraId="16B0B0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7" w:hRule="atLeast"/>
        </w:trPr>
        <w:tc>
          <w:tcPr>
            <w:tcW w:w="1242" w:type="dxa"/>
            <w:vMerge w:val="restart"/>
          </w:tcPr>
          <w:p w14:paraId="75E84843">
            <w:pPr>
              <w:spacing w:line="0" w:lineRule="atLeast"/>
              <w:ind w:left="-141" w:leftChars="-67" w:right="-107" w:rightChars="-51" w:firstLine="105" w:firstLineChars="50"/>
              <w:rPr>
                <w:rFonts w:cs="方正仿宋简体" w:asciiTheme="minorEastAsia" w:hAnsiTheme="minorEastAsia" w:eastAsiaTheme="minorEastAsia"/>
                <w:color w:val="000000" w:themeColor="text1"/>
                <w:szCs w:val="21"/>
                <w14:textFill>
                  <w14:solidFill>
                    <w14:schemeClr w14:val="tx1"/>
                  </w14:solidFill>
                </w14:textFill>
              </w:rPr>
            </w:pPr>
            <w:r>
              <w:rPr>
                <w:rFonts w:hint="eastAsia" w:cs="方正仿宋简体" w:asciiTheme="minorEastAsia" w:hAnsiTheme="minorEastAsia" w:eastAsiaTheme="minorEastAsia"/>
                <w:color w:val="000000" w:themeColor="text1"/>
                <w:szCs w:val="21"/>
                <w14:textFill>
                  <w14:solidFill>
                    <w14:schemeClr w14:val="tx1"/>
                  </w14:solidFill>
                </w14:textFill>
              </w:rPr>
              <w:t>人口与城镇化</w:t>
            </w:r>
          </w:p>
          <w:p w14:paraId="3551DB41">
            <w:pPr>
              <w:spacing w:line="0" w:lineRule="atLeast"/>
              <w:ind w:firstLine="420"/>
              <w:rPr>
                <w:rFonts w:cs="方正仿宋简体" w:asciiTheme="minorEastAsia" w:hAnsiTheme="minorEastAsia" w:eastAsiaTheme="minorEastAsia"/>
                <w:color w:val="000000" w:themeColor="text1"/>
                <w:szCs w:val="21"/>
                <w14:textFill>
                  <w14:solidFill>
                    <w14:schemeClr w14:val="tx1"/>
                  </w14:solidFill>
                </w14:textFill>
              </w:rPr>
            </w:pPr>
          </w:p>
        </w:tc>
        <w:tc>
          <w:tcPr>
            <w:tcW w:w="1701" w:type="dxa"/>
            <w:tcBorders>
              <w:bottom w:val="single" w:color="auto" w:sz="4" w:space="0"/>
            </w:tcBorders>
          </w:tcPr>
          <w:p w14:paraId="1729EA29">
            <w:pPr>
              <w:spacing w:line="0" w:lineRule="atLeast"/>
              <w:rPr>
                <w:rFonts w:cs="方正仿宋简体" w:asciiTheme="minorEastAsia" w:hAnsiTheme="minorEastAsia" w:eastAsiaTheme="minorEastAsia"/>
                <w:color w:val="000000" w:themeColor="text1"/>
                <w:szCs w:val="21"/>
                <w14:textFill>
                  <w14:solidFill>
                    <w14:schemeClr w14:val="tx1"/>
                  </w14:solidFill>
                </w14:textFill>
              </w:rPr>
            </w:pPr>
            <w:r>
              <w:rPr>
                <w:rFonts w:hint="eastAsia" w:cs="方正仿宋简体" w:asciiTheme="minorEastAsia" w:hAnsiTheme="minorEastAsia" w:eastAsiaTheme="minorEastAsia"/>
                <w:color w:val="000000" w:themeColor="text1"/>
                <w:szCs w:val="21"/>
                <w14:textFill>
                  <w14:solidFill>
                    <w14:schemeClr w14:val="tx1"/>
                  </w14:solidFill>
                </w14:textFill>
              </w:rPr>
              <w:t>人口、城镇化</w:t>
            </w:r>
          </w:p>
        </w:tc>
        <w:tc>
          <w:tcPr>
            <w:tcW w:w="5669" w:type="dxa"/>
            <w:gridSpan w:val="11"/>
            <w:tcBorders>
              <w:bottom w:val="single" w:color="auto" w:sz="4" w:space="0"/>
            </w:tcBorders>
          </w:tcPr>
          <w:p w14:paraId="2D8014B4">
            <w:pPr>
              <w:spacing w:line="0" w:lineRule="atLeast"/>
              <w:rPr>
                <w:rFonts w:cs="方正仿宋简体" w:asciiTheme="minorEastAsia" w:hAnsiTheme="minorEastAsia" w:eastAsiaTheme="minorEastAsia"/>
                <w:color w:val="000000" w:themeColor="text1"/>
                <w:szCs w:val="21"/>
                <w14:textFill>
                  <w14:solidFill>
                    <w14:schemeClr w14:val="tx1"/>
                  </w14:solidFill>
                </w14:textFill>
              </w:rPr>
            </w:pPr>
            <w:r>
              <w:rPr>
                <w:rFonts w:hint="eastAsia" w:cs="方正仿宋简体" w:asciiTheme="minorEastAsia" w:hAnsiTheme="minorEastAsia" w:eastAsiaTheme="minorEastAsia"/>
                <w:color w:val="000000" w:themeColor="text1"/>
                <w:szCs w:val="21"/>
                <w14:textFill>
                  <w14:solidFill>
                    <w14:schemeClr w14:val="tx1"/>
                  </w14:solidFill>
                </w14:textFill>
              </w:rPr>
              <w:t>总人口：17万人—20万人</w:t>
            </w:r>
          </w:p>
        </w:tc>
      </w:tr>
      <w:tr w14:paraId="0394DE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5" w:hRule="atLeast"/>
        </w:trPr>
        <w:tc>
          <w:tcPr>
            <w:tcW w:w="1242" w:type="dxa"/>
            <w:vMerge w:val="continue"/>
          </w:tcPr>
          <w:p w14:paraId="49C807E3">
            <w:pPr>
              <w:spacing w:line="0" w:lineRule="atLeast"/>
              <w:ind w:firstLine="420"/>
              <w:rPr>
                <w:rFonts w:cs="方正仿宋简体" w:asciiTheme="minorEastAsia" w:hAnsiTheme="minorEastAsia" w:eastAsiaTheme="minorEastAsia"/>
                <w:color w:val="000000" w:themeColor="text1"/>
                <w:szCs w:val="21"/>
                <w14:textFill>
                  <w14:solidFill>
                    <w14:schemeClr w14:val="tx1"/>
                  </w14:solidFill>
                </w14:textFill>
              </w:rPr>
            </w:pPr>
          </w:p>
        </w:tc>
        <w:tc>
          <w:tcPr>
            <w:tcW w:w="1701" w:type="dxa"/>
            <w:tcBorders>
              <w:top w:val="single" w:color="auto" w:sz="4" w:space="0"/>
              <w:bottom w:val="single" w:color="auto" w:sz="4" w:space="0"/>
              <w:right w:val="single" w:color="auto" w:sz="4" w:space="0"/>
            </w:tcBorders>
          </w:tcPr>
          <w:p w14:paraId="05D37317">
            <w:pPr>
              <w:spacing w:line="0" w:lineRule="atLeast"/>
              <w:rPr>
                <w:rFonts w:cs="方正仿宋简体" w:asciiTheme="minorEastAsia" w:hAnsiTheme="minorEastAsia" w:eastAsiaTheme="minorEastAsia"/>
                <w:color w:val="000000" w:themeColor="text1"/>
                <w:szCs w:val="21"/>
                <w14:textFill>
                  <w14:solidFill>
                    <w14:schemeClr w14:val="tx1"/>
                  </w14:solidFill>
                </w14:textFill>
              </w:rPr>
            </w:pPr>
            <w:r>
              <w:rPr>
                <w:rFonts w:hint="eastAsia" w:cs="方正仿宋简体" w:asciiTheme="minorEastAsia" w:hAnsiTheme="minorEastAsia" w:eastAsiaTheme="minorEastAsia"/>
                <w:color w:val="000000" w:themeColor="text1"/>
                <w:szCs w:val="21"/>
                <w14:textFill>
                  <w14:solidFill>
                    <w14:schemeClr w14:val="tx1"/>
                  </w14:solidFill>
                </w14:textFill>
              </w:rPr>
              <w:t>医疗</w:t>
            </w:r>
          </w:p>
        </w:tc>
        <w:tc>
          <w:tcPr>
            <w:tcW w:w="5669" w:type="dxa"/>
            <w:gridSpan w:val="11"/>
            <w:tcBorders>
              <w:top w:val="single" w:color="auto" w:sz="4" w:space="0"/>
              <w:left w:val="single" w:color="auto" w:sz="4" w:space="0"/>
              <w:bottom w:val="single" w:color="auto" w:sz="4" w:space="0"/>
              <w:right w:val="single" w:color="auto" w:sz="4" w:space="0"/>
            </w:tcBorders>
          </w:tcPr>
          <w:p w14:paraId="5B612F03">
            <w:pPr>
              <w:spacing w:line="0" w:lineRule="atLeast"/>
              <w:ind w:right="-101" w:rightChars="-48"/>
              <w:rPr>
                <w:rFonts w:cs="方正仿宋简体" w:asciiTheme="minorEastAsia" w:hAnsiTheme="minorEastAsia" w:eastAsiaTheme="minorEastAsia"/>
                <w:color w:val="000000" w:themeColor="text1"/>
                <w:szCs w:val="21"/>
                <w14:textFill>
                  <w14:solidFill>
                    <w14:schemeClr w14:val="tx1"/>
                  </w14:solidFill>
                </w14:textFill>
              </w:rPr>
            </w:pPr>
            <w:r>
              <w:rPr>
                <w:rFonts w:hint="eastAsia" w:cs="方正仿宋简体" w:asciiTheme="minorEastAsia" w:hAnsiTheme="minorEastAsia" w:eastAsiaTheme="minorEastAsia"/>
                <w:color w:val="000000" w:themeColor="text1"/>
                <w:szCs w:val="21"/>
                <w14:textFill>
                  <w14:solidFill>
                    <w14:schemeClr w14:val="tx1"/>
                  </w14:solidFill>
                </w14:textFill>
              </w:rPr>
              <w:t>建立以三井医院为核心,覆盖全部社区二级医疗体系</w:t>
            </w:r>
          </w:p>
        </w:tc>
      </w:tr>
      <w:tr w14:paraId="3ABB19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9" w:hRule="atLeast"/>
        </w:trPr>
        <w:tc>
          <w:tcPr>
            <w:tcW w:w="1242" w:type="dxa"/>
            <w:vMerge w:val="continue"/>
          </w:tcPr>
          <w:p w14:paraId="3AB7EC6F">
            <w:pPr>
              <w:spacing w:line="0" w:lineRule="atLeast"/>
              <w:ind w:firstLine="420"/>
              <w:rPr>
                <w:rFonts w:cs="方正仿宋简体" w:asciiTheme="minorEastAsia" w:hAnsiTheme="minorEastAsia" w:eastAsiaTheme="minorEastAsia"/>
                <w:color w:val="000000" w:themeColor="text1"/>
                <w:szCs w:val="21"/>
                <w14:textFill>
                  <w14:solidFill>
                    <w14:schemeClr w14:val="tx1"/>
                  </w14:solidFill>
                </w14:textFill>
              </w:rPr>
            </w:pPr>
          </w:p>
        </w:tc>
        <w:tc>
          <w:tcPr>
            <w:tcW w:w="1701" w:type="dxa"/>
            <w:tcBorders>
              <w:top w:val="single" w:color="auto" w:sz="4" w:space="0"/>
              <w:bottom w:val="single" w:color="auto" w:sz="4" w:space="0"/>
              <w:right w:val="single" w:color="auto" w:sz="4" w:space="0"/>
            </w:tcBorders>
          </w:tcPr>
          <w:p w14:paraId="60AD88E5">
            <w:pPr>
              <w:spacing w:line="0" w:lineRule="atLeast"/>
              <w:rPr>
                <w:rFonts w:cs="方正仿宋简体" w:asciiTheme="minorEastAsia" w:hAnsiTheme="minorEastAsia" w:eastAsiaTheme="minorEastAsia"/>
                <w:color w:val="000000" w:themeColor="text1"/>
                <w:szCs w:val="21"/>
                <w14:textFill>
                  <w14:solidFill>
                    <w14:schemeClr w14:val="tx1"/>
                  </w14:solidFill>
                </w14:textFill>
              </w:rPr>
            </w:pPr>
            <w:r>
              <w:rPr>
                <w:rFonts w:hint="eastAsia" w:cs="方正仿宋简体" w:asciiTheme="minorEastAsia" w:hAnsiTheme="minorEastAsia" w:eastAsiaTheme="minorEastAsia"/>
                <w:color w:val="000000" w:themeColor="text1"/>
                <w:szCs w:val="21"/>
                <w14:textFill>
                  <w14:solidFill>
                    <w14:schemeClr w14:val="tx1"/>
                  </w14:solidFill>
                </w14:textFill>
              </w:rPr>
              <w:t>幼儿园</w:t>
            </w:r>
          </w:p>
        </w:tc>
        <w:tc>
          <w:tcPr>
            <w:tcW w:w="5669" w:type="dxa"/>
            <w:gridSpan w:val="11"/>
            <w:tcBorders>
              <w:top w:val="single" w:color="auto" w:sz="4" w:space="0"/>
              <w:left w:val="single" w:color="auto" w:sz="4" w:space="0"/>
              <w:bottom w:val="single" w:color="auto" w:sz="4" w:space="0"/>
              <w:right w:val="single" w:color="auto" w:sz="4" w:space="0"/>
            </w:tcBorders>
          </w:tcPr>
          <w:p w14:paraId="295C7668">
            <w:pPr>
              <w:spacing w:line="0" w:lineRule="atLeast"/>
              <w:rPr>
                <w:rFonts w:cs="方正仿宋简体" w:asciiTheme="minorEastAsia" w:hAnsiTheme="minorEastAsia" w:eastAsiaTheme="minorEastAsia"/>
                <w:color w:val="000000" w:themeColor="text1"/>
                <w:szCs w:val="21"/>
                <w14:textFill>
                  <w14:solidFill>
                    <w14:schemeClr w14:val="tx1"/>
                  </w14:solidFill>
                </w14:textFill>
              </w:rPr>
            </w:pPr>
            <w:r>
              <w:rPr>
                <w:rFonts w:hint="eastAsia" w:cs="方正仿宋简体" w:asciiTheme="minorEastAsia" w:hAnsiTheme="minorEastAsia" w:eastAsiaTheme="minorEastAsia"/>
                <w:color w:val="000000" w:themeColor="text1"/>
                <w:szCs w:val="21"/>
                <w14:textFill>
                  <w14:solidFill>
                    <w14:schemeClr w14:val="tx1"/>
                  </w14:solidFill>
                </w14:textFill>
              </w:rPr>
              <w:t>拥有5家高水平公立幼儿园和多家民办幼儿园，满足幼儿就近上园需要</w:t>
            </w:r>
          </w:p>
        </w:tc>
      </w:tr>
      <w:tr w14:paraId="2DDE8F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242" w:type="dxa"/>
            <w:vMerge w:val="continue"/>
          </w:tcPr>
          <w:p w14:paraId="73F581A0">
            <w:pPr>
              <w:spacing w:line="0" w:lineRule="atLeast"/>
              <w:ind w:firstLine="420"/>
              <w:rPr>
                <w:rFonts w:cs="方正仿宋简体" w:asciiTheme="minorEastAsia" w:hAnsiTheme="minorEastAsia" w:eastAsiaTheme="minorEastAsia"/>
                <w:color w:val="000000" w:themeColor="text1"/>
                <w:szCs w:val="21"/>
                <w14:textFill>
                  <w14:solidFill>
                    <w14:schemeClr w14:val="tx1"/>
                  </w14:solidFill>
                </w14:textFill>
              </w:rPr>
            </w:pPr>
          </w:p>
        </w:tc>
        <w:tc>
          <w:tcPr>
            <w:tcW w:w="1701" w:type="dxa"/>
            <w:tcBorders>
              <w:top w:val="single" w:color="auto" w:sz="4" w:space="0"/>
              <w:bottom w:val="single" w:color="auto" w:sz="4" w:space="0"/>
              <w:right w:val="single" w:color="auto" w:sz="4" w:space="0"/>
            </w:tcBorders>
          </w:tcPr>
          <w:p w14:paraId="2E8581C3">
            <w:pPr>
              <w:spacing w:line="0" w:lineRule="atLeast"/>
              <w:rPr>
                <w:rFonts w:cs="方正仿宋简体" w:asciiTheme="minorEastAsia" w:hAnsiTheme="minorEastAsia" w:eastAsiaTheme="minorEastAsia"/>
                <w:color w:val="000000" w:themeColor="text1"/>
                <w:szCs w:val="21"/>
                <w14:textFill>
                  <w14:solidFill>
                    <w14:schemeClr w14:val="tx1"/>
                  </w14:solidFill>
                </w14:textFill>
              </w:rPr>
            </w:pPr>
            <w:r>
              <w:rPr>
                <w:rFonts w:hint="eastAsia" w:cs="方正仿宋简体" w:asciiTheme="minorEastAsia" w:hAnsiTheme="minorEastAsia" w:eastAsiaTheme="minorEastAsia"/>
                <w:color w:val="000000" w:themeColor="text1"/>
                <w:szCs w:val="21"/>
                <w14:textFill>
                  <w14:solidFill>
                    <w14:schemeClr w14:val="tx1"/>
                  </w14:solidFill>
                </w14:textFill>
              </w:rPr>
              <w:t>小学</w:t>
            </w:r>
          </w:p>
        </w:tc>
        <w:tc>
          <w:tcPr>
            <w:tcW w:w="5669" w:type="dxa"/>
            <w:gridSpan w:val="11"/>
            <w:tcBorders>
              <w:top w:val="single" w:color="auto" w:sz="4" w:space="0"/>
              <w:left w:val="single" w:color="auto" w:sz="4" w:space="0"/>
              <w:bottom w:val="single" w:color="auto" w:sz="4" w:space="0"/>
              <w:right w:val="single" w:color="auto" w:sz="4" w:space="0"/>
            </w:tcBorders>
          </w:tcPr>
          <w:p w14:paraId="16F4F7A7">
            <w:pPr>
              <w:spacing w:line="0" w:lineRule="atLeast"/>
              <w:ind w:leftChars="-1" w:right="-101" w:rightChars="-48" w:hanging="2" w:hangingChars="1"/>
              <w:rPr>
                <w:rFonts w:cs="方正仿宋简体" w:asciiTheme="minorEastAsia" w:hAnsiTheme="minorEastAsia" w:eastAsiaTheme="minorEastAsia"/>
                <w:color w:val="000000" w:themeColor="text1"/>
                <w:szCs w:val="21"/>
                <w14:textFill>
                  <w14:solidFill>
                    <w14:schemeClr w14:val="tx1"/>
                  </w14:solidFill>
                </w14:textFill>
              </w:rPr>
            </w:pPr>
            <w:r>
              <w:rPr>
                <w:rFonts w:hint="eastAsia" w:cs="方正仿宋简体" w:asciiTheme="minorEastAsia" w:hAnsiTheme="minorEastAsia" w:eastAsiaTheme="minorEastAsia"/>
                <w:color w:val="000000" w:themeColor="text1"/>
                <w:szCs w:val="21"/>
                <w14:textFill>
                  <w14:solidFill>
                    <w14:schemeClr w14:val="tx1"/>
                  </w14:solidFill>
                </w14:textFill>
              </w:rPr>
              <w:t>拥有5家小学，以片区为中心建立九年制学校和校车车队</w:t>
            </w:r>
          </w:p>
        </w:tc>
      </w:tr>
      <w:tr w14:paraId="6F65D1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 w:hRule="atLeast"/>
        </w:trPr>
        <w:tc>
          <w:tcPr>
            <w:tcW w:w="1242" w:type="dxa"/>
            <w:vMerge w:val="continue"/>
          </w:tcPr>
          <w:p w14:paraId="246EA2A8">
            <w:pPr>
              <w:spacing w:line="0" w:lineRule="atLeast"/>
              <w:ind w:firstLine="420"/>
              <w:rPr>
                <w:rFonts w:cs="方正仿宋简体" w:asciiTheme="minorEastAsia" w:hAnsiTheme="minorEastAsia" w:eastAsiaTheme="minorEastAsia"/>
                <w:color w:val="000000" w:themeColor="text1"/>
                <w:szCs w:val="21"/>
                <w14:textFill>
                  <w14:solidFill>
                    <w14:schemeClr w14:val="tx1"/>
                  </w14:solidFill>
                </w14:textFill>
              </w:rPr>
            </w:pPr>
          </w:p>
        </w:tc>
        <w:tc>
          <w:tcPr>
            <w:tcW w:w="1701" w:type="dxa"/>
            <w:tcBorders>
              <w:top w:val="single" w:color="auto" w:sz="4" w:space="0"/>
              <w:bottom w:val="single" w:color="auto" w:sz="4" w:space="0"/>
              <w:right w:val="single" w:color="auto" w:sz="4" w:space="0"/>
            </w:tcBorders>
          </w:tcPr>
          <w:p w14:paraId="6EFA4EAB">
            <w:pPr>
              <w:spacing w:line="0" w:lineRule="atLeast"/>
              <w:rPr>
                <w:rFonts w:cs="方正仿宋简体" w:asciiTheme="minorEastAsia" w:hAnsiTheme="minorEastAsia" w:eastAsiaTheme="minorEastAsia"/>
                <w:color w:val="000000" w:themeColor="text1"/>
                <w:szCs w:val="21"/>
                <w14:textFill>
                  <w14:solidFill>
                    <w14:schemeClr w14:val="tx1"/>
                  </w14:solidFill>
                </w14:textFill>
              </w:rPr>
            </w:pPr>
            <w:r>
              <w:rPr>
                <w:rFonts w:hint="eastAsia" w:cs="方正仿宋简体" w:asciiTheme="minorEastAsia" w:hAnsiTheme="minorEastAsia" w:eastAsiaTheme="minorEastAsia"/>
                <w:color w:val="000000" w:themeColor="text1"/>
                <w:szCs w:val="21"/>
                <w14:textFill>
                  <w14:solidFill>
                    <w14:schemeClr w14:val="tx1"/>
                  </w14:solidFill>
                </w14:textFill>
              </w:rPr>
              <w:t>初中</w:t>
            </w:r>
          </w:p>
        </w:tc>
        <w:tc>
          <w:tcPr>
            <w:tcW w:w="5669" w:type="dxa"/>
            <w:gridSpan w:val="11"/>
            <w:tcBorders>
              <w:top w:val="single" w:color="auto" w:sz="4" w:space="0"/>
              <w:left w:val="single" w:color="auto" w:sz="4" w:space="0"/>
              <w:bottom w:val="single" w:color="auto" w:sz="4" w:space="0"/>
              <w:right w:val="single" w:color="auto" w:sz="4" w:space="0"/>
            </w:tcBorders>
          </w:tcPr>
          <w:p w14:paraId="03DDF0DC">
            <w:pPr>
              <w:spacing w:line="0" w:lineRule="atLeast"/>
              <w:ind w:leftChars="-1" w:hanging="2" w:hangingChars="1"/>
              <w:rPr>
                <w:rFonts w:cs="方正仿宋简体" w:asciiTheme="minorEastAsia" w:hAnsiTheme="minorEastAsia" w:eastAsiaTheme="minorEastAsia"/>
                <w:color w:val="000000" w:themeColor="text1"/>
                <w:szCs w:val="21"/>
                <w14:textFill>
                  <w14:solidFill>
                    <w14:schemeClr w14:val="tx1"/>
                  </w14:solidFill>
                </w14:textFill>
              </w:rPr>
            </w:pPr>
            <w:r>
              <w:rPr>
                <w:rFonts w:hint="eastAsia" w:cs="方正仿宋简体" w:asciiTheme="minorEastAsia" w:hAnsiTheme="minorEastAsia" w:eastAsiaTheme="minorEastAsia"/>
                <w:color w:val="000000" w:themeColor="text1"/>
                <w:szCs w:val="21"/>
                <w14:textFill>
                  <w14:solidFill>
                    <w14:schemeClr w14:val="tx1"/>
                  </w14:solidFill>
                </w14:textFill>
              </w:rPr>
              <w:t>2家初级中学，满足不断人口增长教育需求</w:t>
            </w:r>
          </w:p>
        </w:tc>
      </w:tr>
      <w:tr w14:paraId="7DFA59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5" w:hRule="atLeast"/>
        </w:trPr>
        <w:tc>
          <w:tcPr>
            <w:tcW w:w="1242" w:type="dxa"/>
            <w:vMerge w:val="continue"/>
          </w:tcPr>
          <w:p w14:paraId="4127E73F">
            <w:pPr>
              <w:spacing w:line="0" w:lineRule="atLeast"/>
              <w:ind w:firstLine="420"/>
              <w:rPr>
                <w:rFonts w:cs="方正仿宋简体" w:asciiTheme="minorEastAsia" w:hAnsiTheme="minorEastAsia" w:eastAsiaTheme="minorEastAsia"/>
                <w:color w:val="000000" w:themeColor="text1"/>
                <w:szCs w:val="21"/>
                <w14:textFill>
                  <w14:solidFill>
                    <w14:schemeClr w14:val="tx1"/>
                  </w14:solidFill>
                </w14:textFill>
              </w:rPr>
            </w:pPr>
          </w:p>
        </w:tc>
        <w:tc>
          <w:tcPr>
            <w:tcW w:w="1701" w:type="dxa"/>
            <w:tcBorders>
              <w:top w:val="single" w:color="auto" w:sz="4" w:space="0"/>
              <w:bottom w:val="single" w:color="auto" w:sz="4" w:space="0"/>
              <w:right w:val="single" w:color="auto" w:sz="4" w:space="0"/>
            </w:tcBorders>
          </w:tcPr>
          <w:p w14:paraId="5D1E0875">
            <w:pPr>
              <w:spacing w:line="0" w:lineRule="atLeast"/>
              <w:rPr>
                <w:rFonts w:cs="方正仿宋简体" w:asciiTheme="minorEastAsia" w:hAnsiTheme="minorEastAsia" w:eastAsiaTheme="minorEastAsia"/>
                <w:color w:val="000000" w:themeColor="text1"/>
                <w:szCs w:val="21"/>
                <w14:textFill>
                  <w14:solidFill>
                    <w14:schemeClr w14:val="tx1"/>
                  </w14:solidFill>
                </w14:textFill>
              </w:rPr>
            </w:pPr>
            <w:r>
              <w:rPr>
                <w:rFonts w:hint="eastAsia" w:cs="方正仿宋简体" w:asciiTheme="minorEastAsia" w:hAnsiTheme="minorEastAsia" w:eastAsiaTheme="minorEastAsia"/>
                <w:color w:val="000000" w:themeColor="text1"/>
                <w:szCs w:val="21"/>
                <w14:textFill>
                  <w14:solidFill>
                    <w14:schemeClr w14:val="tx1"/>
                  </w14:solidFill>
                </w14:textFill>
              </w:rPr>
              <w:t>高级中学</w:t>
            </w:r>
          </w:p>
        </w:tc>
        <w:tc>
          <w:tcPr>
            <w:tcW w:w="5669" w:type="dxa"/>
            <w:gridSpan w:val="11"/>
            <w:tcBorders>
              <w:top w:val="single" w:color="auto" w:sz="4" w:space="0"/>
              <w:left w:val="single" w:color="auto" w:sz="4" w:space="0"/>
              <w:bottom w:val="single" w:color="auto" w:sz="4" w:space="0"/>
              <w:right w:val="single" w:color="auto" w:sz="4" w:space="0"/>
            </w:tcBorders>
          </w:tcPr>
          <w:p w14:paraId="12B4E98F">
            <w:pPr>
              <w:spacing w:line="0" w:lineRule="atLeast"/>
              <w:rPr>
                <w:rFonts w:cs="方正仿宋简体" w:asciiTheme="minorEastAsia" w:hAnsiTheme="minorEastAsia" w:eastAsiaTheme="minorEastAsia"/>
                <w:color w:val="000000" w:themeColor="text1"/>
                <w:szCs w:val="21"/>
                <w14:textFill>
                  <w14:solidFill>
                    <w14:schemeClr w14:val="tx1"/>
                  </w14:solidFill>
                </w14:textFill>
              </w:rPr>
            </w:pPr>
            <w:r>
              <w:rPr>
                <w:rFonts w:hint="eastAsia" w:cs="方正仿宋简体" w:asciiTheme="minorEastAsia" w:hAnsiTheme="minorEastAsia" w:eastAsiaTheme="minorEastAsia"/>
                <w:color w:val="000000" w:themeColor="text1"/>
                <w:szCs w:val="21"/>
                <w14:textFill>
                  <w14:solidFill>
                    <w14:schemeClr w14:val="tx1"/>
                  </w14:solidFill>
                </w14:textFill>
              </w:rPr>
              <w:t>1所高水平高级中学</w:t>
            </w:r>
          </w:p>
        </w:tc>
      </w:tr>
      <w:tr w14:paraId="77D45F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9" w:hRule="atLeast"/>
        </w:trPr>
        <w:tc>
          <w:tcPr>
            <w:tcW w:w="1242" w:type="dxa"/>
            <w:vMerge w:val="continue"/>
          </w:tcPr>
          <w:p w14:paraId="5F390123">
            <w:pPr>
              <w:spacing w:line="0" w:lineRule="atLeast"/>
              <w:ind w:firstLine="420"/>
              <w:rPr>
                <w:rFonts w:cs="方正仿宋简体" w:asciiTheme="minorEastAsia" w:hAnsiTheme="minorEastAsia" w:eastAsiaTheme="minorEastAsia"/>
                <w:color w:val="000000" w:themeColor="text1"/>
                <w:szCs w:val="21"/>
                <w14:textFill>
                  <w14:solidFill>
                    <w14:schemeClr w14:val="tx1"/>
                  </w14:solidFill>
                </w14:textFill>
              </w:rPr>
            </w:pPr>
          </w:p>
        </w:tc>
        <w:tc>
          <w:tcPr>
            <w:tcW w:w="1701" w:type="dxa"/>
            <w:tcBorders>
              <w:top w:val="single" w:color="auto" w:sz="4" w:space="0"/>
              <w:bottom w:val="single" w:color="auto" w:sz="4" w:space="0"/>
            </w:tcBorders>
          </w:tcPr>
          <w:p w14:paraId="470443FE">
            <w:pPr>
              <w:spacing w:line="0" w:lineRule="atLeast"/>
              <w:rPr>
                <w:rFonts w:cs="方正仿宋简体" w:asciiTheme="minorEastAsia" w:hAnsiTheme="minorEastAsia" w:eastAsiaTheme="minorEastAsia"/>
                <w:color w:val="000000" w:themeColor="text1"/>
                <w:szCs w:val="21"/>
                <w14:textFill>
                  <w14:solidFill>
                    <w14:schemeClr w14:val="tx1"/>
                  </w14:solidFill>
                </w14:textFill>
              </w:rPr>
            </w:pPr>
            <w:r>
              <w:rPr>
                <w:rFonts w:hint="eastAsia" w:cs="方正仿宋简体" w:asciiTheme="minorEastAsia" w:hAnsiTheme="minorEastAsia" w:eastAsiaTheme="minorEastAsia"/>
                <w:color w:val="000000" w:themeColor="text1"/>
                <w:szCs w:val="21"/>
                <w14:textFill>
                  <w14:solidFill>
                    <w14:schemeClr w14:val="tx1"/>
                  </w14:solidFill>
                </w14:textFill>
              </w:rPr>
              <w:t>养老服务</w:t>
            </w:r>
          </w:p>
        </w:tc>
        <w:tc>
          <w:tcPr>
            <w:tcW w:w="5669" w:type="dxa"/>
            <w:gridSpan w:val="11"/>
            <w:tcBorders>
              <w:top w:val="single" w:color="auto" w:sz="4" w:space="0"/>
              <w:bottom w:val="single" w:color="auto" w:sz="4" w:space="0"/>
            </w:tcBorders>
          </w:tcPr>
          <w:p w14:paraId="1122B113">
            <w:pPr>
              <w:spacing w:line="0" w:lineRule="atLeast"/>
              <w:ind w:left="-69" w:leftChars="-33" w:firstLine="46" w:firstLineChars="22"/>
              <w:rPr>
                <w:rFonts w:cs="方正仿宋简体" w:asciiTheme="minorEastAsia" w:hAnsiTheme="minorEastAsia" w:eastAsiaTheme="minorEastAsia"/>
                <w:color w:val="000000" w:themeColor="text1"/>
                <w:szCs w:val="21"/>
                <w14:textFill>
                  <w14:solidFill>
                    <w14:schemeClr w14:val="tx1"/>
                  </w14:solidFill>
                </w14:textFill>
              </w:rPr>
            </w:pPr>
            <w:r>
              <w:rPr>
                <w:rFonts w:hint="eastAsia" w:cs="方正仿宋简体" w:asciiTheme="minorEastAsia" w:hAnsiTheme="minorEastAsia" w:eastAsiaTheme="minorEastAsia"/>
                <w:color w:val="000000" w:themeColor="text1"/>
                <w:szCs w:val="21"/>
                <w14:textFill>
                  <w14:solidFill>
                    <w14:schemeClr w14:val="tx1"/>
                  </w14:solidFill>
                </w14:textFill>
              </w:rPr>
              <w:t>建立医疗机构介入的居家养老体系，并建立1所高水平有500床位以上养老院（服务对象失独老人、空巢老人等）、2所老人助餐中心、3所老人活动中心</w:t>
            </w:r>
          </w:p>
        </w:tc>
      </w:tr>
      <w:tr w14:paraId="473536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6" w:hRule="atLeast"/>
        </w:trPr>
        <w:tc>
          <w:tcPr>
            <w:tcW w:w="1242" w:type="dxa"/>
            <w:vMerge w:val="continue"/>
          </w:tcPr>
          <w:p w14:paraId="09C195AF">
            <w:pPr>
              <w:spacing w:line="0" w:lineRule="atLeast"/>
              <w:ind w:firstLine="420"/>
              <w:rPr>
                <w:rFonts w:cs="方正仿宋简体" w:asciiTheme="minorEastAsia" w:hAnsiTheme="minorEastAsia" w:eastAsiaTheme="minorEastAsia"/>
                <w:color w:val="000000" w:themeColor="text1"/>
                <w:szCs w:val="21"/>
                <w14:textFill>
                  <w14:solidFill>
                    <w14:schemeClr w14:val="tx1"/>
                  </w14:solidFill>
                </w14:textFill>
              </w:rPr>
            </w:pPr>
          </w:p>
        </w:tc>
        <w:tc>
          <w:tcPr>
            <w:tcW w:w="1701" w:type="dxa"/>
            <w:vMerge w:val="restart"/>
            <w:tcBorders>
              <w:top w:val="single" w:color="auto" w:sz="4" w:space="0"/>
            </w:tcBorders>
          </w:tcPr>
          <w:p w14:paraId="7C7E4990">
            <w:pPr>
              <w:spacing w:line="0" w:lineRule="atLeast"/>
              <w:rPr>
                <w:rFonts w:cs="方正仿宋简体" w:asciiTheme="minorEastAsia" w:hAnsiTheme="minorEastAsia" w:eastAsiaTheme="minorEastAsia"/>
                <w:color w:val="000000" w:themeColor="text1"/>
                <w:szCs w:val="21"/>
                <w14:textFill>
                  <w14:solidFill>
                    <w14:schemeClr w14:val="tx1"/>
                  </w14:solidFill>
                </w14:textFill>
              </w:rPr>
            </w:pPr>
            <w:r>
              <w:rPr>
                <w:rFonts w:hint="eastAsia" w:cs="方正仿宋简体" w:asciiTheme="minorEastAsia" w:hAnsiTheme="minorEastAsia" w:eastAsiaTheme="minorEastAsia"/>
                <w:color w:val="000000" w:themeColor="text1"/>
                <w:szCs w:val="21"/>
                <w14:textFill>
                  <w14:solidFill>
                    <w14:schemeClr w14:val="tx1"/>
                  </w14:solidFill>
                </w14:textFill>
              </w:rPr>
              <w:t>文化中心</w:t>
            </w:r>
          </w:p>
        </w:tc>
        <w:tc>
          <w:tcPr>
            <w:tcW w:w="5669" w:type="dxa"/>
            <w:gridSpan w:val="11"/>
            <w:tcBorders>
              <w:top w:val="single" w:color="auto" w:sz="4" w:space="0"/>
              <w:bottom w:val="single" w:color="auto" w:sz="4" w:space="0"/>
            </w:tcBorders>
          </w:tcPr>
          <w:p w14:paraId="10443C86">
            <w:pPr>
              <w:spacing w:line="0" w:lineRule="atLeast"/>
              <w:rPr>
                <w:rFonts w:cs="方正仿宋简体" w:asciiTheme="minorEastAsia" w:hAnsiTheme="minorEastAsia" w:eastAsiaTheme="minorEastAsia"/>
                <w:color w:val="000000" w:themeColor="text1"/>
                <w:szCs w:val="21"/>
                <w14:textFill>
                  <w14:solidFill>
                    <w14:schemeClr w14:val="tx1"/>
                  </w14:solidFill>
                </w14:textFill>
              </w:rPr>
            </w:pPr>
            <w:r>
              <w:rPr>
                <w:rFonts w:hint="eastAsia" w:cs="方正仿宋简体" w:asciiTheme="minorEastAsia" w:hAnsiTheme="minorEastAsia" w:eastAsiaTheme="minorEastAsia"/>
                <w:color w:val="000000" w:themeColor="text1"/>
                <w:szCs w:val="21"/>
                <w14:textFill>
                  <w14:solidFill>
                    <w14:schemeClr w14:val="tx1"/>
                  </w14:solidFill>
                </w14:textFill>
              </w:rPr>
              <w:t>2家含图书馆、科普中心、体育健身等文体中心</w:t>
            </w:r>
          </w:p>
        </w:tc>
      </w:tr>
      <w:tr w14:paraId="22A5BE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1" w:hRule="atLeast"/>
        </w:trPr>
        <w:tc>
          <w:tcPr>
            <w:tcW w:w="1242" w:type="dxa"/>
            <w:vMerge w:val="continue"/>
          </w:tcPr>
          <w:p w14:paraId="198E703C">
            <w:pPr>
              <w:spacing w:line="0" w:lineRule="atLeast"/>
              <w:ind w:firstLine="420"/>
              <w:rPr>
                <w:rFonts w:cs="方正仿宋简体" w:asciiTheme="minorEastAsia" w:hAnsiTheme="minorEastAsia" w:eastAsiaTheme="minorEastAsia"/>
                <w:color w:val="000000" w:themeColor="text1"/>
                <w:szCs w:val="21"/>
                <w14:textFill>
                  <w14:solidFill>
                    <w14:schemeClr w14:val="tx1"/>
                  </w14:solidFill>
                </w14:textFill>
              </w:rPr>
            </w:pPr>
          </w:p>
        </w:tc>
        <w:tc>
          <w:tcPr>
            <w:tcW w:w="1701" w:type="dxa"/>
            <w:vMerge w:val="continue"/>
            <w:tcBorders>
              <w:bottom w:val="single" w:color="auto" w:sz="4" w:space="0"/>
            </w:tcBorders>
          </w:tcPr>
          <w:p w14:paraId="5CB6F36C">
            <w:pPr>
              <w:spacing w:line="0" w:lineRule="atLeast"/>
              <w:ind w:firstLine="420"/>
              <w:rPr>
                <w:rFonts w:cs="方正仿宋简体" w:asciiTheme="minorEastAsia" w:hAnsiTheme="minorEastAsia" w:eastAsiaTheme="minorEastAsia"/>
                <w:color w:val="000000" w:themeColor="text1"/>
                <w:szCs w:val="21"/>
                <w14:textFill>
                  <w14:solidFill>
                    <w14:schemeClr w14:val="tx1"/>
                  </w14:solidFill>
                </w14:textFill>
              </w:rPr>
            </w:pPr>
          </w:p>
        </w:tc>
        <w:tc>
          <w:tcPr>
            <w:tcW w:w="5669" w:type="dxa"/>
            <w:gridSpan w:val="11"/>
            <w:tcBorders>
              <w:top w:val="single" w:color="auto" w:sz="4" w:space="0"/>
              <w:bottom w:val="single" w:color="auto" w:sz="4" w:space="0"/>
            </w:tcBorders>
          </w:tcPr>
          <w:p w14:paraId="42EE1A37">
            <w:pPr>
              <w:spacing w:line="0" w:lineRule="atLeast"/>
              <w:rPr>
                <w:rFonts w:cs="方正仿宋简体" w:asciiTheme="minorEastAsia" w:hAnsiTheme="minorEastAsia" w:eastAsiaTheme="minorEastAsia"/>
                <w:color w:val="000000" w:themeColor="text1"/>
                <w:szCs w:val="21"/>
                <w14:textFill>
                  <w14:solidFill>
                    <w14:schemeClr w14:val="tx1"/>
                  </w14:solidFill>
                </w14:textFill>
              </w:rPr>
            </w:pPr>
            <w:r>
              <w:rPr>
                <w:rFonts w:hint="eastAsia" w:cs="方正仿宋简体" w:asciiTheme="minorEastAsia" w:hAnsiTheme="minorEastAsia" w:eastAsiaTheme="minorEastAsia"/>
                <w:color w:val="000000" w:themeColor="text1"/>
                <w:szCs w:val="21"/>
                <w14:textFill>
                  <w14:solidFill>
                    <w14:schemeClr w14:val="tx1"/>
                  </w14:solidFill>
                </w14:textFill>
              </w:rPr>
              <w:t>建立覆盖所有社区和大型小区文化分中心</w:t>
            </w:r>
          </w:p>
        </w:tc>
      </w:tr>
      <w:tr w14:paraId="3963D8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3" w:hRule="atLeast"/>
        </w:trPr>
        <w:tc>
          <w:tcPr>
            <w:tcW w:w="1242" w:type="dxa"/>
            <w:vMerge w:val="continue"/>
          </w:tcPr>
          <w:p w14:paraId="37CC2EF7">
            <w:pPr>
              <w:spacing w:line="0" w:lineRule="atLeast"/>
              <w:ind w:firstLine="420"/>
              <w:rPr>
                <w:rFonts w:cs="方正仿宋简体" w:asciiTheme="minorEastAsia" w:hAnsiTheme="minorEastAsia" w:eastAsiaTheme="minorEastAsia"/>
                <w:color w:val="000000" w:themeColor="text1"/>
                <w:szCs w:val="21"/>
                <w14:textFill>
                  <w14:solidFill>
                    <w14:schemeClr w14:val="tx1"/>
                  </w14:solidFill>
                </w14:textFill>
              </w:rPr>
            </w:pPr>
          </w:p>
        </w:tc>
        <w:tc>
          <w:tcPr>
            <w:tcW w:w="1701" w:type="dxa"/>
            <w:vMerge w:val="restart"/>
            <w:tcBorders>
              <w:top w:val="single" w:color="auto" w:sz="4" w:space="0"/>
            </w:tcBorders>
          </w:tcPr>
          <w:p w14:paraId="312171E4">
            <w:pPr>
              <w:spacing w:line="0" w:lineRule="atLeast"/>
              <w:rPr>
                <w:rFonts w:cs="方正仿宋简体" w:asciiTheme="minorEastAsia" w:hAnsiTheme="minorEastAsia" w:eastAsiaTheme="minorEastAsia"/>
                <w:color w:val="000000" w:themeColor="text1"/>
                <w:szCs w:val="21"/>
                <w14:textFill>
                  <w14:solidFill>
                    <w14:schemeClr w14:val="tx1"/>
                  </w14:solidFill>
                </w14:textFill>
              </w:rPr>
            </w:pPr>
            <w:r>
              <w:rPr>
                <w:rFonts w:hint="eastAsia" w:cs="方正仿宋简体" w:asciiTheme="minorEastAsia" w:hAnsiTheme="minorEastAsia" w:eastAsiaTheme="minorEastAsia"/>
                <w:color w:val="000000" w:themeColor="text1"/>
                <w:szCs w:val="21"/>
                <w14:textFill>
                  <w14:solidFill>
                    <w14:schemeClr w14:val="tx1"/>
                  </w14:solidFill>
                </w14:textFill>
              </w:rPr>
              <w:t>体育馆</w:t>
            </w:r>
          </w:p>
        </w:tc>
        <w:tc>
          <w:tcPr>
            <w:tcW w:w="5669" w:type="dxa"/>
            <w:gridSpan w:val="11"/>
            <w:tcBorders>
              <w:top w:val="single" w:color="auto" w:sz="4" w:space="0"/>
              <w:bottom w:val="single" w:color="auto" w:sz="4" w:space="0"/>
            </w:tcBorders>
          </w:tcPr>
          <w:p w14:paraId="2E1F0B50">
            <w:pPr>
              <w:spacing w:line="0" w:lineRule="atLeast"/>
              <w:rPr>
                <w:rFonts w:cs="方正仿宋简体" w:asciiTheme="minorEastAsia" w:hAnsiTheme="minorEastAsia" w:eastAsiaTheme="minorEastAsia"/>
                <w:color w:val="000000" w:themeColor="text1"/>
                <w:szCs w:val="21"/>
                <w14:textFill>
                  <w14:solidFill>
                    <w14:schemeClr w14:val="tx1"/>
                  </w14:solidFill>
                </w14:textFill>
              </w:rPr>
            </w:pPr>
            <w:r>
              <w:rPr>
                <w:rFonts w:hint="eastAsia" w:cs="方正仿宋简体" w:asciiTheme="minorEastAsia" w:hAnsiTheme="minorEastAsia" w:eastAsiaTheme="minorEastAsia"/>
                <w:color w:val="000000" w:themeColor="text1"/>
                <w:szCs w:val="21"/>
                <w14:textFill>
                  <w14:solidFill>
                    <w14:schemeClr w14:val="tx1"/>
                  </w14:solidFill>
                </w14:textFill>
              </w:rPr>
              <w:t>建立多个与学校等共享体育馆、体育场</w:t>
            </w:r>
          </w:p>
        </w:tc>
      </w:tr>
      <w:tr w14:paraId="367D68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3" w:hRule="atLeast"/>
        </w:trPr>
        <w:tc>
          <w:tcPr>
            <w:tcW w:w="1242" w:type="dxa"/>
            <w:vMerge w:val="continue"/>
          </w:tcPr>
          <w:p w14:paraId="11C90BAE">
            <w:pPr>
              <w:spacing w:line="0" w:lineRule="atLeast"/>
              <w:ind w:firstLine="420"/>
              <w:rPr>
                <w:rFonts w:cs="方正仿宋简体" w:asciiTheme="minorEastAsia" w:hAnsiTheme="minorEastAsia" w:eastAsiaTheme="minorEastAsia"/>
                <w:color w:val="000000" w:themeColor="text1"/>
                <w:szCs w:val="21"/>
                <w14:textFill>
                  <w14:solidFill>
                    <w14:schemeClr w14:val="tx1"/>
                  </w14:solidFill>
                </w14:textFill>
              </w:rPr>
            </w:pPr>
          </w:p>
        </w:tc>
        <w:tc>
          <w:tcPr>
            <w:tcW w:w="1701" w:type="dxa"/>
            <w:vMerge w:val="continue"/>
            <w:tcBorders>
              <w:bottom w:val="single" w:color="auto" w:sz="4" w:space="0"/>
            </w:tcBorders>
          </w:tcPr>
          <w:p w14:paraId="10EC7155">
            <w:pPr>
              <w:spacing w:line="0" w:lineRule="atLeast"/>
              <w:ind w:firstLine="420"/>
              <w:rPr>
                <w:rFonts w:cs="方正仿宋简体" w:asciiTheme="minorEastAsia" w:hAnsiTheme="minorEastAsia" w:eastAsiaTheme="minorEastAsia"/>
                <w:color w:val="000000" w:themeColor="text1"/>
                <w:szCs w:val="21"/>
                <w14:textFill>
                  <w14:solidFill>
                    <w14:schemeClr w14:val="tx1"/>
                  </w14:solidFill>
                </w14:textFill>
              </w:rPr>
            </w:pPr>
          </w:p>
        </w:tc>
        <w:tc>
          <w:tcPr>
            <w:tcW w:w="5669" w:type="dxa"/>
            <w:gridSpan w:val="11"/>
            <w:tcBorders>
              <w:top w:val="single" w:color="auto" w:sz="4" w:space="0"/>
              <w:bottom w:val="single" w:color="auto" w:sz="4" w:space="0"/>
            </w:tcBorders>
          </w:tcPr>
          <w:p w14:paraId="21606261">
            <w:pPr>
              <w:spacing w:line="0" w:lineRule="atLeast"/>
              <w:rPr>
                <w:rFonts w:cs="方正仿宋简体" w:asciiTheme="minorEastAsia" w:hAnsiTheme="minorEastAsia" w:eastAsiaTheme="minorEastAsia"/>
                <w:color w:val="000000" w:themeColor="text1"/>
                <w:szCs w:val="21"/>
                <w14:textFill>
                  <w14:solidFill>
                    <w14:schemeClr w14:val="tx1"/>
                  </w14:solidFill>
                </w14:textFill>
              </w:rPr>
            </w:pPr>
            <w:r>
              <w:rPr>
                <w:rFonts w:hint="eastAsia" w:cs="方正仿宋简体" w:asciiTheme="minorEastAsia" w:hAnsiTheme="minorEastAsia" w:eastAsiaTheme="minorEastAsia"/>
                <w:color w:val="000000" w:themeColor="text1"/>
                <w:szCs w:val="21"/>
                <w14:textFill>
                  <w14:solidFill>
                    <w14:schemeClr w14:val="tx1"/>
                  </w14:solidFill>
                </w14:textFill>
              </w:rPr>
              <w:t>建立覆盖所有社区和大型小区公共体育球场</w:t>
            </w:r>
          </w:p>
        </w:tc>
      </w:tr>
      <w:tr w14:paraId="15BBE2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5" w:hRule="atLeast"/>
        </w:trPr>
        <w:tc>
          <w:tcPr>
            <w:tcW w:w="1242" w:type="dxa"/>
            <w:vMerge w:val="continue"/>
          </w:tcPr>
          <w:p w14:paraId="00BED941">
            <w:pPr>
              <w:spacing w:line="0" w:lineRule="atLeast"/>
              <w:ind w:firstLine="420"/>
              <w:rPr>
                <w:rFonts w:cs="方正仿宋简体" w:asciiTheme="minorEastAsia" w:hAnsiTheme="minorEastAsia" w:eastAsiaTheme="minorEastAsia"/>
                <w:color w:val="000000" w:themeColor="text1"/>
                <w:szCs w:val="21"/>
                <w14:textFill>
                  <w14:solidFill>
                    <w14:schemeClr w14:val="tx1"/>
                  </w14:solidFill>
                </w14:textFill>
              </w:rPr>
            </w:pPr>
          </w:p>
        </w:tc>
        <w:tc>
          <w:tcPr>
            <w:tcW w:w="1701" w:type="dxa"/>
            <w:vMerge w:val="restart"/>
            <w:tcBorders>
              <w:top w:val="single" w:color="auto" w:sz="4" w:space="0"/>
            </w:tcBorders>
          </w:tcPr>
          <w:p w14:paraId="3CC52779">
            <w:pPr>
              <w:spacing w:line="0" w:lineRule="atLeast"/>
              <w:ind w:leftChars="-1" w:right="-107" w:rightChars="-51" w:hanging="2" w:hangingChars="1"/>
              <w:rPr>
                <w:rFonts w:cs="方正仿宋简体" w:asciiTheme="minorEastAsia" w:hAnsiTheme="minorEastAsia" w:eastAsiaTheme="minorEastAsia"/>
                <w:color w:val="000000" w:themeColor="text1"/>
                <w:szCs w:val="21"/>
                <w14:textFill>
                  <w14:solidFill>
                    <w14:schemeClr w14:val="tx1"/>
                  </w14:solidFill>
                </w14:textFill>
              </w:rPr>
            </w:pPr>
            <w:r>
              <w:rPr>
                <w:rFonts w:hint="eastAsia" w:cs="方正仿宋简体" w:asciiTheme="minorEastAsia" w:hAnsiTheme="minorEastAsia" w:eastAsiaTheme="minorEastAsia"/>
                <w:color w:val="000000" w:themeColor="text1"/>
                <w:szCs w:val="21"/>
                <w14:textFill>
                  <w14:solidFill>
                    <w14:schemeClr w14:val="tx1"/>
                  </w14:solidFill>
                </w14:textFill>
              </w:rPr>
              <w:t>公园/市民广场</w:t>
            </w:r>
          </w:p>
        </w:tc>
        <w:tc>
          <w:tcPr>
            <w:tcW w:w="5669" w:type="dxa"/>
            <w:gridSpan w:val="11"/>
            <w:tcBorders>
              <w:top w:val="single" w:color="auto" w:sz="4" w:space="0"/>
              <w:bottom w:val="single" w:color="auto" w:sz="4" w:space="0"/>
            </w:tcBorders>
          </w:tcPr>
          <w:p w14:paraId="22F02CBA">
            <w:pPr>
              <w:spacing w:line="0" w:lineRule="atLeast"/>
              <w:rPr>
                <w:rFonts w:cs="方正仿宋简体" w:asciiTheme="minorEastAsia" w:hAnsiTheme="minorEastAsia" w:eastAsiaTheme="minorEastAsia"/>
                <w:color w:val="000000" w:themeColor="text1"/>
                <w:szCs w:val="21"/>
                <w14:textFill>
                  <w14:solidFill>
                    <w14:schemeClr w14:val="tx1"/>
                  </w14:solidFill>
                </w14:textFill>
              </w:rPr>
            </w:pPr>
            <w:r>
              <w:rPr>
                <w:rFonts w:hint="eastAsia" w:cs="方正仿宋简体" w:asciiTheme="minorEastAsia" w:hAnsiTheme="minorEastAsia" w:eastAsiaTheme="minorEastAsia"/>
                <w:color w:val="000000" w:themeColor="text1"/>
                <w:szCs w:val="21"/>
                <w14:textFill>
                  <w14:solidFill>
                    <w14:schemeClr w14:val="tx1"/>
                  </w14:solidFill>
                </w14:textFill>
              </w:rPr>
              <w:t>建立5个公园（已有华山公园、市民广场、飞龙公园等）</w:t>
            </w:r>
          </w:p>
        </w:tc>
      </w:tr>
      <w:tr w14:paraId="5245EF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242" w:type="dxa"/>
            <w:vMerge w:val="continue"/>
          </w:tcPr>
          <w:p w14:paraId="0BB7E4B9">
            <w:pPr>
              <w:spacing w:line="0" w:lineRule="atLeast"/>
              <w:ind w:firstLine="420"/>
              <w:rPr>
                <w:rFonts w:cs="方正仿宋简体" w:asciiTheme="minorEastAsia" w:hAnsiTheme="minorEastAsia" w:eastAsiaTheme="minorEastAsia"/>
                <w:color w:val="000000" w:themeColor="text1"/>
                <w:szCs w:val="21"/>
                <w14:textFill>
                  <w14:solidFill>
                    <w14:schemeClr w14:val="tx1"/>
                  </w14:solidFill>
                </w14:textFill>
              </w:rPr>
            </w:pPr>
          </w:p>
        </w:tc>
        <w:tc>
          <w:tcPr>
            <w:tcW w:w="1701" w:type="dxa"/>
            <w:vMerge w:val="continue"/>
            <w:tcBorders>
              <w:bottom w:val="single" w:color="auto" w:sz="4" w:space="0"/>
            </w:tcBorders>
          </w:tcPr>
          <w:p w14:paraId="0FB8870F">
            <w:pPr>
              <w:spacing w:line="0" w:lineRule="atLeast"/>
              <w:ind w:leftChars="-51" w:right="-107" w:rightChars="-51" w:hanging="107" w:hangingChars="51"/>
              <w:rPr>
                <w:rFonts w:cs="方正仿宋简体" w:asciiTheme="minorEastAsia" w:hAnsiTheme="minorEastAsia" w:eastAsiaTheme="minorEastAsia"/>
                <w:color w:val="000000" w:themeColor="text1"/>
                <w:szCs w:val="21"/>
                <w14:textFill>
                  <w14:solidFill>
                    <w14:schemeClr w14:val="tx1"/>
                  </w14:solidFill>
                </w14:textFill>
              </w:rPr>
            </w:pPr>
          </w:p>
        </w:tc>
        <w:tc>
          <w:tcPr>
            <w:tcW w:w="5669" w:type="dxa"/>
            <w:gridSpan w:val="11"/>
            <w:tcBorders>
              <w:top w:val="single" w:color="auto" w:sz="4" w:space="0"/>
              <w:bottom w:val="single" w:color="auto" w:sz="4" w:space="0"/>
            </w:tcBorders>
          </w:tcPr>
          <w:p w14:paraId="0F25CFED">
            <w:pPr>
              <w:spacing w:line="0" w:lineRule="atLeast"/>
              <w:rPr>
                <w:rFonts w:cs="方正仿宋简体" w:asciiTheme="minorEastAsia" w:hAnsiTheme="minorEastAsia" w:eastAsiaTheme="minorEastAsia"/>
                <w:color w:val="000000" w:themeColor="text1"/>
                <w:szCs w:val="21"/>
                <w14:textFill>
                  <w14:solidFill>
                    <w14:schemeClr w14:val="tx1"/>
                  </w14:solidFill>
                </w14:textFill>
              </w:rPr>
            </w:pPr>
            <w:r>
              <w:rPr>
                <w:rFonts w:hint="eastAsia" w:cs="方正仿宋简体" w:asciiTheme="minorEastAsia" w:hAnsiTheme="minorEastAsia" w:eastAsiaTheme="minorEastAsia"/>
                <w:color w:val="000000" w:themeColor="text1"/>
                <w:szCs w:val="21"/>
                <w14:textFill>
                  <w14:solidFill>
                    <w14:schemeClr w14:val="tx1"/>
                  </w14:solidFill>
                </w14:textFill>
              </w:rPr>
              <w:t>建立慢行路网</w:t>
            </w:r>
          </w:p>
        </w:tc>
      </w:tr>
      <w:tr w14:paraId="758197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7" w:hRule="atLeast"/>
        </w:trPr>
        <w:tc>
          <w:tcPr>
            <w:tcW w:w="1242" w:type="dxa"/>
            <w:vMerge w:val="continue"/>
          </w:tcPr>
          <w:p w14:paraId="51FDC45F">
            <w:pPr>
              <w:spacing w:line="0" w:lineRule="atLeast"/>
              <w:ind w:firstLine="420"/>
              <w:rPr>
                <w:rFonts w:cs="方正仿宋简体" w:asciiTheme="minorEastAsia" w:hAnsiTheme="minorEastAsia" w:eastAsiaTheme="minorEastAsia"/>
                <w:color w:val="000000" w:themeColor="text1"/>
                <w:szCs w:val="21"/>
                <w14:textFill>
                  <w14:solidFill>
                    <w14:schemeClr w14:val="tx1"/>
                  </w14:solidFill>
                </w14:textFill>
              </w:rPr>
            </w:pPr>
          </w:p>
        </w:tc>
        <w:tc>
          <w:tcPr>
            <w:tcW w:w="1701" w:type="dxa"/>
            <w:vMerge w:val="restart"/>
            <w:tcBorders>
              <w:top w:val="single" w:color="auto" w:sz="4" w:space="0"/>
            </w:tcBorders>
          </w:tcPr>
          <w:p w14:paraId="29A11A30">
            <w:pPr>
              <w:spacing w:line="0" w:lineRule="atLeast"/>
              <w:ind w:leftChars="-1" w:hanging="2" w:hangingChars="1"/>
              <w:rPr>
                <w:rFonts w:cs="方正仿宋简体" w:asciiTheme="minorEastAsia" w:hAnsiTheme="minorEastAsia" w:eastAsiaTheme="minorEastAsia"/>
                <w:color w:val="000000" w:themeColor="text1"/>
                <w:szCs w:val="21"/>
                <w14:textFill>
                  <w14:solidFill>
                    <w14:schemeClr w14:val="tx1"/>
                  </w14:solidFill>
                </w14:textFill>
              </w:rPr>
            </w:pPr>
            <w:r>
              <w:rPr>
                <w:rFonts w:hint="eastAsia" w:cs="方正仿宋简体" w:asciiTheme="minorEastAsia" w:hAnsiTheme="minorEastAsia" w:eastAsiaTheme="minorEastAsia"/>
                <w:color w:val="000000" w:themeColor="text1"/>
                <w:szCs w:val="21"/>
                <w14:textFill>
                  <w14:solidFill>
                    <w14:schemeClr w14:val="tx1"/>
                  </w14:solidFill>
                </w14:textFill>
              </w:rPr>
              <w:t>垃圾处理</w:t>
            </w:r>
          </w:p>
        </w:tc>
        <w:tc>
          <w:tcPr>
            <w:tcW w:w="5669" w:type="dxa"/>
            <w:gridSpan w:val="11"/>
            <w:tcBorders>
              <w:top w:val="single" w:color="auto" w:sz="4" w:space="0"/>
              <w:bottom w:val="single" w:color="auto" w:sz="4" w:space="0"/>
            </w:tcBorders>
          </w:tcPr>
          <w:p w14:paraId="04BAB160">
            <w:pPr>
              <w:spacing w:line="0" w:lineRule="atLeast"/>
              <w:ind w:leftChars="-1" w:hanging="2" w:hangingChars="1"/>
              <w:rPr>
                <w:rFonts w:cs="方正仿宋简体" w:asciiTheme="minorEastAsia" w:hAnsiTheme="minorEastAsia" w:eastAsiaTheme="minorEastAsia"/>
                <w:color w:val="000000" w:themeColor="text1"/>
                <w:szCs w:val="21"/>
                <w14:textFill>
                  <w14:solidFill>
                    <w14:schemeClr w14:val="tx1"/>
                  </w14:solidFill>
                </w14:textFill>
              </w:rPr>
            </w:pPr>
            <w:r>
              <w:rPr>
                <w:rFonts w:hint="eastAsia" w:cs="方正仿宋简体" w:asciiTheme="minorEastAsia" w:hAnsiTheme="minorEastAsia" w:eastAsiaTheme="minorEastAsia"/>
                <w:color w:val="000000" w:themeColor="text1"/>
                <w:szCs w:val="21"/>
                <w14:textFill>
                  <w14:solidFill>
                    <w14:schemeClr w14:val="tx1"/>
                  </w14:solidFill>
                </w14:textFill>
              </w:rPr>
              <w:t>建立生活垃圾集中处理中心和雨水、污水分别处理系统</w:t>
            </w:r>
          </w:p>
        </w:tc>
      </w:tr>
      <w:tr w14:paraId="2A94A5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8" w:hRule="atLeast"/>
        </w:trPr>
        <w:tc>
          <w:tcPr>
            <w:tcW w:w="1242" w:type="dxa"/>
            <w:vMerge w:val="continue"/>
          </w:tcPr>
          <w:p w14:paraId="7253F3D3">
            <w:pPr>
              <w:spacing w:line="0" w:lineRule="atLeast"/>
              <w:ind w:firstLine="420"/>
              <w:rPr>
                <w:rFonts w:cs="方正仿宋简体" w:asciiTheme="minorEastAsia" w:hAnsiTheme="minorEastAsia" w:eastAsiaTheme="minorEastAsia"/>
                <w:color w:val="000000" w:themeColor="text1"/>
                <w:szCs w:val="21"/>
                <w14:textFill>
                  <w14:solidFill>
                    <w14:schemeClr w14:val="tx1"/>
                  </w14:solidFill>
                </w14:textFill>
              </w:rPr>
            </w:pPr>
          </w:p>
        </w:tc>
        <w:tc>
          <w:tcPr>
            <w:tcW w:w="1701" w:type="dxa"/>
            <w:vMerge w:val="continue"/>
          </w:tcPr>
          <w:p w14:paraId="64504E37">
            <w:pPr>
              <w:spacing w:line="0" w:lineRule="atLeast"/>
              <w:ind w:leftChars="-51" w:hanging="107" w:hangingChars="51"/>
              <w:rPr>
                <w:rFonts w:cs="方正仿宋简体" w:asciiTheme="minorEastAsia" w:hAnsiTheme="minorEastAsia" w:eastAsiaTheme="minorEastAsia"/>
                <w:color w:val="000000" w:themeColor="text1"/>
                <w:szCs w:val="21"/>
                <w14:textFill>
                  <w14:solidFill>
                    <w14:schemeClr w14:val="tx1"/>
                  </w14:solidFill>
                </w14:textFill>
              </w:rPr>
            </w:pPr>
          </w:p>
        </w:tc>
        <w:tc>
          <w:tcPr>
            <w:tcW w:w="5669" w:type="dxa"/>
            <w:gridSpan w:val="11"/>
            <w:tcBorders>
              <w:top w:val="single" w:color="auto" w:sz="4" w:space="0"/>
              <w:bottom w:val="single" w:color="auto" w:sz="4" w:space="0"/>
            </w:tcBorders>
          </w:tcPr>
          <w:p w14:paraId="42B8533C">
            <w:pPr>
              <w:spacing w:line="0" w:lineRule="atLeast"/>
              <w:ind w:leftChars="-1" w:hanging="2" w:hangingChars="1"/>
              <w:rPr>
                <w:rFonts w:cs="方正仿宋简体" w:asciiTheme="minorEastAsia" w:hAnsiTheme="minorEastAsia" w:eastAsiaTheme="minorEastAsia"/>
                <w:color w:val="000000" w:themeColor="text1"/>
                <w:szCs w:val="21"/>
                <w14:textFill>
                  <w14:solidFill>
                    <w14:schemeClr w14:val="tx1"/>
                  </w14:solidFill>
                </w14:textFill>
              </w:rPr>
            </w:pPr>
            <w:r>
              <w:rPr>
                <w:rFonts w:hint="eastAsia" w:cs="方正仿宋简体" w:asciiTheme="minorEastAsia" w:hAnsiTheme="minorEastAsia" w:eastAsiaTheme="minorEastAsia"/>
                <w:color w:val="000000" w:themeColor="text1"/>
                <w:szCs w:val="21"/>
                <w14:textFill>
                  <w14:solidFill>
                    <w14:schemeClr w14:val="tx1"/>
                  </w14:solidFill>
                </w14:textFill>
              </w:rPr>
              <w:t>工业垃圾、废水、废气处理全覆盖</w:t>
            </w:r>
          </w:p>
        </w:tc>
      </w:tr>
      <w:tr w14:paraId="2EE3A5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 w:hRule="atLeast"/>
        </w:trPr>
        <w:tc>
          <w:tcPr>
            <w:tcW w:w="1242" w:type="dxa"/>
            <w:vMerge w:val="continue"/>
          </w:tcPr>
          <w:p w14:paraId="282E6C34">
            <w:pPr>
              <w:spacing w:line="0" w:lineRule="atLeast"/>
              <w:ind w:firstLine="420"/>
              <w:rPr>
                <w:rFonts w:cs="方正仿宋简体" w:asciiTheme="minorEastAsia" w:hAnsiTheme="minorEastAsia" w:eastAsiaTheme="minorEastAsia"/>
                <w:color w:val="000000" w:themeColor="text1"/>
                <w:szCs w:val="21"/>
                <w14:textFill>
                  <w14:solidFill>
                    <w14:schemeClr w14:val="tx1"/>
                  </w14:solidFill>
                </w14:textFill>
              </w:rPr>
            </w:pPr>
          </w:p>
        </w:tc>
        <w:tc>
          <w:tcPr>
            <w:tcW w:w="1701" w:type="dxa"/>
            <w:vMerge w:val="continue"/>
            <w:tcBorders>
              <w:bottom w:val="single" w:color="auto" w:sz="4" w:space="0"/>
            </w:tcBorders>
          </w:tcPr>
          <w:p w14:paraId="218746C1">
            <w:pPr>
              <w:spacing w:line="0" w:lineRule="atLeast"/>
              <w:ind w:leftChars="-51" w:hanging="107" w:hangingChars="51"/>
              <w:rPr>
                <w:rFonts w:cs="方正仿宋简体" w:asciiTheme="minorEastAsia" w:hAnsiTheme="minorEastAsia" w:eastAsiaTheme="minorEastAsia"/>
                <w:color w:val="000000" w:themeColor="text1"/>
                <w:szCs w:val="21"/>
                <w14:textFill>
                  <w14:solidFill>
                    <w14:schemeClr w14:val="tx1"/>
                  </w14:solidFill>
                </w14:textFill>
              </w:rPr>
            </w:pPr>
          </w:p>
        </w:tc>
        <w:tc>
          <w:tcPr>
            <w:tcW w:w="5669" w:type="dxa"/>
            <w:gridSpan w:val="11"/>
            <w:tcBorders>
              <w:top w:val="single" w:color="auto" w:sz="4" w:space="0"/>
              <w:bottom w:val="single" w:color="auto" w:sz="4" w:space="0"/>
            </w:tcBorders>
          </w:tcPr>
          <w:p w14:paraId="14758F6B">
            <w:pPr>
              <w:spacing w:line="0" w:lineRule="atLeast"/>
              <w:rPr>
                <w:rFonts w:cs="方正仿宋简体" w:asciiTheme="minorEastAsia" w:hAnsiTheme="minorEastAsia" w:eastAsiaTheme="minorEastAsia"/>
                <w:color w:val="000000" w:themeColor="text1"/>
                <w:szCs w:val="21"/>
                <w14:textFill>
                  <w14:solidFill>
                    <w14:schemeClr w14:val="tx1"/>
                  </w14:solidFill>
                </w14:textFill>
              </w:rPr>
            </w:pPr>
            <w:r>
              <w:rPr>
                <w:rFonts w:hint="eastAsia" w:cs="方正仿宋简体" w:asciiTheme="minorEastAsia" w:hAnsiTheme="minorEastAsia" w:eastAsiaTheme="minorEastAsia"/>
                <w:color w:val="000000" w:themeColor="text1"/>
                <w:szCs w:val="21"/>
                <w14:textFill>
                  <w14:solidFill>
                    <w14:schemeClr w14:val="tx1"/>
                  </w14:solidFill>
                </w14:textFill>
              </w:rPr>
              <w:t>生活垃圾、废水处理全覆盖</w:t>
            </w:r>
          </w:p>
        </w:tc>
      </w:tr>
      <w:tr w14:paraId="706C76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242" w:type="dxa"/>
            <w:vMerge w:val="continue"/>
          </w:tcPr>
          <w:p w14:paraId="56CFDFF0">
            <w:pPr>
              <w:spacing w:line="0" w:lineRule="atLeast"/>
              <w:ind w:firstLine="420"/>
              <w:rPr>
                <w:rFonts w:cs="方正仿宋简体" w:asciiTheme="minorEastAsia" w:hAnsiTheme="minorEastAsia" w:eastAsiaTheme="minorEastAsia"/>
                <w:color w:val="000000" w:themeColor="text1"/>
                <w:szCs w:val="21"/>
                <w14:textFill>
                  <w14:solidFill>
                    <w14:schemeClr w14:val="tx1"/>
                  </w14:solidFill>
                </w14:textFill>
              </w:rPr>
            </w:pPr>
          </w:p>
        </w:tc>
        <w:tc>
          <w:tcPr>
            <w:tcW w:w="1701" w:type="dxa"/>
            <w:tcBorders>
              <w:top w:val="single" w:color="auto" w:sz="4" w:space="0"/>
            </w:tcBorders>
          </w:tcPr>
          <w:p w14:paraId="221F7D15">
            <w:pPr>
              <w:spacing w:line="0" w:lineRule="atLeast"/>
              <w:ind w:leftChars="-1" w:hanging="2" w:hangingChars="1"/>
              <w:rPr>
                <w:rFonts w:cs="方正仿宋简体" w:asciiTheme="minorEastAsia" w:hAnsiTheme="minorEastAsia" w:eastAsiaTheme="minorEastAsia"/>
                <w:color w:val="000000" w:themeColor="text1"/>
                <w:szCs w:val="21"/>
                <w14:textFill>
                  <w14:solidFill>
                    <w14:schemeClr w14:val="tx1"/>
                  </w14:solidFill>
                </w14:textFill>
              </w:rPr>
            </w:pPr>
            <w:r>
              <w:rPr>
                <w:rFonts w:hint="eastAsia" w:cs="方正仿宋简体" w:asciiTheme="minorEastAsia" w:hAnsiTheme="minorEastAsia" w:eastAsiaTheme="minorEastAsia"/>
                <w:color w:val="000000" w:themeColor="text1"/>
                <w:szCs w:val="21"/>
                <w14:textFill>
                  <w14:solidFill>
                    <w14:schemeClr w14:val="tx1"/>
                  </w14:solidFill>
                </w14:textFill>
              </w:rPr>
              <w:t>生态环境建设</w:t>
            </w:r>
          </w:p>
        </w:tc>
        <w:tc>
          <w:tcPr>
            <w:tcW w:w="5669" w:type="dxa"/>
            <w:gridSpan w:val="11"/>
            <w:tcBorders>
              <w:top w:val="single" w:color="auto" w:sz="4" w:space="0"/>
              <w:bottom w:val="single" w:color="auto" w:sz="4" w:space="0"/>
            </w:tcBorders>
          </w:tcPr>
          <w:p w14:paraId="579E082D">
            <w:pPr>
              <w:spacing w:line="0" w:lineRule="atLeast"/>
              <w:rPr>
                <w:rFonts w:cs="方正仿宋简体"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建设新老藻江河和三井河绿色廊道</w:t>
            </w:r>
          </w:p>
        </w:tc>
      </w:tr>
      <w:tr w14:paraId="2C6BFA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1" w:hRule="atLeast"/>
        </w:trPr>
        <w:tc>
          <w:tcPr>
            <w:tcW w:w="1242" w:type="dxa"/>
            <w:vMerge w:val="continue"/>
          </w:tcPr>
          <w:p w14:paraId="309B2975">
            <w:pPr>
              <w:spacing w:line="0" w:lineRule="atLeast"/>
              <w:ind w:firstLine="420"/>
              <w:rPr>
                <w:rFonts w:cs="方正仿宋简体" w:asciiTheme="minorEastAsia" w:hAnsiTheme="minorEastAsia" w:eastAsiaTheme="minorEastAsia"/>
                <w:color w:val="000000" w:themeColor="text1"/>
                <w:szCs w:val="21"/>
                <w14:textFill>
                  <w14:solidFill>
                    <w14:schemeClr w14:val="tx1"/>
                  </w14:solidFill>
                </w14:textFill>
              </w:rPr>
            </w:pPr>
          </w:p>
        </w:tc>
        <w:tc>
          <w:tcPr>
            <w:tcW w:w="1701" w:type="dxa"/>
            <w:tcBorders>
              <w:top w:val="single" w:color="auto" w:sz="4" w:space="0"/>
            </w:tcBorders>
          </w:tcPr>
          <w:p w14:paraId="4E465329">
            <w:pPr>
              <w:spacing w:line="0" w:lineRule="atLeast"/>
              <w:ind w:leftChars="-1" w:hanging="2" w:hangingChars="1"/>
              <w:rPr>
                <w:rFonts w:cs="方正仿宋简体" w:asciiTheme="minorEastAsia" w:hAnsiTheme="minorEastAsia" w:eastAsiaTheme="minorEastAsia"/>
                <w:color w:val="000000" w:themeColor="text1"/>
                <w:szCs w:val="21"/>
                <w14:textFill>
                  <w14:solidFill>
                    <w14:schemeClr w14:val="tx1"/>
                  </w14:solidFill>
                </w14:textFill>
              </w:rPr>
            </w:pPr>
            <w:r>
              <w:rPr>
                <w:rFonts w:hint="eastAsia" w:cs="方正仿宋简体" w:asciiTheme="minorEastAsia" w:hAnsiTheme="minorEastAsia" w:eastAsiaTheme="minorEastAsia"/>
                <w:color w:val="000000" w:themeColor="text1"/>
                <w:szCs w:val="21"/>
                <w14:textFill>
                  <w14:solidFill>
                    <w14:schemeClr w14:val="tx1"/>
                  </w14:solidFill>
                </w14:textFill>
              </w:rPr>
              <w:t>信息化</w:t>
            </w:r>
          </w:p>
        </w:tc>
        <w:tc>
          <w:tcPr>
            <w:tcW w:w="5669" w:type="dxa"/>
            <w:gridSpan w:val="11"/>
            <w:tcBorders>
              <w:top w:val="single" w:color="auto" w:sz="4" w:space="0"/>
            </w:tcBorders>
          </w:tcPr>
          <w:p w14:paraId="35423B16">
            <w:pPr>
              <w:spacing w:line="0" w:lineRule="atLeast"/>
              <w:ind w:right="-101" w:rightChars="-48"/>
              <w:rPr>
                <w:rFonts w:cs="方正仿宋简体" w:asciiTheme="minorEastAsia" w:hAnsiTheme="minorEastAsia" w:eastAsiaTheme="minorEastAsia"/>
                <w:color w:val="000000" w:themeColor="text1"/>
                <w:szCs w:val="21"/>
                <w14:textFill>
                  <w14:solidFill>
                    <w14:schemeClr w14:val="tx1"/>
                  </w14:solidFill>
                </w14:textFill>
              </w:rPr>
            </w:pPr>
            <w:r>
              <w:rPr>
                <w:rFonts w:hint="eastAsia" w:cs="方正仿宋简体" w:asciiTheme="minorEastAsia" w:hAnsiTheme="minorEastAsia" w:eastAsiaTheme="minorEastAsia"/>
                <w:color w:val="000000" w:themeColor="text1"/>
                <w:szCs w:val="21"/>
                <w14:textFill>
                  <w14:solidFill>
                    <w14:schemeClr w14:val="tx1"/>
                  </w14:solidFill>
                </w14:textFill>
              </w:rPr>
              <w:t>建立全覆盖三网（互联网、电视网、电话网）合一信息网</w:t>
            </w:r>
          </w:p>
        </w:tc>
      </w:tr>
      <w:tr w14:paraId="5513CF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trPr>
        <w:tc>
          <w:tcPr>
            <w:tcW w:w="1242" w:type="dxa"/>
            <w:vMerge w:val="restart"/>
          </w:tcPr>
          <w:p w14:paraId="6C7BD2E4">
            <w:pPr>
              <w:spacing w:line="0" w:lineRule="atLeast"/>
              <w:rPr>
                <w:rFonts w:cs="方正仿宋简体" w:asciiTheme="minorEastAsia" w:hAnsiTheme="minorEastAsia" w:eastAsiaTheme="minorEastAsia"/>
                <w:color w:val="000000" w:themeColor="text1"/>
                <w:szCs w:val="21"/>
                <w14:textFill>
                  <w14:solidFill>
                    <w14:schemeClr w14:val="tx1"/>
                  </w14:solidFill>
                </w14:textFill>
              </w:rPr>
            </w:pPr>
            <w:r>
              <w:rPr>
                <w:rFonts w:hint="eastAsia" w:cs="方正仿宋简体" w:asciiTheme="minorEastAsia" w:hAnsiTheme="minorEastAsia" w:eastAsiaTheme="minorEastAsia"/>
                <w:color w:val="000000" w:themeColor="text1"/>
                <w:szCs w:val="21"/>
                <w14:textFill>
                  <w14:solidFill>
                    <w14:schemeClr w14:val="tx1"/>
                  </w14:solidFill>
                </w14:textFill>
              </w:rPr>
              <w:t>社会保障</w:t>
            </w:r>
          </w:p>
        </w:tc>
        <w:tc>
          <w:tcPr>
            <w:tcW w:w="1701" w:type="dxa"/>
            <w:tcBorders>
              <w:bottom w:val="single" w:color="auto" w:sz="4" w:space="0"/>
            </w:tcBorders>
          </w:tcPr>
          <w:p w14:paraId="001F043E">
            <w:pPr>
              <w:spacing w:line="0" w:lineRule="atLeast"/>
              <w:rPr>
                <w:rFonts w:cs="方正仿宋简体" w:asciiTheme="minorEastAsia" w:hAnsiTheme="minorEastAsia" w:eastAsiaTheme="minorEastAsia"/>
                <w:color w:val="000000" w:themeColor="text1"/>
                <w:szCs w:val="21"/>
                <w14:textFill>
                  <w14:solidFill>
                    <w14:schemeClr w14:val="tx1"/>
                  </w14:solidFill>
                </w14:textFill>
              </w:rPr>
            </w:pPr>
            <w:r>
              <w:rPr>
                <w:rFonts w:hint="eastAsia" w:cs="方正仿宋简体" w:asciiTheme="minorEastAsia" w:hAnsiTheme="minorEastAsia" w:eastAsiaTheme="minorEastAsia"/>
                <w:color w:val="000000" w:themeColor="text1"/>
                <w:szCs w:val="21"/>
                <w14:textFill>
                  <w14:solidFill>
                    <w14:schemeClr w14:val="tx1"/>
                  </w14:solidFill>
                </w14:textFill>
              </w:rPr>
              <w:t>城乡居民</w:t>
            </w:r>
          </w:p>
        </w:tc>
        <w:tc>
          <w:tcPr>
            <w:tcW w:w="5669" w:type="dxa"/>
            <w:gridSpan w:val="11"/>
            <w:tcBorders>
              <w:bottom w:val="single" w:color="auto" w:sz="4" w:space="0"/>
            </w:tcBorders>
          </w:tcPr>
          <w:p w14:paraId="15766714">
            <w:pPr>
              <w:spacing w:line="0" w:lineRule="atLeast"/>
              <w:rPr>
                <w:rFonts w:cs="方正仿宋简体" w:asciiTheme="minorEastAsia" w:hAnsiTheme="minorEastAsia" w:eastAsiaTheme="minorEastAsia"/>
                <w:color w:val="000000" w:themeColor="text1"/>
                <w:szCs w:val="21"/>
                <w14:textFill>
                  <w14:solidFill>
                    <w14:schemeClr w14:val="tx1"/>
                  </w14:solidFill>
                </w14:textFill>
              </w:rPr>
            </w:pPr>
            <w:r>
              <w:rPr>
                <w:rFonts w:hint="eastAsia" w:cs="方正仿宋简体" w:asciiTheme="minorEastAsia" w:hAnsiTheme="minorEastAsia" w:eastAsiaTheme="minorEastAsia"/>
                <w:color w:val="000000" w:themeColor="text1"/>
                <w:szCs w:val="21"/>
                <w14:textFill>
                  <w14:solidFill>
                    <w14:schemeClr w14:val="tx1"/>
                  </w14:solidFill>
                </w14:textFill>
              </w:rPr>
              <w:t>社会保障均等化</w:t>
            </w:r>
          </w:p>
        </w:tc>
      </w:tr>
      <w:tr w14:paraId="26122E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2" w:hRule="atLeast"/>
        </w:trPr>
        <w:tc>
          <w:tcPr>
            <w:tcW w:w="1242" w:type="dxa"/>
            <w:vMerge w:val="continue"/>
            <w:tcBorders>
              <w:bottom w:val="single" w:color="auto" w:sz="4" w:space="0"/>
            </w:tcBorders>
          </w:tcPr>
          <w:p w14:paraId="65BAC1B0">
            <w:pPr>
              <w:spacing w:line="0" w:lineRule="atLeast"/>
              <w:ind w:firstLine="420"/>
              <w:rPr>
                <w:rFonts w:cs="方正仿宋简体" w:asciiTheme="minorEastAsia" w:hAnsiTheme="minorEastAsia" w:eastAsiaTheme="minorEastAsia"/>
                <w:color w:val="000000" w:themeColor="text1"/>
                <w:szCs w:val="21"/>
                <w14:textFill>
                  <w14:solidFill>
                    <w14:schemeClr w14:val="tx1"/>
                  </w14:solidFill>
                </w14:textFill>
              </w:rPr>
            </w:pPr>
          </w:p>
        </w:tc>
        <w:tc>
          <w:tcPr>
            <w:tcW w:w="1701" w:type="dxa"/>
            <w:tcBorders>
              <w:top w:val="single" w:color="auto" w:sz="4" w:space="0"/>
              <w:bottom w:val="single" w:color="auto" w:sz="4" w:space="0"/>
            </w:tcBorders>
          </w:tcPr>
          <w:p w14:paraId="3B1D1E26">
            <w:pPr>
              <w:spacing w:line="0" w:lineRule="atLeast"/>
              <w:rPr>
                <w:rFonts w:cs="方正仿宋简体" w:asciiTheme="minorEastAsia" w:hAnsiTheme="minorEastAsia" w:eastAsiaTheme="minorEastAsia"/>
                <w:color w:val="000000" w:themeColor="text1"/>
                <w:szCs w:val="21"/>
                <w14:textFill>
                  <w14:solidFill>
                    <w14:schemeClr w14:val="tx1"/>
                  </w14:solidFill>
                </w14:textFill>
              </w:rPr>
            </w:pPr>
            <w:r>
              <w:rPr>
                <w:rFonts w:hint="eastAsia" w:cs="方正仿宋简体" w:asciiTheme="minorEastAsia" w:hAnsiTheme="minorEastAsia" w:eastAsiaTheme="minorEastAsia"/>
                <w:color w:val="000000" w:themeColor="text1"/>
                <w:szCs w:val="21"/>
                <w14:textFill>
                  <w14:solidFill>
                    <w14:schemeClr w14:val="tx1"/>
                  </w14:solidFill>
                </w14:textFill>
              </w:rPr>
              <w:t>外来人口</w:t>
            </w:r>
          </w:p>
        </w:tc>
        <w:tc>
          <w:tcPr>
            <w:tcW w:w="5669" w:type="dxa"/>
            <w:gridSpan w:val="11"/>
            <w:tcBorders>
              <w:top w:val="single" w:color="auto" w:sz="4" w:space="0"/>
              <w:bottom w:val="single" w:color="auto" w:sz="4" w:space="0"/>
            </w:tcBorders>
          </w:tcPr>
          <w:p w14:paraId="7EB036D0">
            <w:pPr>
              <w:spacing w:line="0" w:lineRule="atLeast"/>
              <w:ind w:leftChars="-1" w:hanging="2" w:hangingChars="1"/>
              <w:rPr>
                <w:rFonts w:cs="方正仿宋简体" w:asciiTheme="minorEastAsia" w:hAnsiTheme="minorEastAsia" w:eastAsiaTheme="minorEastAsia"/>
                <w:color w:val="000000" w:themeColor="text1"/>
                <w:szCs w:val="21"/>
                <w14:textFill>
                  <w14:solidFill>
                    <w14:schemeClr w14:val="tx1"/>
                  </w14:solidFill>
                </w14:textFill>
              </w:rPr>
            </w:pPr>
            <w:r>
              <w:rPr>
                <w:rFonts w:hint="eastAsia" w:cs="方正仿宋简体" w:asciiTheme="minorEastAsia" w:hAnsiTheme="minorEastAsia" w:eastAsiaTheme="minorEastAsia"/>
                <w:color w:val="000000" w:themeColor="text1"/>
                <w:szCs w:val="21"/>
                <w14:textFill>
                  <w14:solidFill>
                    <w14:schemeClr w14:val="tx1"/>
                  </w14:solidFill>
                </w14:textFill>
              </w:rPr>
              <w:t>拥有居住证外来人口享受均等公共服务和等同社会保障</w:t>
            </w:r>
          </w:p>
        </w:tc>
      </w:tr>
    </w:tbl>
    <w:p w14:paraId="4782AB03">
      <w:pPr>
        <w:widowControl/>
        <w:jc w:val="left"/>
        <w:rPr>
          <w:rFonts w:ascii="黑体" w:hAnsi="宋体" w:eastAsia="黑体"/>
          <w:b/>
          <w:color w:val="000000" w:themeColor="text1"/>
          <w:sz w:val="44"/>
          <w:szCs w:val="44"/>
          <w14:textFill>
            <w14:solidFill>
              <w14:schemeClr w14:val="tx1"/>
            </w14:solidFill>
          </w14:textFill>
        </w:rPr>
      </w:pPr>
    </w:p>
    <w:p w14:paraId="7FFBB938">
      <w:pPr>
        <w:spacing w:line="360" w:lineRule="auto"/>
        <w:rPr>
          <w:rFonts w:ascii="黑体" w:hAnsi="宋体" w:eastAsia="黑体"/>
          <w:b/>
          <w:color w:val="000000" w:themeColor="text1"/>
          <w:sz w:val="72"/>
          <w:szCs w:val="72"/>
          <w14:textFill>
            <w14:solidFill>
              <w14:schemeClr w14:val="tx1"/>
            </w14:solidFill>
          </w14:textFill>
        </w:rPr>
      </w:pPr>
    </w:p>
    <w:p w14:paraId="635728E9">
      <w:pPr>
        <w:spacing w:line="360" w:lineRule="auto"/>
        <w:ind w:firstLine="883" w:firstLineChars="200"/>
        <w:rPr>
          <w:rFonts w:ascii="黑体" w:hAnsi="宋体" w:eastAsia="黑体"/>
          <w:b/>
          <w:color w:val="000000" w:themeColor="text1"/>
          <w:sz w:val="44"/>
          <w:szCs w:val="44"/>
          <w14:textFill>
            <w14:solidFill>
              <w14:schemeClr w14:val="tx1"/>
            </w14:solidFill>
          </w14:textFill>
        </w:rPr>
      </w:pPr>
      <w:r>
        <w:rPr>
          <w:rFonts w:hint="eastAsia" w:ascii="黑体" w:hAnsi="宋体" w:eastAsia="黑体"/>
          <w:b/>
          <w:color w:val="000000" w:themeColor="text1"/>
          <w:sz w:val="44"/>
          <w:szCs w:val="44"/>
          <w14:textFill>
            <w14:solidFill>
              <w14:schemeClr w14:val="tx1"/>
            </w14:solidFill>
          </w14:textFill>
        </w:rPr>
        <w:t>五、 “十三五”期间主要问题研究</w:t>
      </w:r>
    </w:p>
    <w:p w14:paraId="13118174">
      <w:pPr>
        <w:pStyle w:val="8"/>
        <w:spacing w:line="480" w:lineRule="auto"/>
        <w:ind w:firstLine="55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    </w:t>
      </w:r>
    </w:p>
    <w:p w14:paraId="007F5E7B">
      <w:pPr>
        <w:pStyle w:val="8"/>
        <w:spacing w:line="480" w:lineRule="auto"/>
        <w:ind w:firstLine="55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规划”一方面要体现发展的前瞻性，另一方面也要体现解决问题的导向性。三井街道“十三五”规划，既要体现发展前瞻性，做到与时俱进，又要体现对现实问题的解决。“十三五”期间，三井街道对照发展定位和发展目标，需要解决的主要社会经济问题包括了经济转型发展、社会发展、社区管理等三个方面内容。</w:t>
      </w:r>
    </w:p>
    <w:p w14:paraId="08B72027">
      <w:pPr>
        <w:pStyle w:val="8"/>
        <w:spacing w:line="480" w:lineRule="auto"/>
        <w:ind w:firstLine="555"/>
        <w:rPr>
          <w:rFonts w:ascii="宋体" w:hAnsi="宋体"/>
          <w:color w:val="000000" w:themeColor="text1"/>
          <w:sz w:val="28"/>
          <w:szCs w:val="28"/>
          <w14:textFill>
            <w14:solidFill>
              <w14:schemeClr w14:val="tx1"/>
            </w14:solidFill>
          </w14:textFill>
        </w:rPr>
      </w:pPr>
    </w:p>
    <w:p w14:paraId="3C7743F3">
      <w:pPr>
        <w:pStyle w:val="8"/>
        <w:spacing w:line="480" w:lineRule="auto"/>
        <w:rPr>
          <w:rFonts w:ascii="黑体" w:hAnsi="宋体" w:eastAsia="黑体"/>
          <w:b/>
          <w:color w:val="000000" w:themeColor="text1"/>
          <w:sz w:val="32"/>
          <w:szCs w:val="32"/>
          <w14:textFill>
            <w14:solidFill>
              <w14:schemeClr w14:val="tx1"/>
            </w14:solidFill>
          </w14:textFill>
        </w:rPr>
      </w:pPr>
      <w:r>
        <w:rPr>
          <w:rFonts w:hint="eastAsia" w:ascii="黑体" w:hAnsi="宋体" w:eastAsia="黑体"/>
          <w:b/>
          <w:color w:val="000000" w:themeColor="text1"/>
          <w:sz w:val="32"/>
          <w:szCs w:val="32"/>
          <w14:textFill>
            <w14:solidFill>
              <w14:schemeClr w14:val="tx1"/>
            </w14:solidFill>
          </w14:textFill>
        </w:rPr>
        <w:t>（一）经济转型发展问题</w:t>
      </w:r>
    </w:p>
    <w:p w14:paraId="56E4923F">
      <w:pPr>
        <w:ind w:firstLine="560" w:firstLineChars="200"/>
        <w:rPr>
          <w:rFonts w:ascii="宋体" w:hAnsi="宋体"/>
          <w:bCs/>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一是没有工业经济增量发展承载空间，所有的工业用地已被开发或被利用，工业用地不足将导致“十三五”期间</w:t>
      </w:r>
      <w:r>
        <w:rPr>
          <w:rFonts w:hint="eastAsia" w:ascii="宋体" w:hAnsi="宋体"/>
          <w:bCs/>
          <w:color w:val="000000" w:themeColor="text1"/>
          <w:sz w:val="28"/>
          <w:szCs w:val="28"/>
          <w14:textFill>
            <w14:solidFill>
              <w14:schemeClr w14:val="tx1"/>
            </w14:solidFill>
          </w14:textFill>
        </w:rPr>
        <w:t>工业大项目投资处于空白期。造成工业投资不足原因有三个方面：</w:t>
      </w:r>
      <w:r>
        <w:rPr>
          <w:rFonts w:hint="eastAsia" w:ascii="宋体" w:hAnsi="宋体"/>
          <w:color w:val="000000" w:themeColor="text1"/>
          <w:sz w:val="28"/>
          <w:szCs w:val="28"/>
          <w14:textFill>
            <w14:solidFill>
              <w14:schemeClr w14:val="tx1"/>
            </w14:solidFill>
          </w14:textFill>
        </w:rPr>
        <w:t>1.工业用地及标准厂房资源匮乏，影响了工业招商引资工作开展；2.现有企业均已增资1-2次，目前企业因土地资源限制，大部分无增资意向；3.受国际国内经济形势影响，部分工业项目处于停滞或维持状态。</w:t>
      </w:r>
    </w:p>
    <w:p w14:paraId="100B8606">
      <w:pPr>
        <w:spacing w:line="360" w:lineRule="auto"/>
        <w:ind w:firstLine="548" w:firstLineChars="196"/>
        <w:rPr>
          <w:rFonts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二是工业存量经济发展形势严峻，三井街道一些工业行业处于产能过剩状态，“十三五”期间一些工业行业经济下滑压力增大难以避免。当前中国制造业面临三大挑战：1.稳增长和调结构双重困境，2.发达国家和新兴经济体双重挤压，3.低成本优势快速递减和新竞争优势尚未形成两难局面。2014年三井街道19个工业行业中产值同比增长超20%以上行业3个，同比增长10%到20%行业1个，同比增长10%以内行业7个，同比下降10%以内行业3个，同比下降10-20%行业2个，同比下降20%到30%行业2个，同比下降50%以上行业1个。“十三五”期间三井街道不排除有更多工业行业出现产值下滑趋势。</w:t>
      </w:r>
    </w:p>
    <w:p w14:paraId="02C50A61">
      <w:pPr>
        <w:spacing w:line="360" w:lineRule="auto"/>
        <w:rPr>
          <w:rFonts w:ascii="宋体" w:hAnsi="宋体"/>
          <w:bCs/>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drawing>
          <wp:inline distT="0" distB="0" distL="0" distR="0">
            <wp:extent cx="5258435" cy="2108200"/>
            <wp:effectExtent l="12192" t="6096" r="5969" b="0"/>
            <wp:docPr id="1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8F9E635">
      <w:pPr>
        <w:spacing w:line="360" w:lineRule="auto"/>
        <w:ind w:firstLine="472" w:firstLineChars="196"/>
        <w:rPr>
          <w:rFonts w:ascii="黑体" w:hAnsi="宋体" w:eastAsia="黑体"/>
          <w:b/>
          <w:bCs/>
          <w:color w:val="000000" w:themeColor="text1"/>
          <w:sz w:val="24"/>
          <w14:textFill>
            <w14:solidFill>
              <w14:schemeClr w14:val="tx1"/>
            </w14:solidFill>
          </w14:textFill>
        </w:rPr>
      </w:pPr>
      <w:r>
        <w:rPr>
          <w:rFonts w:hint="eastAsia" w:ascii="黑体" w:hAnsi="宋体" w:eastAsia="黑体"/>
          <w:b/>
          <w:bCs/>
          <w:color w:val="000000" w:themeColor="text1"/>
          <w:sz w:val="24"/>
          <w14:textFill>
            <w14:solidFill>
              <w14:schemeClr w14:val="tx1"/>
            </w14:solidFill>
          </w14:textFill>
        </w:rPr>
        <w:t xml:space="preserve">        图2：2014年三井街道19个行业产值同比增长情况</w:t>
      </w:r>
    </w:p>
    <w:p w14:paraId="28E6C9CF">
      <w:pPr>
        <w:spacing w:line="360" w:lineRule="auto"/>
        <w:ind w:firstLine="548" w:firstLineChars="196"/>
        <w:rPr>
          <w:rFonts w:ascii="宋体" w:hAnsi="宋体"/>
          <w:b/>
          <w:color w:val="000000" w:themeColor="text1"/>
          <w:sz w:val="28"/>
          <w:szCs w:val="28"/>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三是房地产业发展形势严峻，难以成为“十三五”期间三井街道主导产业或支柱产业。</w:t>
      </w:r>
      <w:r>
        <w:rPr>
          <w:rFonts w:hint="eastAsia" w:ascii="宋体" w:hAnsi="宋体"/>
          <w:color w:val="000000" w:themeColor="text1"/>
          <w:sz w:val="28"/>
          <w:szCs w:val="28"/>
          <w14:textFill>
            <w14:solidFill>
              <w14:schemeClr w14:val="tx1"/>
            </w14:solidFill>
          </w14:textFill>
        </w:rPr>
        <w:t>“十二五”期间三井街道房地产业投资尤其住宅房地产业投资比重偏高，经过多年大规模开发，能够连片开发的地块已基本开发结束。在土地资源越来越稀缺和住房空置率居高不下情况下，“十三五”期间一方面三井街道住房地产项目很难持续发展，在建的房地产项目大多进入中后投资期或收尾阶段；另一方面三井街道与住房地产配套的一些商业商务地产项目也因住房项目销售不畅，放慢了开发进度，如龙湖商业街因龙湖原山项目销售不顺而不断延后开工时间。据有关研究报告，常州市新北区目前商业地产、办公地产（商务地产）等项目“去库存化”周期预计达40个月以上，呈现严重供过于求状态。</w:t>
      </w:r>
    </w:p>
    <w:p w14:paraId="034C73BF">
      <w:pPr>
        <w:spacing w:line="360" w:lineRule="auto"/>
        <w:ind w:firstLine="548" w:firstLineChars="196"/>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四是三井街道虽然拥有常州市独一无二的行政中心资源、文体中心资源、传媒中心资源，又有吸引人气的环球恐龙城、万达商业广场等经典项目和具有浓厚商业氛围的太湖路商业一条街，但功能城市化滞后于景观城市化，“人气”并没有充分转变为“财气”，三井街道许多商业商务项目（如常发商业广场、迪诺水镇等）或出租率低于60%，或置换率超过30%，或租户倒闭率超过10%，既没有找到可持续赢利模式，也没有找到精准定位。</w:t>
      </w:r>
    </w:p>
    <w:p w14:paraId="62A78A76">
      <w:pPr>
        <w:spacing w:line="360" w:lineRule="auto"/>
        <w:ind w:firstLine="548" w:firstLineChars="196"/>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五是三井街道不管制造业还是服务业，普遍存在产业辨识度不 强或主导产业不突出问题。三井街道制造业分布在19个行业，行业辨识度不强，“散、小、乱”问题突出，许多工业行业不仅缺乏市场竞争力，而且与三井街道功能定位不符；三井街道都市服务业项目由于各个项目目标客户相同、定位相同、业务类型相同，因而争夺市场份额的同质竞争、内耗竞争成为了常态。</w:t>
      </w:r>
    </w:p>
    <w:p w14:paraId="0BE3BFC1">
      <w:pPr>
        <w:spacing w:line="360" w:lineRule="auto"/>
        <w:rPr>
          <w:rFonts w:ascii="宋体" w:hAnsi="宋体"/>
          <w:color w:val="000000" w:themeColor="text1"/>
          <w:sz w:val="28"/>
          <w:szCs w:val="28"/>
          <w14:textFill>
            <w14:solidFill>
              <w14:schemeClr w14:val="tx1"/>
            </w14:solidFill>
          </w14:textFill>
        </w:rPr>
      </w:pPr>
    </w:p>
    <w:p w14:paraId="1C7C169C">
      <w:pPr>
        <w:spacing w:line="360" w:lineRule="auto"/>
        <w:rPr>
          <w:rFonts w:ascii="黑体" w:hAnsi="宋体" w:eastAsia="黑体"/>
          <w:b/>
          <w:color w:val="000000" w:themeColor="text1"/>
          <w:sz w:val="32"/>
          <w:szCs w:val="32"/>
          <w14:textFill>
            <w14:solidFill>
              <w14:schemeClr w14:val="tx1"/>
            </w14:solidFill>
          </w14:textFill>
        </w:rPr>
      </w:pPr>
      <w:r>
        <w:rPr>
          <w:rFonts w:hint="eastAsia" w:ascii="黑体" w:hAnsi="宋体" w:eastAsia="黑体"/>
          <w:b/>
          <w:color w:val="000000" w:themeColor="text1"/>
          <w:sz w:val="32"/>
          <w:szCs w:val="32"/>
          <w14:textFill>
            <w14:solidFill>
              <w14:schemeClr w14:val="tx1"/>
            </w14:solidFill>
          </w14:textFill>
        </w:rPr>
        <w:t>（二）社会发展问题</w:t>
      </w:r>
    </w:p>
    <w:p w14:paraId="00F3BF28">
      <w:pPr>
        <w:pStyle w:val="8"/>
        <w:spacing w:line="48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“十三五”期间三井街道面临的社会发展问题主要体现为入园、上学、就医、养老等方面：</w:t>
      </w:r>
    </w:p>
    <w:p w14:paraId="197007D4">
      <w:pPr>
        <w:pStyle w:val="8"/>
        <w:spacing w:line="48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是公共服务跟不上城市发展需要，三井街道作为常州新城区，户籍人口虽然不多，但实际增加居住人口很多，且以“新常州人”和中青年人口为主，但辖区公立幼儿园、公立小学和初级中学无法满足不断增加居民子女就近入园、上学需要，现有公立幼儿园和公立小学普遍存在严重超编问题，如三井实验小学超编学生达1000人以上。目前三井街道公立幼儿园、公立小学仅能基本满足户籍家庭子女入园、上学，无法满足外来常住家庭子女入园、上学需要，更不用说满足户籍不在三井街道的外来就业、创业者子女入园、上学需要。</w:t>
      </w:r>
    </w:p>
    <w:p w14:paraId="6FFD5075">
      <w:pPr>
        <w:pStyle w:val="8"/>
        <w:spacing w:line="48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是未来随着小区入住率提高、常住人口增加和人口生育政策放宽，辖区常住家庭子女入园、上学矛盾更加突出，而解决途径无非两条道路：要么现有幼儿园、学校扩大招生，要么新建幼儿园和学校，但不管原有幼儿园、学校扩大招生，还是新建幼儿园、学校招生，都存在优秀教师引不来、留不住问题。目前普遍情况：1.幼儿园教师普遍没有纳入政府事业编制管理，引不进、留不住优秀教师，而培养一名合格乃至优秀幼儿园教师需要一定年限，但往往幼儿园教师不是事业编制管理，工资待遇低，常常成为向民办幼儿园输送教师主要来源；2.公立学校学生超编，学校不能及时补充编制教师，只能依靠代课教师弥补师资不足，大量编外年轻教师存在非常不利于学校文化传承和教师队伍稳定；3.由于公立学校、幼儿园教师缺乏，导致整个幼儿园、学校教师处于高强度工作状态。例如2014年9月新区实验中学三井实验小学设计48个班，但实际有71个班；三井实验小学设计48个班，但实际有65个班；泰山小学设计30个班，但实际有35个班；藻江幼儿园设计18个班，但实际有21个班；三井中心幼儿园设计24个班，但实际有26个班。</w:t>
      </w:r>
    </w:p>
    <w:p w14:paraId="70951BC4">
      <w:pPr>
        <w:pStyle w:val="8"/>
        <w:spacing w:line="48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是小区、人口分布与公立幼儿园、小学空间布局存在较大偏差。集中了香树湾福园、时代上院、龙湖原山、世茂香槟湖等大型小区的洪福社区和集中了大名城、玉龙湾花园、银河湾第一城、绿都·万和城、天山花园等大型小区的飞龙社区缺乏公立幼儿园和公立小学，导致许多家庭子女要么高价进入私立幼儿园和私立小学，要么需要远距离且穿越多条主要交通线路入公立幼儿园和公立小学。</w:t>
      </w:r>
    </w:p>
    <w:p w14:paraId="6BA5EA39">
      <w:pPr>
        <w:pStyle w:val="8"/>
        <w:spacing w:line="480" w:lineRule="auto"/>
        <w:rPr>
          <w:rFonts w:ascii="宋体" w:hAnsi="宋体"/>
          <w:color w:val="000000" w:themeColor="text1"/>
          <w:sz w:val="28"/>
          <w:szCs w:val="28"/>
          <w14:textFill>
            <w14:solidFill>
              <w14:schemeClr w14:val="tx1"/>
            </w14:solidFill>
          </w14:textFill>
        </w:rPr>
      </w:pPr>
      <w:r>
        <w:rPr>
          <w:rFonts w:ascii="宋体" w:hAnsi="宋体"/>
          <w:b/>
          <w:color w:val="000000" w:themeColor="text1"/>
          <w:sz w:val="32"/>
          <w:szCs w:val="32"/>
          <w14:textFill>
            <w14:solidFill>
              <w14:schemeClr w14:val="tx1"/>
            </w14:solidFill>
          </w14:textFill>
        </w:rPr>
        <mc:AlternateContent>
          <mc:Choice Requires="wps">
            <w:drawing>
              <wp:anchor distT="0" distB="0" distL="114300" distR="114300" simplePos="0" relativeHeight="251686912" behindDoc="0" locked="0" layoutInCell="1" allowOverlap="1">
                <wp:simplePos x="0" y="0"/>
                <wp:positionH relativeFrom="column">
                  <wp:posOffset>733425</wp:posOffset>
                </wp:positionH>
                <wp:positionV relativeFrom="paragraph">
                  <wp:posOffset>831215</wp:posOffset>
                </wp:positionV>
                <wp:extent cx="1076325" cy="125730"/>
                <wp:effectExtent l="19050" t="76200" r="0" b="26670"/>
                <wp:wrapNone/>
                <wp:docPr id="74" name="AutoShape 110"/>
                <wp:cNvGraphicFramePr/>
                <a:graphic xmlns:a="http://schemas.openxmlformats.org/drawingml/2006/main">
                  <a:graphicData uri="http://schemas.microsoft.com/office/word/2010/wordprocessingShape">
                    <wps:wsp>
                      <wps:cNvCnPr>
                        <a:cxnSpLocks noChangeShapeType="1"/>
                      </wps:cNvCnPr>
                      <wps:spPr bwMode="auto">
                        <a:xfrm flipV="1">
                          <a:off x="0" y="0"/>
                          <a:ext cx="1076325" cy="125730"/>
                        </a:xfrm>
                        <a:prstGeom prst="straightConnector1">
                          <a:avLst/>
                        </a:prstGeom>
                        <a:noFill/>
                        <a:ln w="38100">
                          <a:solidFill>
                            <a:srgbClr val="0000FF"/>
                          </a:solidFill>
                          <a:round/>
                          <a:tailEnd type="triangle" w="med" len="med"/>
                        </a:ln>
                      </wps:spPr>
                      <wps:bodyPr/>
                    </wps:wsp>
                  </a:graphicData>
                </a:graphic>
              </wp:anchor>
            </w:drawing>
          </mc:Choice>
          <mc:Fallback>
            <w:pict>
              <v:shape id="AutoShape 110" o:spid="_x0000_s1026" o:spt="32" type="#_x0000_t32" style="position:absolute;left:0pt;flip:y;margin-left:57.75pt;margin-top:65.45pt;height:9.9pt;width:84.75pt;z-index:251686912;mso-width-relative:page;mso-height-relative:page;" filled="f" stroked="t" coordsize="21600,21600" o:gfxdata="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P9ZXDaAAAACwEAAA8AAAAAAAAAAQAgAAAAIgAAAGRycy9k&#10;b3ducmV2LnhtbFBLAQIUABQAAAAIAIdO4kD/xNPNAAIAAPMDAAAOAAAAAAAAAAEAIAAAACkBAABk&#10;cnMvZTJvRG9jLnhtbFBLBQYAAAAABgAGAFkBAACbBQAAAAA=&#10;">
                <v:fill on="f" focussize="0,0"/>
                <v:stroke weight="3pt" color="#0000FF" joinstyle="round" endarrow="block"/>
                <v:imagedata o:title=""/>
                <o:lock v:ext="edit" aspectratio="f"/>
              </v:shape>
            </w:pict>
          </mc:Fallback>
        </mc:AlternateContent>
      </w:r>
      <w:r>
        <w:rPr>
          <w:rFonts w:ascii="宋体" w:hAnsi="宋体"/>
          <w:b/>
          <w:color w:val="000000" w:themeColor="text1"/>
          <w:sz w:val="32"/>
          <w:szCs w:val="32"/>
          <w14:textFill>
            <w14:solidFill>
              <w14:schemeClr w14:val="tx1"/>
            </w14:solidFill>
          </w14:textFill>
        </w:rPr>
        <mc:AlternateContent>
          <mc:Choice Requires="wps">
            <w:drawing>
              <wp:anchor distT="0" distB="0" distL="114300" distR="114300" simplePos="0" relativeHeight="251676672" behindDoc="0" locked="0" layoutInCell="1" allowOverlap="1">
                <wp:simplePos x="0" y="0"/>
                <wp:positionH relativeFrom="column">
                  <wp:posOffset>1428750</wp:posOffset>
                </wp:positionH>
                <wp:positionV relativeFrom="paragraph">
                  <wp:posOffset>890270</wp:posOffset>
                </wp:positionV>
                <wp:extent cx="85725" cy="90805"/>
                <wp:effectExtent l="0" t="0" r="28575" b="23495"/>
                <wp:wrapNone/>
                <wp:docPr id="73" name="Oval 100"/>
                <wp:cNvGraphicFramePr/>
                <a:graphic xmlns:a="http://schemas.openxmlformats.org/drawingml/2006/main">
                  <a:graphicData uri="http://schemas.microsoft.com/office/word/2010/wordprocessingShape">
                    <wps:wsp>
                      <wps:cNvSpPr>
                        <a:spLocks noChangeArrowheads="1"/>
                      </wps:cNvSpPr>
                      <wps:spPr bwMode="auto">
                        <a:xfrm flipH="1">
                          <a:off x="0" y="0"/>
                          <a:ext cx="85725" cy="90805"/>
                        </a:xfrm>
                        <a:prstGeom prst="ellipse">
                          <a:avLst/>
                        </a:prstGeom>
                        <a:solidFill>
                          <a:srgbClr val="FF0000"/>
                        </a:solidFill>
                        <a:ln w="9525">
                          <a:solidFill>
                            <a:srgbClr val="0000FF"/>
                          </a:solidFill>
                          <a:round/>
                        </a:ln>
                      </wps:spPr>
                      <wps:bodyPr rot="0" vert="horz" wrap="square" lIns="91440" tIns="45720" rIns="91440" bIns="45720" anchor="t" anchorCtr="0" upright="1">
                        <a:noAutofit/>
                      </wps:bodyPr>
                    </wps:wsp>
                  </a:graphicData>
                </a:graphic>
              </wp:anchor>
            </w:drawing>
          </mc:Choice>
          <mc:Fallback>
            <w:pict>
              <v:shape id="Oval 100" o:spid="_x0000_s1026" o:spt="3" type="#_x0000_t3" style="position:absolute;left:0pt;flip:x;margin-left:112.5pt;margin-top:70.1pt;height:7.15pt;width:6.75pt;z-index:251676672;mso-width-relative:page;mso-height-relative:page;" fillcolor="#FF0000" filled="t" stroked="t" coordsize="21600,21600" o:gfxdata="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FLYYsNoAAAALAQAADwAAAAAAAAABACAAAAAiAAAAZHJzL2Rvd25yZXYueG1sUEsBAhQAFAAA&#10;AAgAh07iQD8UZpkmAgAAbQQAAA4AAAAAAAAAAQAgAAAAKQEAAGRycy9lMm9Eb2MueG1sUEsFBgAA&#10;AAAGAAYAWQEAAMEFAAAAAA==&#10;">
                <v:fill on="t" focussize="0,0"/>
                <v:stroke color="#0000FF" joinstyle="round"/>
                <v:imagedata o:title=""/>
                <o:lock v:ext="edit" aspectratio="f"/>
              </v:shape>
            </w:pict>
          </mc:Fallback>
        </mc:AlternateContent>
      </w:r>
      <w:r>
        <w:rPr>
          <w:rFonts w:ascii="宋体" w:hAnsi="宋体"/>
          <w:b/>
          <w:color w:val="000000" w:themeColor="text1"/>
          <w:sz w:val="32"/>
          <w:szCs w:val="32"/>
          <w14:textFill>
            <w14:solidFill>
              <w14:schemeClr w14:val="tx1"/>
            </w14:solidFill>
          </w14:textFill>
        </w:rPr>
        <mc:AlternateContent>
          <mc:Choice Requires="wps">
            <w:drawing>
              <wp:anchor distT="0" distB="0" distL="114300" distR="114300" simplePos="0" relativeHeight="251685888" behindDoc="0" locked="0" layoutInCell="1" allowOverlap="1">
                <wp:simplePos x="0" y="0"/>
                <wp:positionH relativeFrom="column">
                  <wp:posOffset>1171575</wp:posOffset>
                </wp:positionH>
                <wp:positionV relativeFrom="paragraph">
                  <wp:posOffset>981075</wp:posOffset>
                </wp:positionV>
                <wp:extent cx="257175" cy="90805"/>
                <wp:effectExtent l="19050" t="57150" r="9525" b="42545"/>
                <wp:wrapNone/>
                <wp:docPr id="72" name="AutoShape 109"/>
                <wp:cNvGraphicFramePr/>
                <a:graphic xmlns:a="http://schemas.openxmlformats.org/drawingml/2006/main">
                  <a:graphicData uri="http://schemas.microsoft.com/office/word/2010/wordprocessingShape">
                    <wps:wsp>
                      <wps:cNvCnPr>
                        <a:cxnSpLocks noChangeShapeType="1"/>
                      </wps:cNvCnPr>
                      <wps:spPr bwMode="auto">
                        <a:xfrm flipV="1">
                          <a:off x="0" y="0"/>
                          <a:ext cx="257175" cy="90805"/>
                        </a:xfrm>
                        <a:prstGeom prst="straightConnector1">
                          <a:avLst/>
                        </a:prstGeom>
                        <a:noFill/>
                        <a:ln w="38100">
                          <a:solidFill>
                            <a:srgbClr val="0000FF"/>
                          </a:solidFill>
                          <a:round/>
                          <a:tailEnd type="triangle" w="med" len="med"/>
                        </a:ln>
                      </wps:spPr>
                      <wps:bodyPr/>
                    </wps:wsp>
                  </a:graphicData>
                </a:graphic>
              </wp:anchor>
            </w:drawing>
          </mc:Choice>
          <mc:Fallback>
            <w:pict>
              <v:shape id="AutoShape 109" o:spid="_x0000_s1026" o:spt="32" type="#_x0000_t32" style="position:absolute;left:0pt;flip:y;margin-left:92.25pt;margin-top:77.25pt;height:7.15pt;width:20.25pt;z-index:251685888;mso-width-relative:page;mso-height-relative:page;" filled="f" stroked="t" coordsize="21600,21600" o:gfxdata="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hZvGLYAAAACwEAAA8AAAAAAAAAAQAgAAAAIgAAAGRycy9kb3ducmV2&#10;LnhtbFBLAQIUABQAAAAIAIdO4kByyISb/AEAAPEDAAAOAAAAAAAAAAEAIAAAACcBAABkcnMvZTJv&#10;RG9jLnhtbFBLBQYAAAAABgAGAFkBAACVBQAAAAA=&#10;">
                <v:fill on="f" focussize="0,0"/>
                <v:stroke weight="3pt" color="#0000FF" joinstyle="round" endarrow="block"/>
                <v:imagedata o:title=""/>
                <o:lock v:ext="edit" aspectratio="f"/>
              </v:shape>
            </w:pict>
          </mc:Fallback>
        </mc:AlternateContent>
      </w:r>
      <w:r>
        <w:rPr>
          <w:rFonts w:ascii="宋体" w:hAnsi="宋体"/>
          <w:b/>
          <w:color w:val="000000" w:themeColor="text1"/>
          <w:sz w:val="32"/>
          <w:szCs w:val="32"/>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-92075</wp:posOffset>
                </wp:positionH>
                <wp:positionV relativeFrom="paragraph">
                  <wp:posOffset>831215</wp:posOffset>
                </wp:positionV>
                <wp:extent cx="1811655" cy="1038225"/>
                <wp:effectExtent l="0" t="190500" r="0" b="180975"/>
                <wp:wrapNone/>
                <wp:docPr id="71" name="Oval 96"/>
                <wp:cNvGraphicFramePr/>
                <a:graphic xmlns:a="http://schemas.openxmlformats.org/drawingml/2006/main">
                  <a:graphicData uri="http://schemas.microsoft.com/office/word/2010/wordprocessingShape">
                    <wps:wsp>
                      <wps:cNvSpPr>
                        <a:spLocks noChangeArrowheads="1"/>
                      </wps:cNvSpPr>
                      <wps:spPr bwMode="auto">
                        <a:xfrm rot="2184635">
                          <a:off x="0" y="0"/>
                          <a:ext cx="1811655" cy="1038225"/>
                        </a:xfrm>
                        <a:prstGeom prst="ellipse">
                          <a:avLst/>
                        </a:prstGeom>
                        <a:noFill/>
                        <a:ln w="28575">
                          <a:solidFill>
                            <a:srgbClr val="0000FF"/>
                          </a:solidFill>
                          <a:round/>
                        </a:ln>
                      </wps:spPr>
                      <wps:txbx>
                        <w:txbxContent>
                          <w:p w14:paraId="2AE4C105">
                            <w:pPr>
                              <w:rPr>
                                <w:b/>
                                <w:color w:val="0000FF"/>
                              </w:rPr>
                            </w:pPr>
                            <w:r>
                              <w:rPr>
                                <w:rFonts w:hint="eastAsia"/>
                                <w:b/>
                                <w:color w:val="0000FF"/>
                              </w:rPr>
                              <w:t>飞龙社区</w:t>
                            </w:r>
                          </w:p>
                        </w:txbxContent>
                      </wps:txbx>
                      <wps:bodyPr rot="0" vert="horz" wrap="square" lIns="91440" tIns="45720" rIns="91440" bIns="45720" anchor="t" anchorCtr="0" upright="1">
                        <a:noAutofit/>
                      </wps:bodyPr>
                    </wps:wsp>
                  </a:graphicData>
                </a:graphic>
              </wp:anchor>
            </w:drawing>
          </mc:Choice>
          <mc:Fallback>
            <w:pict>
              <v:shape id="Oval 96" o:spid="_x0000_s1026" o:spt="3" type="#_x0000_t3" style="position:absolute;left:0pt;margin-left:-7.25pt;margin-top:65.45pt;height:81.75pt;width:142.65pt;rotation:2386204f;z-index:251672576;mso-width-relative:page;mso-height-relative:page;" filled="f" stroked="t" coordsize="21600,21600" o:gfxdata="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CqgZNgAAAALAQAADwAAAAAAAAABACAAAAAiAAAAZHJzL2Rvd25yZXYueG1s&#10;UEsBAhQAFAAAAAgAh07iQE/I1K4xAgAAVwQAAA4AAAAAAAAAAQAgAAAAJwEAAGRycy9lMm9Eb2Mu&#10;eG1sUEsFBgAAAAAGAAYAWQEAAMoFAAAAAA==&#10;">
                <v:fill on="f" focussize="0,0"/>
                <v:stroke weight="2.25pt" color="#0000FF" joinstyle="round"/>
                <v:imagedata o:title=""/>
                <o:lock v:ext="edit" aspectratio="f"/>
                <v:textbox>
                  <w:txbxContent>
                    <w:p w14:paraId="2AE4C105">
                      <w:pPr>
                        <w:rPr>
                          <w:b/>
                          <w:color w:val="0000FF"/>
                        </w:rPr>
                      </w:pPr>
                      <w:r>
                        <w:rPr>
                          <w:rFonts w:hint="eastAsia"/>
                          <w:b/>
                          <w:color w:val="0000FF"/>
                        </w:rPr>
                        <w:t>飞龙社区</w:t>
                      </w:r>
                    </w:p>
                  </w:txbxContent>
                </v:textbox>
              </v:shape>
            </w:pict>
          </mc:Fallback>
        </mc:AlternateContent>
      </w:r>
      <w:r>
        <w:rPr>
          <w:rFonts w:ascii="宋体" w:hAnsi="宋体"/>
          <w:b/>
          <w:color w:val="000000" w:themeColor="text1"/>
          <w:sz w:val="32"/>
          <w:szCs w:val="32"/>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4210050</wp:posOffset>
                </wp:positionH>
                <wp:positionV relativeFrom="paragraph">
                  <wp:posOffset>69215</wp:posOffset>
                </wp:positionV>
                <wp:extent cx="1009650" cy="1733550"/>
                <wp:effectExtent l="19050" t="19050" r="19050" b="19050"/>
                <wp:wrapNone/>
                <wp:docPr id="70" name="Oval 95"/>
                <wp:cNvGraphicFramePr/>
                <a:graphic xmlns:a="http://schemas.openxmlformats.org/drawingml/2006/main">
                  <a:graphicData uri="http://schemas.microsoft.com/office/word/2010/wordprocessingShape">
                    <wps:wsp>
                      <wps:cNvSpPr>
                        <a:spLocks noChangeArrowheads="1"/>
                      </wps:cNvSpPr>
                      <wps:spPr bwMode="auto">
                        <a:xfrm>
                          <a:off x="0" y="0"/>
                          <a:ext cx="1009650" cy="1733550"/>
                        </a:xfrm>
                        <a:prstGeom prst="ellipse">
                          <a:avLst/>
                        </a:prstGeom>
                        <a:noFill/>
                        <a:ln w="28575">
                          <a:solidFill>
                            <a:srgbClr val="0000FF"/>
                          </a:solidFill>
                          <a:round/>
                        </a:ln>
                      </wps:spPr>
                      <wps:txbx>
                        <w:txbxContent>
                          <w:p w14:paraId="06F7BCC6"/>
                          <w:p w14:paraId="256C7065"/>
                          <w:p w14:paraId="49ABD280">
                            <w:pPr>
                              <w:rPr>
                                <w:b/>
                                <w:color w:val="0000FF"/>
                              </w:rPr>
                            </w:pPr>
                            <w:r>
                              <w:rPr>
                                <w:rFonts w:hint="eastAsia"/>
                                <w:b/>
                                <w:color w:val="0000FF"/>
                              </w:rPr>
                              <w:t>洪福社区</w:t>
                            </w:r>
                          </w:p>
                        </w:txbxContent>
                      </wps:txbx>
                      <wps:bodyPr rot="0" vert="horz" wrap="square" lIns="91440" tIns="45720" rIns="91440" bIns="45720" anchor="t" anchorCtr="0" upright="1">
                        <a:noAutofit/>
                      </wps:bodyPr>
                    </wps:wsp>
                  </a:graphicData>
                </a:graphic>
              </wp:anchor>
            </w:drawing>
          </mc:Choice>
          <mc:Fallback>
            <w:pict>
              <v:shape id="Oval 95" o:spid="_x0000_s1026" o:spt="3" type="#_x0000_t3" style="position:absolute;left:0pt;margin-left:331.5pt;margin-top:5.45pt;height:136.5pt;width:79.5pt;z-index:251671552;mso-width-relative:page;mso-height-relative:page;" filled="f" stroked="t" coordsize="21600,21600" o:gfxdata="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BjBKSNkAAAAKAQAADwAAAAAAAAABACAAAAAiAAAAZHJzL2Rvd25yZXYueG1sUEsBAhQAFAAA&#10;AAgAh07iQOUvqksnAgAASQQAAA4AAAAAAAAAAQAgAAAAKAEAAGRycy9lMm9Eb2MueG1sUEsFBgAA&#10;AAAGAAYAWQEAAMEFAAAAAA==&#10;">
                <v:fill on="f" focussize="0,0"/>
                <v:stroke weight="2.25pt" color="#0000FF" joinstyle="round"/>
                <v:imagedata o:title=""/>
                <o:lock v:ext="edit" aspectratio="f"/>
                <v:textbox>
                  <w:txbxContent>
                    <w:p w14:paraId="06F7BCC6"/>
                    <w:p w14:paraId="256C7065"/>
                    <w:p w14:paraId="49ABD280">
                      <w:pPr>
                        <w:rPr>
                          <w:b/>
                          <w:color w:val="0000FF"/>
                        </w:rPr>
                      </w:pPr>
                      <w:r>
                        <w:rPr>
                          <w:rFonts w:hint="eastAsia"/>
                          <w:b/>
                          <w:color w:val="0000FF"/>
                        </w:rPr>
                        <w:t>洪福社区</w:t>
                      </w:r>
                    </w:p>
                  </w:txbxContent>
                </v:textbox>
              </v:shape>
            </w:pict>
          </mc:Fallback>
        </mc:AlternateContent>
      </w:r>
      <w:r>
        <w:rPr>
          <w:rFonts w:ascii="宋体" w:hAnsi="宋体"/>
          <w:b/>
          <w:color w:val="000000" w:themeColor="text1"/>
          <w:sz w:val="32"/>
          <w:szCs w:val="32"/>
          <w14:textFill>
            <w14:solidFill>
              <w14:schemeClr w14:val="tx1"/>
            </w14:solidFill>
          </w14:textFill>
        </w:rPr>
        <mc:AlternateContent>
          <mc:Choice Requires="wps">
            <w:drawing>
              <wp:anchor distT="0" distB="0" distL="114300" distR="114300" simplePos="0" relativeHeight="251674624" behindDoc="0" locked="0" layoutInCell="1" allowOverlap="1">
                <wp:simplePos x="0" y="0"/>
                <wp:positionH relativeFrom="column">
                  <wp:posOffset>2609850</wp:posOffset>
                </wp:positionH>
                <wp:positionV relativeFrom="paragraph">
                  <wp:posOffset>1316990</wp:posOffset>
                </wp:positionV>
                <wp:extent cx="138430" cy="90805"/>
                <wp:effectExtent l="0" t="0" r="13970" b="23495"/>
                <wp:wrapNone/>
                <wp:docPr id="69" name="Oval 98"/>
                <wp:cNvGraphicFramePr/>
                <a:graphic xmlns:a="http://schemas.openxmlformats.org/drawingml/2006/main">
                  <a:graphicData uri="http://schemas.microsoft.com/office/word/2010/wordprocessingShape">
                    <wps:wsp>
                      <wps:cNvSpPr>
                        <a:spLocks noChangeArrowheads="1"/>
                      </wps:cNvSpPr>
                      <wps:spPr bwMode="auto">
                        <a:xfrm>
                          <a:off x="0" y="0"/>
                          <a:ext cx="138430" cy="90805"/>
                        </a:xfrm>
                        <a:prstGeom prst="ellipse">
                          <a:avLst/>
                        </a:prstGeom>
                        <a:solidFill>
                          <a:srgbClr val="FF0000"/>
                        </a:solidFill>
                        <a:ln w="9525">
                          <a:solidFill>
                            <a:srgbClr val="0000FF"/>
                          </a:solidFill>
                          <a:round/>
                        </a:ln>
                      </wps:spPr>
                      <wps:bodyPr rot="0" vert="horz" wrap="square" lIns="91440" tIns="45720" rIns="91440" bIns="45720" anchor="t" anchorCtr="0" upright="1">
                        <a:noAutofit/>
                      </wps:bodyPr>
                    </wps:wsp>
                  </a:graphicData>
                </a:graphic>
              </wp:anchor>
            </w:drawing>
          </mc:Choice>
          <mc:Fallback>
            <w:pict>
              <v:shape id="Oval 98" o:spid="_x0000_s1026" o:spt="3" type="#_x0000_t3" style="position:absolute;left:0pt;margin-left:205.5pt;margin-top:103.7pt;height:7.15pt;width:10.9pt;z-index:251674624;mso-width-relative:page;mso-height-relative:page;" fillcolor="#FF0000" filled="t" stroked="t" coordsize="21600,21600" o:gfxdata="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fcVZBdcAAAALAQAADwAAAAAAAAABACAAAAAiAAAAZHJzL2Rvd25yZXYueG1sUEsBAhQAFAAAAAgA&#10;h07iQLunnA8mAgAAYwQAAA4AAAAAAAAAAQAgAAAAJgEAAGRycy9lMm9Eb2MueG1sUEsFBgAAAAAG&#10;AAYAWQEAAL4FAAAAAA==&#10;">
                <v:fill on="t" focussize="0,0"/>
                <v:stroke color="#0000FF" joinstyle="round"/>
                <v:imagedata o:title=""/>
                <o:lock v:ext="edit" aspectratio="f"/>
              </v:shape>
            </w:pict>
          </mc:Fallback>
        </mc:AlternateContent>
      </w:r>
      <w:r>
        <w:rPr>
          <w:rFonts w:ascii="宋体" w:hAnsi="宋体"/>
          <w:b/>
          <w:color w:val="000000" w:themeColor="text1"/>
          <w:sz w:val="32"/>
          <w:szCs w:val="32"/>
          <w14:textFill>
            <w14:solidFill>
              <w14:schemeClr w14:val="tx1"/>
            </w14:solidFill>
          </w14:textFill>
        </w:rPr>
        <mc:AlternateContent>
          <mc:Choice Requires="wps">
            <w:drawing>
              <wp:anchor distT="0" distB="0" distL="114300" distR="114300" simplePos="0" relativeHeight="251680768" behindDoc="0" locked="0" layoutInCell="1" allowOverlap="1">
                <wp:simplePos x="0" y="0"/>
                <wp:positionH relativeFrom="column">
                  <wp:posOffset>2333625</wp:posOffset>
                </wp:positionH>
                <wp:positionV relativeFrom="paragraph">
                  <wp:posOffset>673735</wp:posOffset>
                </wp:positionV>
                <wp:extent cx="1219200" cy="307340"/>
                <wp:effectExtent l="0" t="0" r="0" b="0"/>
                <wp:wrapNone/>
                <wp:docPr id="63" name="Rectangle 104"/>
                <wp:cNvGraphicFramePr/>
                <a:graphic xmlns:a="http://schemas.openxmlformats.org/drawingml/2006/main">
                  <a:graphicData uri="http://schemas.microsoft.com/office/word/2010/wordprocessingShape">
                    <wps:wsp>
                      <wps:cNvSpPr>
                        <a:spLocks noChangeArrowheads="1"/>
                      </wps:cNvSpPr>
                      <wps:spPr bwMode="auto">
                        <a:xfrm>
                          <a:off x="0" y="0"/>
                          <a:ext cx="1219200" cy="307340"/>
                        </a:xfrm>
                        <a:prstGeom prst="rect">
                          <a:avLst/>
                        </a:prstGeom>
                        <a:noFill/>
                        <a:ln>
                          <a:noFill/>
                        </a:ln>
                      </wps:spPr>
                      <wps:txbx>
                        <w:txbxContent>
                          <w:p w14:paraId="606D9465">
                            <w:pPr>
                              <w:rPr>
                                <w:color w:val="FF0000"/>
                                <w:sz w:val="18"/>
                                <w:szCs w:val="18"/>
                              </w:rPr>
                            </w:pPr>
                            <w:r>
                              <w:rPr>
                                <w:rFonts w:hint="eastAsia"/>
                                <w:color w:val="FF0000"/>
                                <w:sz w:val="18"/>
                                <w:szCs w:val="18"/>
                              </w:rPr>
                              <w:t>三井中心幼儿园</w:t>
                            </w:r>
                          </w:p>
                        </w:txbxContent>
                      </wps:txbx>
                      <wps:bodyPr rot="0" vert="horz" wrap="square" lIns="91440" tIns="45720" rIns="91440" bIns="45720" anchor="t" anchorCtr="0" upright="1">
                        <a:noAutofit/>
                      </wps:bodyPr>
                    </wps:wsp>
                  </a:graphicData>
                </a:graphic>
              </wp:anchor>
            </w:drawing>
          </mc:Choice>
          <mc:Fallback>
            <w:pict>
              <v:rect id="Rectangle 104" o:spid="_x0000_s1026" o:spt="1" style="position:absolute;left:0pt;margin-left:183.75pt;margin-top:53.05pt;height:24.2pt;width:96pt;z-index:251680768;mso-width-relative:page;mso-height-relative:page;" filled="f" stroked="f" coordsize="21600,21600" o:gfxdata="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WrD+zbAAAACwEAAA8AAAAAAAAAAQAgAAAAIgAA&#10;AGRycy9kb3ducmV2LnhtbFBLAQIUABQAAAAIAIdO4kDSC6l9BQIAAA4EAAAOAAAAAAAAAAEAIAAA&#10;ACoBAABkcnMvZTJvRG9jLnhtbFBLBQYAAAAABgAGAFkBAAChBQAAAAA=&#10;">
                <v:fill on="f" focussize="0,0"/>
                <v:stroke on="f"/>
                <v:imagedata o:title=""/>
                <o:lock v:ext="edit" aspectratio="f"/>
                <v:textbox>
                  <w:txbxContent>
                    <w:p w14:paraId="606D9465">
                      <w:pPr>
                        <w:rPr>
                          <w:color w:val="FF0000"/>
                          <w:sz w:val="18"/>
                          <w:szCs w:val="18"/>
                        </w:rPr>
                      </w:pPr>
                      <w:r>
                        <w:rPr>
                          <w:rFonts w:hint="eastAsia"/>
                          <w:color w:val="FF0000"/>
                          <w:sz w:val="18"/>
                          <w:szCs w:val="18"/>
                        </w:rPr>
                        <w:t>三井中心幼儿园</w:t>
                      </w:r>
                    </w:p>
                  </w:txbxContent>
                </v:textbox>
              </v:rect>
            </w:pict>
          </mc:Fallback>
        </mc:AlternateContent>
      </w:r>
      <w:r>
        <w:rPr>
          <w:rFonts w:ascii="宋体" w:hAnsi="宋体"/>
          <w:b/>
          <w:color w:val="000000" w:themeColor="text1"/>
          <w:sz w:val="32"/>
          <w:szCs w:val="32"/>
          <w14:textFill>
            <w14:solidFill>
              <w14:schemeClr w14:val="tx1"/>
            </w14:solidFill>
          </w14:textFill>
        </w:rPr>
        <mc:AlternateContent>
          <mc:Choice Requires="wps">
            <w:drawing>
              <wp:anchor distT="0" distB="0" distL="114300" distR="114300" simplePos="0" relativeHeight="251688960" behindDoc="0" locked="0" layoutInCell="1" allowOverlap="1">
                <wp:simplePos x="0" y="0"/>
                <wp:positionH relativeFrom="column">
                  <wp:posOffset>3895725</wp:posOffset>
                </wp:positionH>
                <wp:positionV relativeFrom="paragraph">
                  <wp:posOffset>1226185</wp:posOffset>
                </wp:positionV>
                <wp:extent cx="361950" cy="271145"/>
                <wp:effectExtent l="38100" t="19050" r="19050" b="52705"/>
                <wp:wrapNone/>
                <wp:docPr id="55" name="AutoShape 112"/>
                <wp:cNvGraphicFramePr/>
                <a:graphic xmlns:a="http://schemas.openxmlformats.org/drawingml/2006/main">
                  <a:graphicData uri="http://schemas.microsoft.com/office/word/2010/wordprocessingShape">
                    <wps:wsp>
                      <wps:cNvCnPr>
                        <a:cxnSpLocks noChangeShapeType="1"/>
                      </wps:cNvCnPr>
                      <wps:spPr bwMode="auto">
                        <a:xfrm flipH="1">
                          <a:off x="0" y="0"/>
                          <a:ext cx="361950" cy="271145"/>
                        </a:xfrm>
                        <a:prstGeom prst="straightConnector1">
                          <a:avLst/>
                        </a:prstGeom>
                        <a:noFill/>
                        <a:ln w="38100">
                          <a:solidFill>
                            <a:srgbClr val="0000FF"/>
                          </a:solidFill>
                          <a:round/>
                          <a:tailEnd type="triangle" w="med" len="med"/>
                        </a:ln>
                      </wps:spPr>
                      <wps:bodyPr/>
                    </wps:wsp>
                  </a:graphicData>
                </a:graphic>
              </wp:anchor>
            </w:drawing>
          </mc:Choice>
          <mc:Fallback>
            <w:pict>
              <v:shape id="AutoShape 112" o:spid="_x0000_s1026" o:spt="32" type="#_x0000_t32" style="position:absolute;left:0pt;flip:x;margin-left:306.75pt;margin-top:96.55pt;height:21.35pt;width:28.5pt;z-index:251688960;mso-width-relative:page;mso-height-relative:page;" filled="f" stroked="t" coordsize="21600,21600" o:gfxdata="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xpH/x2wAAAAsBAAAPAAAAAAAAAAEAIAAAACIAAABkcnMvZG93&#10;bnJldi54bWxQSwECFAAUAAAACACHTuJAmh6szP0BAADyAwAADgAAAAAAAAABACAAAAAqAQAAZHJz&#10;L2Uyb0RvYy54bWxQSwUGAAAAAAYABgBZAQAAmQUAAAAA&#10;">
                <v:fill on="f" focussize="0,0"/>
                <v:stroke weight="3pt" color="#0000FF" joinstyle="round" endarrow="block"/>
                <v:imagedata o:title=""/>
                <o:lock v:ext="edit" aspectratio="f"/>
              </v:shape>
            </w:pict>
          </mc:Fallback>
        </mc:AlternateContent>
      </w:r>
      <w:r>
        <w:rPr>
          <w:rFonts w:ascii="宋体" w:hAnsi="宋体"/>
          <w:b/>
          <w:color w:val="000000" w:themeColor="text1"/>
          <w:sz w:val="32"/>
          <w:szCs w:val="32"/>
          <w14:textFill>
            <w14:solidFill>
              <w14:schemeClr w14:val="tx1"/>
            </w14:solidFill>
          </w14:textFill>
        </w:rPr>
        <mc:AlternateContent>
          <mc:Choice Requires="wps">
            <w:drawing>
              <wp:anchor distT="0" distB="0" distL="114300" distR="114300" simplePos="0" relativeHeight="251687936" behindDoc="0" locked="0" layoutInCell="1" allowOverlap="1">
                <wp:simplePos x="0" y="0"/>
                <wp:positionH relativeFrom="column">
                  <wp:posOffset>3895725</wp:posOffset>
                </wp:positionH>
                <wp:positionV relativeFrom="paragraph">
                  <wp:posOffset>1497330</wp:posOffset>
                </wp:positionV>
                <wp:extent cx="419100" cy="181610"/>
                <wp:effectExtent l="38100" t="19050" r="19050" b="46990"/>
                <wp:wrapNone/>
                <wp:docPr id="54" name="AutoShape 111"/>
                <wp:cNvGraphicFramePr/>
                <a:graphic xmlns:a="http://schemas.openxmlformats.org/drawingml/2006/main">
                  <a:graphicData uri="http://schemas.microsoft.com/office/word/2010/wordprocessingShape">
                    <wps:wsp>
                      <wps:cNvCnPr>
                        <a:cxnSpLocks noChangeShapeType="1"/>
                      </wps:cNvCnPr>
                      <wps:spPr bwMode="auto">
                        <a:xfrm flipH="1">
                          <a:off x="0" y="0"/>
                          <a:ext cx="419100" cy="181610"/>
                        </a:xfrm>
                        <a:prstGeom prst="straightConnector1">
                          <a:avLst/>
                        </a:prstGeom>
                        <a:noFill/>
                        <a:ln w="38100">
                          <a:solidFill>
                            <a:srgbClr val="0000FF"/>
                          </a:solidFill>
                          <a:round/>
                          <a:tailEnd type="triangle" w="med" len="med"/>
                        </a:ln>
                      </wps:spPr>
                      <wps:bodyPr/>
                    </wps:wsp>
                  </a:graphicData>
                </a:graphic>
              </wp:anchor>
            </w:drawing>
          </mc:Choice>
          <mc:Fallback>
            <w:pict>
              <v:shape id="AutoShape 111" o:spid="_x0000_s1026" o:spt="32" type="#_x0000_t32" style="position:absolute;left:0pt;flip:x;margin-left:306.75pt;margin-top:117.9pt;height:14.3pt;width:33pt;z-index:251687936;mso-width-relative:page;mso-height-relative:page;" filled="f" stroked="t" coordsize="21600,21600" o:gfxdata="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NXtpd2wAAAAsBAAAPAAAAAAAAAAEAIAAAACIAAABkcnMvZG93&#10;bnJldi54bWxQSwECFAAUAAAACACHTuJASDvA4/0BAADyAwAADgAAAAAAAAABACAAAAAqAQAAZHJz&#10;L2Uyb0RvYy54bWxQSwUGAAAAAAYABgBZAQAAmQUAAAAA&#10;">
                <v:fill on="f" focussize="0,0"/>
                <v:stroke weight="3pt" color="#0000FF" joinstyle="round" endarrow="block"/>
                <v:imagedata o:title=""/>
                <o:lock v:ext="edit" aspectratio="f"/>
              </v:shape>
            </w:pict>
          </mc:Fallback>
        </mc:AlternateContent>
      </w:r>
      <w:r>
        <w:rPr>
          <w:rFonts w:ascii="宋体" w:hAnsi="宋体"/>
          <w:b/>
          <w:color w:val="000000" w:themeColor="text1"/>
          <w:sz w:val="32"/>
          <w:szCs w:val="32"/>
          <w14:textFill>
            <w14:solidFill>
              <w14:schemeClr w14:val="tx1"/>
            </w14:solidFill>
          </w14:textFill>
        </w:rPr>
        <mc:AlternateContent>
          <mc:Choice Requires="wps">
            <w:drawing>
              <wp:anchor distT="0" distB="0" distL="114300" distR="114300" simplePos="0" relativeHeight="251683840" behindDoc="0" locked="0" layoutInCell="1" allowOverlap="1">
                <wp:simplePos x="0" y="0"/>
                <wp:positionH relativeFrom="column">
                  <wp:posOffset>1428750</wp:posOffset>
                </wp:positionH>
                <wp:positionV relativeFrom="paragraph">
                  <wp:posOffset>890270</wp:posOffset>
                </wp:positionV>
                <wp:extent cx="990600" cy="335915"/>
                <wp:effectExtent l="0" t="0" r="0" b="6985"/>
                <wp:wrapNone/>
                <wp:docPr id="53" name="Rectangle 107"/>
                <wp:cNvGraphicFramePr/>
                <a:graphic xmlns:a="http://schemas.openxmlformats.org/drawingml/2006/main">
                  <a:graphicData uri="http://schemas.microsoft.com/office/word/2010/wordprocessingShape">
                    <wps:wsp>
                      <wps:cNvSpPr>
                        <a:spLocks noChangeArrowheads="1"/>
                      </wps:cNvSpPr>
                      <wps:spPr bwMode="auto">
                        <a:xfrm>
                          <a:off x="0" y="0"/>
                          <a:ext cx="990600" cy="335915"/>
                        </a:xfrm>
                        <a:prstGeom prst="rect">
                          <a:avLst/>
                        </a:prstGeom>
                        <a:noFill/>
                        <a:ln>
                          <a:noFill/>
                        </a:ln>
                      </wps:spPr>
                      <wps:txbx>
                        <w:txbxContent>
                          <w:p w14:paraId="13A71ACB">
                            <w:pPr>
                              <w:rPr>
                                <w:color w:val="FF0000"/>
                                <w:sz w:val="18"/>
                                <w:szCs w:val="18"/>
                              </w:rPr>
                            </w:pPr>
                            <w:r>
                              <w:rPr>
                                <w:rFonts w:hint="eastAsia"/>
                                <w:color w:val="FF0000"/>
                                <w:sz w:val="18"/>
                                <w:szCs w:val="18"/>
                              </w:rPr>
                              <w:t>华山幼儿园</w:t>
                            </w:r>
                          </w:p>
                        </w:txbxContent>
                      </wps:txbx>
                      <wps:bodyPr rot="0" vert="horz" wrap="square" lIns="91440" tIns="45720" rIns="91440" bIns="45720" anchor="t" anchorCtr="0" upright="1">
                        <a:noAutofit/>
                      </wps:bodyPr>
                    </wps:wsp>
                  </a:graphicData>
                </a:graphic>
              </wp:anchor>
            </w:drawing>
          </mc:Choice>
          <mc:Fallback>
            <w:pict>
              <v:rect id="Rectangle 107" o:spid="_x0000_s1026" o:spt="1" style="position:absolute;left:0pt;margin-left:112.5pt;margin-top:70.1pt;height:26.45pt;width:78pt;z-index:251683840;mso-width-relative:page;mso-height-relative:page;" filled="f" stroked="f" coordsize="21600,21600" o:gfxdata="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axEedoAAAALAQAADwAAAAAAAAABACAAAAAiAAAA&#10;ZHJzL2Rvd25yZXYueG1sUEsBAhQAFAAAAAgAh07iQMKb2UUFAgAADQQAAA4AAAAAAAAAAQAgAAAA&#10;KQEAAGRycy9lMm9Eb2MueG1sUEsFBgAAAAAGAAYAWQEAAKAFAAAAAA==&#10;">
                <v:fill on="f" focussize="0,0"/>
                <v:stroke on="f"/>
                <v:imagedata o:title=""/>
                <o:lock v:ext="edit" aspectratio="f"/>
                <v:textbox>
                  <w:txbxContent>
                    <w:p w14:paraId="13A71ACB">
                      <w:pPr>
                        <w:rPr>
                          <w:color w:val="FF0000"/>
                          <w:sz w:val="18"/>
                          <w:szCs w:val="18"/>
                        </w:rPr>
                      </w:pPr>
                      <w:r>
                        <w:rPr>
                          <w:rFonts w:hint="eastAsia"/>
                          <w:color w:val="FF0000"/>
                          <w:sz w:val="18"/>
                          <w:szCs w:val="18"/>
                        </w:rPr>
                        <w:t>华山幼儿园</w:t>
                      </w:r>
                    </w:p>
                  </w:txbxContent>
                </v:textbox>
              </v:rect>
            </w:pict>
          </mc:Fallback>
        </mc:AlternateContent>
      </w:r>
      <w:r>
        <w:rPr>
          <w:rFonts w:ascii="宋体" w:hAnsi="宋体"/>
          <w:b/>
          <w:color w:val="000000" w:themeColor="text1"/>
          <w:sz w:val="32"/>
          <w:szCs w:val="32"/>
          <w14:textFill>
            <w14:solidFill>
              <w14:schemeClr w14:val="tx1"/>
            </w14:solidFill>
          </w14:textFill>
        </w:rPr>
        <mc:AlternateContent>
          <mc:Choice Requires="wps">
            <w:drawing>
              <wp:anchor distT="0" distB="0" distL="114300" distR="114300" simplePos="0" relativeHeight="251684864" behindDoc="0" locked="0" layoutInCell="1" allowOverlap="1">
                <wp:simplePos x="0" y="0"/>
                <wp:positionH relativeFrom="column">
                  <wp:posOffset>1543050</wp:posOffset>
                </wp:positionH>
                <wp:positionV relativeFrom="paragraph">
                  <wp:posOffset>516890</wp:posOffset>
                </wp:positionV>
                <wp:extent cx="876300" cy="247650"/>
                <wp:effectExtent l="0" t="0" r="0" b="0"/>
                <wp:wrapNone/>
                <wp:docPr id="52" name="Rectangle 108"/>
                <wp:cNvGraphicFramePr/>
                <a:graphic xmlns:a="http://schemas.openxmlformats.org/drawingml/2006/main">
                  <a:graphicData uri="http://schemas.microsoft.com/office/word/2010/wordprocessingShape">
                    <wps:wsp>
                      <wps:cNvSpPr>
                        <a:spLocks noChangeArrowheads="1"/>
                      </wps:cNvSpPr>
                      <wps:spPr bwMode="auto">
                        <a:xfrm>
                          <a:off x="0" y="0"/>
                          <a:ext cx="876300" cy="247650"/>
                        </a:xfrm>
                        <a:prstGeom prst="rect">
                          <a:avLst/>
                        </a:prstGeom>
                        <a:noFill/>
                        <a:ln>
                          <a:noFill/>
                        </a:ln>
                      </wps:spPr>
                      <wps:txbx>
                        <w:txbxContent>
                          <w:p w14:paraId="3403DDEF">
                            <w:pPr>
                              <w:rPr>
                                <w:color w:val="FF0000"/>
                                <w:sz w:val="18"/>
                                <w:szCs w:val="18"/>
                              </w:rPr>
                            </w:pPr>
                            <w:r>
                              <w:rPr>
                                <w:rFonts w:hint="eastAsia"/>
                                <w:color w:val="FF0000"/>
                                <w:sz w:val="18"/>
                                <w:szCs w:val="18"/>
                              </w:rPr>
                              <w:t>泰山小学</w:t>
                            </w:r>
                          </w:p>
                        </w:txbxContent>
                      </wps:txbx>
                      <wps:bodyPr rot="0" vert="horz" wrap="square" lIns="91440" tIns="45720" rIns="91440" bIns="45720" anchor="t" anchorCtr="0" upright="1">
                        <a:noAutofit/>
                      </wps:bodyPr>
                    </wps:wsp>
                  </a:graphicData>
                </a:graphic>
              </wp:anchor>
            </w:drawing>
          </mc:Choice>
          <mc:Fallback>
            <w:pict>
              <v:rect id="Rectangle 108" o:spid="_x0000_s1026" o:spt="1" style="position:absolute;left:0pt;margin-left:121.5pt;margin-top:40.7pt;height:19.5pt;width:69pt;z-index:251684864;mso-width-relative:page;mso-height-relative:page;" filled="f" stroked="f" coordsize="21600,21600" o:gfxdata="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EWvWtoAAAAKAQAADwAAAAAAAAABACAAAAAiAAAA&#10;ZHJzL2Rvd25yZXYueG1sUEsBAhQAFAAAAAgAh07iQNDDOwAFAgAADQQAAA4AAAAAAAAAAQAgAAAA&#10;KQEAAGRycy9lMm9Eb2MueG1sUEsFBgAAAAAGAAYAWQEAAKAFAAAAAA==&#10;">
                <v:fill on="f" focussize="0,0"/>
                <v:stroke on="f"/>
                <v:imagedata o:title=""/>
                <o:lock v:ext="edit" aspectratio="f"/>
                <v:textbox>
                  <w:txbxContent>
                    <w:p w14:paraId="3403DDEF">
                      <w:pPr>
                        <w:rPr>
                          <w:color w:val="FF0000"/>
                          <w:sz w:val="18"/>
                          <w:szCs w:val="18"/>
                        </w:rPr>
                      </w:pPr>
                      <w:r>
                        <w:rPr>
                          <w:rFonts w:hint="eastAsia"/>
                          <w:color w:val="FF0000"/>
                          <w:sz w:val="18"/>
                          <w:szCs w:val="18"/>
                        </w:rPr>
                        <w:t>泰山小学</w:t>
                      </w:r>
                    </w:p>
                  </w:txbxContent>
                </v:textbox>
              </v:rect>
            </w:pict>
          </mc:Fallback>
        </mc:AlternateContent>
      </w:r>
      <w:r>
        <w:rPr>
          <w:rFonts w:ascii="宋体" w:hAnsi="宋体"/>
          <w:b/>
          <w:color w:val="000000" w:themeColor="text1"/>
          <w:sz w:val="32"/>
          <w:szCs w:val="32"/>
          <w14:textFill>
            <w14:solidFill>
              <w14:schemeClr w14:val="tx1"/>
            </w14:solidFill>
          </w14:textFill>
        </w:rPr>
        <mc:AlternateContent>
          <mc:Choice Requires="wps">
            <w:drawing>
              <wp:anchor distT="0" distB="0" distL="114300" distR="114300" simplePos="0" relativeHeight="251682816" behindDoc="0" locked="0" layoutInCell="1" allowOverlap="1">
                <wp:simplePos x="0" y="0"/>
                <wp:positionH relativeFrom="column">
                  <wp:posOffset>3333750</wp:posOffset>
                </wp:positionH>
                <wp:positionV relativeFrom="paragraph">
                  <wp:posOffset>1212215</wp:posOffset>
                </wp:positionV>
                <wp:extent cx="923925" cy="285115"/>
                <wp:effectExtent l="0" t="0" r="0" b="635"/>
                <wp:wrapNone/>
                <wp:docPr id="51" name="Rectangle 106"/>
                <wp:cNvGraphicFramePr/>
                <a:graphic xmlns:a="http://schemas.openxmlformats.org/drawingml/2006/main">
                  <a:graphicData uri="http://schemas.microsoft.com/office/word/2010/wordprocessingShape">
                    <wps:wsp>
                      <wps:cNvSpPr>
                        <a:spLocks noChangeArrowheads="1"/>
                      </wps:cNvSpPr>
                      <wps:spPr bwMode="auto">
                        <a:xfrm>
                          <a:off x="0" y="0"/>
                          <a:ext cx="923925" cy="285115"/>
                        </a:xfrm>
                        <a:prstGeom prst="rect">
                          <a:avLst/>
                        </a:prstGeom>
                        <a:noFill/>
                        <a:ln>
                          <a:noFill/>
                        </a:ln>
                      </wps:spPr>
                      <wps:txbx>
                        <w:txbxContent>
                          <w:p w14:paraId="6776285C">
                            <w:pPr>
                              <w:rPr>
                                <w:color w:val="FF0000"/>
                                <w:sz w:val="18"/>
                                <w:szCs w:val="18"/>
                              </w:rPr>
                            </w:pPr>
                            <w:r>
                              <w:rPr>
                                <w:rFonts w:hint="eastAsia"/>
                                <w:color w:val="FF0000"/>
                                <w:sz w:val="18"/>
                                <w:szCs w:val="18"/>
                              </w:rPr>
                              <w:t>百草园小学</w:t>
                            </w:r>
                          </w:p>
                        </w:txbxContent>
                      </wps:txbx>
                      <wps:bodyPr rot="0" vert="horz" wrap="square" lIns="91440" tIns="45720" rIns="91440" bIns="45720" anchor="t" anchorCtr="0" upright="1">
                        <a:noAutofit/>
                      </wps:bodyPr>
                    </wps:wsp>
                  </a:graphicData>
                </a:graphic>
              </wp:anchor>
            </w:drawing>
          </mc:Choice>
          <mc:Fallback>
            <w:pict>
              <v:rect id="Rectangle 106" o:spid="_x0000_s1026" o:spt="1" style="position:absolute;left:0pt;margin-left:262.5pt;margin-top:95.45pt;height:22.45pt;width:72.75pt;z-index:251682816;mso-width-relative:page;mso-height-relative:page;" filled="f" stroked="f" coordsize="21600,21600" o:gfxdata="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hAokt3AAAAAsBAAAPAAAAAAAAAAEAIAAAACIA&#10;AABkcnMvZG93bnJldi54bWxQSwECFAAUAAAACACHTuJAXjOe/QUCAAANBAAADgAAAAAAAAABACAA&#10;AAArAQAAZHJzL2Uyb0RvYy54bWxQSwUGAAAAAAYABgBZAQAAogUAAAAA&#10;">
                <v:fill on="f" focussize="0,0"/>
                <v:stroke on="f"/>
                <v:imagedata o:title=""/>
                <o:lock v:ext="edit" aspectratio="f"/>
                <v:textbox>
                  <w:txbxContent>
                    <w:p w14:paraId="6776285C">
                      <w:pPr>
                        <w:rPr>
                          <w:color w:val="FF0000"/>
                          <w:sz w:val="18"/>
                          <w:szCs w:val="18"/>
                        </w:rPr>
                      </w:pPr>
                      <w:r>
                        <w:rPr>
                          <w:rFonts w:hint="eastAsia"/>
                          <w:color w:val="FF0000"/>
                          <w:sz w:val="18"/>
                          <w:szCs w:val="18"/>
                        </w:rPr>
                        <w:t>百草园小学</w:t>
                      </w:r>
                    </w:p>
                  </w:txbxContent>
                </v:textbox>
              </v:rect>
            </w:pict>
          </mc:Fallback>
        </mc:AlternateContent>
      </w:r>
      <w:r>
        <w:rPr>
          <w:rFonts w:ascii="宋体" w:hAnsi="宋体"/>
          <w:b/>
          <w:color w:val="000000" w:themeColor="text1"/>
          <w:sz w:val="32"/>
          <w:szCs w:val="32"/>
          <w14:textFill>
            <w14:solidFill>
              <w14:schemeClr w14:val="tx1"/>
            </w14:solidFill>
          </w14:textFill>
        </w:rPr>
        <mc:AlternateContent>
          <mc:Choice Requires="wps">
            <w:drawing>
              <wp:anchor distT="0" distB="0" distL="114300" distR="114300" simplePos="0" relativeHeight="251678720" behindDoc="0" locked="0" layoutInCell="1" allowOverlap="1">
                <wp:simplePos x="0" y="0"/>
                <wp:positionH relativeFrom="column">
                  <wp:posOffset>3804920</wp:posOffset>
                </wp:positionH>
                <wp:positionV relativeFrom="paragraph">
                  <wp:posOffset>1497330</wp:posOffset>
                </wp:positionV>
                <wp:extent cx="90805" cy="90805"/>
                <wp:effectExtent l="0" t="0" r="23495" b="23495"/>
                <wp:wrapNone/>
                <wp:docPr id="50" name="Oval 102"/>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0000"/>
                        </a:solidFill>
                        <a:ln w="9525">
                          <a:solidFill>
                            <a:srgbClr val="0000FF"/>
                          </a:solidFill>
                          <a:round/>
                        </a:ln>
                      </wps:spPr>
                      <wps:bodyPr rot="0" vert="horz" wrap="square" lIns="91440" tIns="45720" rIns="91440" bIns="45720" anchor="t" anchorCtr="0" upright="1">
                        <a:noAutofit/>
                      </wps:bodyPr>
                    </wps:wsp>
                  </a:graphicData>
                </a:graphic>
              </wp:anchor>
            </w:drawing>
          </mc:Choice>
          <mc:Fallback>
            <w:pict>
              <v:shape id="Oval 102" o:spid="_x0000_s1026" o:spt="3" type="#_x0000_t3" style="position:absolute;left:0pt;margin-left:299.6pt;margin-top:117.9pt;height:7.15pt;width:7.15pt;z-index:251678720;mso-width-relative:page;mso-height-relative:page;" fillcolor="#FF0000" filled="t" stroked="t" coordsize="21600,21600" o:gfxdata="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madCC&#10;2AAAAAsBAAAPAAAAAAAAAAEAIAAAACIAAABkcnMvZG93bnJldi54bWxQSwECFAAUAAAACACHTuJA&#10;kyTUbCECAABjBAAADgAAAAAAAAABACAAAAAnAQAAZHJzL2Uyb0RvYy54bWxQSwUGAAAAAAYABgBZ&#10;AQAAugUAAAAA&#10;">
                <v:fill on="t" focussize="0,0"/>
                <v:stroke color="#0000FF" joinstyle="round"/>
                <v:imagedata o:title=""/>
                <o:lock v:ext="edit" aspectratio="f"/>
              </v:shape>
            </w:pict>
          </mc:Fallback>
        </mc:AlternateContent>
      </w:r>
      <w:r>
        <w:rPr>
          <w:rFonts w:ascii="宋体" w:hAnsi="宋体"/>
          <w:b/>
          <w:color w:val="000000" w:themeColor="text1"/>
          <w:sz w:val="32"/>
          <w:szCs w:val="32"/>
          <w14:textFill>
            <w14:solidFill>
              <w14:schemeClr w14:val="tx1"/>
            </w14:solidFill>
          </w14:textFill>
        </w:rPr>
        <mc:AlternateContent>
          <mc:Choice Requires="wps">
            <w:drawing>
              <wp:anchor distT="0" distB="0" distL="114300" distR="114300" simplePos="0" relativeHeight="251681792" behindDoc="0" locked="0" layoutInCell="1" allowOverlap="1">
                <wp:simplePos x="0" y="0"/>
                <wp:positionH relativeFrom="column">
                  <wp:posOffset>3552825</wp:posOffset>
                </wp:positionH>
                <wp:positionV relativeFrom="paragraph">
                  <wp:posOffset>1755140</wp:posOffset>
                </wp:positionV>
                <wp:extent cx="933450" cy="264160"/>
                <wp:effectExtent l="0" t="0" r="0" b="2540"/>
                <wp:wrapNone/>
                <wp:docPr id="49" name="Rectangle 105"/>
                <wp:cNvGraphicFramePr/>
                <a:graphic xmlns:a="http://schemas.openxmlformats.org/drawingml/2006/main">
                  <a:graphicData uri="http://schemas.microsoft.com/office/word/2010/wordprocessingShape">
                    <wps:wsp>
                      <wps:cNvSpPr>
                        <a:spLocks noChangeArrowheads="1"/>
                      </wps:cNvSpPr>
                      <wps:spPr bwMode="auto">
                        <a:xfrm>
                          <a:off x="0" y="0"/>
                          <a:ext cx="933450" cy="264160"/>
                        </a:xfrm>
                        <a:prstGeom prst="rect">
                          <a:avLst/>
                        </a:prstGeom>
                        <a:noFill/>
                        <a:ln>
                          <a:noFill/>
                        </a:ln>
                      </wps:spPr>
                      <wps:txbx>
                        <w:txbxContent>
                          <w:p w14:paraId="043B0651">
                            <w:pPr>
                              <w:rPr>
                                <w:color w:val="FF0000"/>
                                <w:sz w:val="18"/>
                                <w:szCs w:val="18"/>
                              </w:rPr>
                            </w:pPr>
                            <w:r>
                              <w:rPr>
                                <w:rFonts w:hint="eastAsia"/>
                                <w:color w:val="FF0000"/>
                                <w:sz w:val="18"/>
                                <w:szCs w:val="18"/>
                              </w:rPr>
                              <w:t>藻江幼儿园</w:t>
                            </w:r>
                          </w:p>
                        </w:txbxContent>
                      </wps:txbx>
                      <wps:bodyPr rot="0" vert="horz" wrap="square" lIns="91440" tIns="45720" rIns="91440" bIns="45720" anchor="t" anchorCtr="0" upright="1">
                        <a:noAutofit/>
                      </wps:bodyPr>
                    </wps:wsp>
                  </a:graphicData>
                </a:graphic>
              </wp:anchor>
            </w:drawing>
          </mc:Choice>
          <mc:Fallback>
            <w:pict>
              <v:rect id="Rectangle 105" o:spid="_x0000_s1026" o:spt="1" style="position:absolute;left:0pt;margin-left:279.75pt;margin-top:138.2pt;height:20.8pt;width:73.5pt;z-index:251681792;mso-width-relative:page;mso-height-relative:page;" filled="f" stroked="f" coordsize="21600,21600" o:gfxdata="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V0PDF3AAAAAsBAAAPAAAAAAAAAAEAIAAAACIA&#10;AABkcnMvZG93bnJldi54bWxQSwECFAAUAAAACACHTuJAITgPHQUCAAANBAAADgAAAAAAAAABACAA&#10;AAArAQAAZHJzL2Uyb0RvYy54bWxQSwUGAAAAAAYABgBZAQAAogUAAAAA&#10;">
                <v:fill on="f" focussize="0,0"/>
                <v:stroke on="f"/>
                <v:imagedata o:title=""/>
                <o:lock v:ext="edit" aspectratio="f"/>
                <v:textbox>
                  <w:txbxContent>
                    <w:p w14:paraId="043B0651">
                      <w:pPr>
                        <w:rPr>
                          <w:color w:val="FF0000"/>
                          <w:sz w:val="18"/>
                          <w:szCs w:val="18"/>
                        </w:rPr>
                      </w:pPr>
                      <w:r>
                        <w:rPr>
                          <w:rFonts w:hint="eastAsia"/>
                          <w:color w:val="FF0000"/>
                          <w:sz w:val="18"/>
                          <w:szCs w:val="18"/>
                        </w:rPr>
                        <w:t>藻江幼儿园</w:t>
                      </w:r>
                    </w:p>
                  </w:txbxContent>
                </v:textbox>
              </v:rect>
            </w:pict>
          </mc:Fallback>
        </mc:AlternateContent>
      </w:r>
      <w:r>
        <w:rPr>
          <w:rFonts w:ascii="宋体" w:hAnsi="宋体"/>
          <w:b/>
          <w:color w:val="000000" w:themeColor="text1"/>
          <w:sz w:val="32"/>
          <w:szCs w:val="32"/>
          <w14:textFill>
            <w14:solidFill>
              <w14:schemeClr w14:val="tx1"/>
            </w14:solidFill>
          </w14:textFill>
        </w:rPr>
        <mc:AlternateContent>
          <mc:Choice Requires="wps">
            <w:drawing>
              <wp:anchor distT="0" distB="0" distL="114300" distR="114300" simplePos="0" relativeHeight="251679744" behindDoc="0" locked="0" layoutInCell="1" allowOverlap="1">
                <wp:simplePos x="0" y="0"/>
                <wp:positionH relativeFrom="column">
                  <wp:posOffset>2476500</wp:posOffset>
                </wp:positionH>
                <wp:positionV relativeFrom="paragraph">
                  <wp:posOffset>1071880</wp:posOffset>
                </wp:positionV>
                <wp:extent cx="971550" cy="245110"/>
                <wp:effectExtent l="0" t="0" r="0" b="2540"/>
                <wp:wrapNone/>
                <wp:docPr id="48" name="Rectangle 103"/>
                <wp:cNvGraphicFramePr/>
                <a:graphic xmlns:a="http://schemas.openxmlformats.org/drawingml/2006/main">
                  <a:graphicData uri="http://schemas.microsoft.com/office/word/2010/wordprocessingShape">
                    <wps:wsp>
                      <wps:cNvSpPr>
                        <a:spLocks noChangeArrowheads="1"/>
                      </wps:cNvSpPr>
                      <wps:spPr bwMode="auto">
                        <a:xfrm>
                          <a:off x="0" y="0"/>
                          <a:ext cx="971550" cy="245110"/>
                        </a:xfrm>
                        <a:prstGeom prst="rect">
                          <a:avLst/>
                        </a:prstGeom>
                        <a:noFill/>
                        <a:ln>
                          <a:noFill/>
                        </a:ln>
                      </wps:spPr>
                      <wps:txbx>
                        <w:txbxContent>
                          <w:p w14:paraId="1DB759A0">
                            <w:pPr>
                              <w:rPr>
                                <w:color w:val="FF0000"/>
                                <w:sz w:val="18"/>
                                <w:szCs w:val="18"/>
                              </w:rPr>
                            </w:pPr>
                            <w:r>
                              <w:rPr>
                                <w:rFonts w:hint="eastAsia"/>
                                <w:color w:val="FF0000"/>
                                <w:sz w:val="18"/>
                                <w:szCs w:val="18"/>
                              </w:rPr>
                              <w:t>三井实验小学</w:t>
                            </w:r>
                          </w:p>
                        </w:txbxContent>
                      </wps:txbx>
                      <wps:bodyPr rot="0" vert="horz" wrap="square" lIns="91440" tIns="45720" rIns="91440" bIns="45720" anchor="t" anchorCtr="0" upright="1">
                        <a:noAutofit/>
                      </wps:bodyPr>
                    </wps:wsp>
                  </a:graphicData>
                </a:graphic>
              </wp:anchor>
            </w:drawing>
          </mc:Choice>
          <mc:Fallback>
            <w:pict>
              <v:rect id="Rectangle 103" o:spid="_x0000_s1026" o:spt="1" style="position:absolute;left:0pt;margin-left:195pt;margin-top:84.4pt;height:19.3pt;width:76.5pt;z-index:251679744;mso-width-relative:page;mso-height-relative:page;" filled="f" stroked="f" coordsize="21600,21600" o:gfxdata="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aNBWfcAAAACwEAAA8AAAAAAAAAAQAgAAAAIgAA&#10;AGRycy9kb3ducmV2LnhtbFBLAQIUABQAAAAIAIdO4kBiSz9vBAIAAA0EAAAOAAAAAAAAAAEAIAAA&#10;ACsBAABkcnMvZTJvRG9jLnhtbFBLBQYAAAAABgAGAFkBAAChBQAAAAA=&#10;">
                <v:fill on="f" focussize="0,0"/>
                <v:stroke on="f"/>
                <v:imagedata o:title=""/>
                <o:lock v:ext="edit" aspectratio="f"/>
                <v:textbox>
                  <w:txbxContent>
                    <w:p w14:paraId="1DB759A0">
                      <w:pPr>
                        <w:rPr>
                          <w:color w:val="FF0000"/>
                          <w:sz w:val="18"/>
                          <w:szCs w:val="18"/>
                        </w:rPr>
                      </w:pPr>
                      <w:r>
                        <w:rPr>
                          <w:rFonts w:hint="eastAsia"/>
                          <w:color w:val="FF0000"/>
                          <w:sz w:val="18"/>
                          <w:szCs w:val="18"/>
                        </w:rPr>
                        <w:t>三井实验小学</w:t>
                      </w:r>
                    </w:p>
                  </w:txbxContent>
                </v:textbox>
              </v:rect>
            </w:pict>
          </mc:Fallback>
        </mc:AlternateContent>
      </w:r>
      <w:r>
        <w:rPr>
          <w:rFonts w:ascii="宋体" w:hAnsi="宋体"/>
          <w:b/>
          <w:color w:val="000000" w:themeColor="text1"/>
          <w:sz w:val="32"/>
          <w:szCs w:val="32"/>
          <w14:textFill>
            <w14:solidFill>
              <w14:schemeClr w14:val="tx1"/>
            </w14:solidFill>
          </w14:textFill>
        </w:rPr>
        <mc:AlternateContent>
          <mc:Choice Requires="wps">
            <w:drawing>
              <wp:anchor distT="0" distB="0" distL="114300" distR="114300" simplePos="0" relativeHeight="251677696" behindDoc="0" locked="0" layoutInCell="1" allowOverlap="1">
                <wp:simplePos x="0" y="0"/>
                <wp:positionH relativeFrom="column">
                  <wp:posOffset>1809750</wp:posOffset>
                </wp:positionH>
                <wp:positionV relativeFrom="paragraph">
                  <wp:posOffset>764540</wp:posOffset>
                </wp:positionV>
                <wp:extent cx="90805" cy="66675"/>
                <wp:effectExtent l="0" t="0" r="23495" b="28575"/>
                <wp:wrapNone/>
                <wp:docPr id="47" name="Oval 101"/>
                <wp:cNvGraphicFramePr/>
                <a:graphic xmlns:a="http://schemas.openxmlformats.org/drawingml/2006/main">
                  <a:graphicData uri="http://schemas.microsoft.com/office/word/2010/wordprocessingShape">
                    <wps:wsp>
                      <wps:cNvSpPr>
                        <a:spLocks noChangeArrowheads="1"/>
                      </wps:cNvSpPr>
                      <wps:spPr bwMode="auto">
                        <a:xfrm>
                          <a:off x="0" y="0"/>
                          <a:ext cx="90805" cy="66675"/>
                        </a:xfrm>
                        <a:prstGeom prst="ellipse">
                          <a:avLst/>
                        </a:prstGeom>
                        <a:solidFill>
                          <a:srgbClr val="FF0000"/>
                        </a:solidFill>
                        <a:ln w="9525">
                          <a:solidFill>
                            <a:srgbClr val="0000FF"/>
                          </a:solidFill>
                          <a:round/>
                        </a:ln>
                      </wps:spPr>
                      <wps:bodyPr rot="0" vert="horz" wrap="square" lIns="91440" tIns="45720" rIns="91440" bIns="45720" anchor="t" anchorCtr="0" upright="1">
                        <a:noAutofit/>
                      </wps:bodyPr>
                    </wps:wsp>
                  </a:graphicData>
                </a:graphic>
              </wp:anchor>
            </w:drawing>
          </mc:Choice>
          <mc:Fallback>
            <w:pict>
              <v:shape id="Oval 101" o:spid="_x0000_s1026" o:spt="3" type="#_x0000_t3" style="position:absolute;left:0pt;margin-left:142.5pt;margin-top:60.2pt;height:5.25pt;width:7.15pt;z-index:251677696;mso-width-relative:page;mso-height-relative:page;" fillcolor="#FF0000" filled="t" stroked="t" coordsize="21600,21600" o:gfxdata="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z&#10;Pr1x2AAAAAsBAAAPAAAAAAAAAAEAIAAAACIAAABkcnMvZG93bnJldi54bWxQSwECFAAUAAAACACH&#10;TuJA9Xly4SQCAABjBAAADgAAAAAAAAABACAAAAAnAQAAZHJzL2Uyb0RvYy54bWxQSwUGAAAAAAYA&#10;BgBZAQAAvQUAAAAA&#10;">
                <v:fill on="t" focussize="0,0"/>
                <v:stroke color="#0000FF" joinstyle="round"/>
                <v:imagedata o:title=""/>
                <o:lock v:ext="edit" aspectratio="f"/>
              </v:shape>
            </w:pict>
          </mc:Fallback>
        </mc:AlternateContent>
      </w:r>
      <w:r>
        <w:rPr>
          <w:rFonts w:ascii="宋体" w:hAnsi="宋体"/>
          <w:b/>
          <w:color w:val="000000" w:themeColor="text1"/>
          <w:sz w:val="32"/>
          <w:szCs w:val="32"/>
          <w14:textFill>
            <w14:solidFill>
              <w14:schemeClr w14:val="tx1"/>
            </w14:solidFill>
          </w14:textFill>
        </w:rPr>
        <mc:AlternateContent>
          <mc:Choice Requires="wps">
            <w:drawing>
              <wp:anchor distT="0" distB="0" distL="114300" distR="114300" simplePos="0" relativeHeight="251675648" behindDoc="0" locked="0" layoutInCell="1" allowOverlap="1">
                <wp:simplePos x="0" y="0"/>
                <wp:positionH relativeFrom="column">
                  <wp:posOffset>2543175</wp:posOffset>
                </wp:positionH>
                <wp:positionV relativeFrom="paragraph">
                  <wp:posOffset>981075</wp:posOffset>
                </wp:positionV>
                <wp:extent cx="114300" cy="90805"/>
                <wp:effectExtent l="0" t="0" r="19050" b="23495"/>
                <wp:wrapNone/>
                <wp:docPr id="46" name="Oval 99"/>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ellipse">
                          <a:avLst/>
                        </a:prstGeom>
                        <a:solidFill>
                          <a:srgbClr val="FF0000"/>
                        </a:solidFill>
                        <a:ln w="9525">
                          <a:solidFill>
                            <a:srgbClr val="0000FF"/>
                          </a:solidFill>
                          <a:round/>
                        </a:ln>
                      </wps:spPr>
                      <wps:bodyPr rot="0" vert="horz" wrap="square" lIns="91440" tIns="45720" rIns="91440" bIns="45720" anchor="t" anchorCtr="0" upright="1">
                        <a:noAutofit/>
                      </wps:bodyPr>
                    </wps:wsp>
                  </a:graphicData>
                </a:graphic>
              </wp:anchor>
            </w:drawing>
          </mc:Choice>
          <mc:Fallback>
            <w:pict>
              <v:shape id="Oval 99" o:spid="_x0000_s1026" o:spt="3" type="#_x0000_t3" style="position:absolute;left:0pt;margin-left:200.25pt;margin-top:77.25pt;height:7.15pt;width:9pt;z-index:251675648;mso-width-relative:page;mso-height-relative:page;" fillcolor="#FF0000" filled="t" stroked="t" coordsize="21600,21600" o:gfxdata="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XNcKyNcAAAALAQAADwAAAAAAAAABACAAAAAiAAAAZHJzL2Rvd25yZXYueG1sUEsBAhQAFAAAAAgA&#10;h07iQMs988EmAgAAYwQAAA4AAAAAAAAAAQAgAAAAJgEAAGRycy9lMm9Eb2MueG1sUEsFBgAAAAAG&#10;AAYAWQEAAL4FAAAAAA==&#10;">
                <v:fill on="t" focussize="0,0"/>
                <v:stroke color="#0000FF" joinstyle="round"/>
                <v:imagedata o:title=""/>
                <o:lock v:ext="edit" aspectratio="f"/>
              </v:shape>
            </w:pict>
          </mc:Fallback>
        </mc:AlternateContent>
      </w:r>
      <w:r>
        <w:rPr>
          <w:rFonts w:ascii="宋体" w:hAnsi="宋体"/>
          <w:b/>
          <w:color w:val="000000" w:themeColor="text1"/>
          <w:sz w:val="32"/>
          <w:szCs w:val="32"/>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3804920</wp:posOffset>
                </wp:positionH>
                <wp:positionV relativeFrom="paragraph">
                  <wp:posOffset>1678940</wp:posOffset>
                </wp:positionV>
                <wp:extent cx="90805" cy="76200"/>
                <wp:effectExtent l="0" t="0" r="23495" b="19050"/>
                <wp:wrapNone/>
                <wp:docPr id="40" name="Oval 97"/>
                <wp:cNvGraphicFramePr/>
                <a:graphic xmlns:a="http://schemas.openxmlformats.org/drawingml/2006/main">
                  <a:graphicData uri="http://schemas.microsoft.com/office/word/2010/wordprocessingShape">
                    <wps:wsp>
                      <wps:cNvSpPr>
                        <a:spLocks noChangeArrowheads="1"/>
                      </wps:cNvSpPr>
                      <wps:spPr bwMode="auto">
                        <a:xfrm>
                          <a:off x="0" y="0"/>
                          <a:ext cx="90805" cy="76200"/>
                        </a:xfrm>
                        <a:prstGeom prst="ellipse">
                          <a:avLst/>
                        </a:prstGeom>
                        <a:solidFill>
                          <a:srgbClr val="FF0000"/>
                        </a:solidFill>
                        <a:ln w="9525">
                          <a:solidFill>
                            <a:srgbClr val="0000FF"/>
                          </a:solidFill>
                          <a:round/>
                        </a:ln>
                      </wps:spPr>
                      <wps:bodyPr rot="0" vert="horz" wrap="square" lIns="91440" tIns="45720" rIns="91440" bIns="45720" anchor="t" anchorCtr="0" upright="1">
                        <a:noAutofit/>
                      </wps:bodyPr>
                    </wps:wsp>
                  </a:graphicData>
                </a:graphic>
              </wp:anchor>
            </w:drawing>
          </mc:Choice>
          <mc:Fallback>
            <w:pict>
              <v:shape id="Oval 97" o:spid="_x0000_s1026" o:spt="3" type="#_x0000_t3" style="position:absolute;left:0pt;margin-left:299.6pt;margin-top:132.2pt;height:6pt;width:7.15pt;z-index:251673600;mso-width-relative:page;mso-height-relative:page;" fillcolor="#FF0000" filled="t" stroked="t" coordsize="21600,21600" o:gfxdata="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m10cTNkAAAALAQAADwAAAAAAAAABACAAAAAiAAAAZHJzL2Rvd25yZXYueG1sUEsBAhQAFAAAAAgA&#10;h07iQM+wSeckAgAAYgQAAA4AAAAAAAAAAQAgAAAAKAEAAGRycy9lMm9Eb2MueG1sUEsFBgAAAAAG&#10;AAYAWQEAAL4FAAAAAA==&#10;">
                <v:fill on="t" focussize="0,0"/>
                <v:stroke color="#0000FF" joinstyle="round"/>
                <v:imagedata o:title=""/>
                <o:lock v:ext="edit" aspectratio="f"/>
              </v:shape>
            </w:pict>
          </mc:Fallback>
        </mc:AlternateContent>
      </w:r>
      <w:r>
        <w:rPr>
          <w:rFonts w:ascii="宋体" w:hAnsi="宋体"/>
          <w:b/>
          <w:color w:val="000000" w:themeColor="text1"/>
          <w:sz w:val="32"/>
          <w:szCs w:val="32"/>
          <w14:textFill>
            <w14:solidFill>
              <w14:schemeClr w14:val="tx1"/>
            </w14:solidFill>
          </w14:textFill>
        </w:rPr>
        <w:drawing>
          <wp:inline distT="0" distB="0" distL="0" distR="0">
            <wp:extent cx="5276850" cy="2381250"/>
            <wp:effectExtent l="19050" t="19050" r="19050" b="19050"/>
            <wp:docPr id="14" name="图片 19" descr="G:\MyDocuments\三井街道\社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9" descr="G:\MyDocuments\三井街道\社区.jpg"/>
                    <pic:cNvPicPr>
                      <a:picLocks noChangeAspect="1" noChangeArrowheads="1"/>
                    </pic:cNvPicPr>
                  </pic:nvPicPr>
                  <pic:blipFill>
                    <a:blip r:embed="rId29" cstate="print"/>
                    <a:srcRect/>
                    <a:stretch>
                      <a:fillRect/>
                    </a:stretch>
                  </pic:blipFill>
                  <pic:spPr>
                    <a:xfrm>
                      <a:off x="0" y="0"/>
                      <a:ext cx="5276850" cy="2381250"/>
                    </a:xfrm>
                    <a:prstGeom prst="rect">
                      <a:avLst/>
                    </a:prstGeom>
                    <a:noFill/>
                    <a:ln w="6350" cmpd="sng">
                      <a:solidFill>
                        <a:srgbClr val="000000"/>
                      </a:solidFill>
                      <a:miter lim="800000"/>
                      <a:headEnd/>
                      <a:tailEnd/>
                    </a:ln>
                    <a:effectLst/>
                  </pic:spPr>
                </pic:pic>
              </a:graphicData>
            </a:graphic>
          </wp:inline>
        </w:drawing>
      </w:r>
    </w:p>
    <w:p w14:paraId="785A3D4E">
      <w:pPr>
        <w:pStyle w:val="8"/>
        <w:spacing w:line="480" w:lineRule="auto"/>
        <w:ind w:firstLine="560" w:firstLineChars="200"/>
        <w:rPr>
          <w:rFonts w:ascii="黑体" w:hAnsi="宋体" w:eastAsia="黑体"/>
          <w:b/>
          <w:color w:val="000000" w:themeColor="text1"/>
          <w:sz w:val="24"/>
          <w:szCs w:val="24"/>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        </w:t>
      </w:r>
      <w:r>
        <w:rPr>
          <w:rFonts w:hint="eastAsia" w:ascii="黑体" w:hAnsi="宋体" w:eastAsia="黑体"/>
          <w:b/>
          <w:color w:val="000000" w:themeColor="text1"/>
          <w:sz w:val="24"/>
          <w:szCs w:val="24"/>
          <w14:textFill>
            <w14:solidFill>
              <w14:schemeClr w14:val="tx1"/>
            </w14:solidFill>
          </w14:textFill>
        </w:rPr>
        <w:t>图3：三井街道辖区公立小学、幼儿园分布</w:t>
      </w:r>
    </w:p>
    <w:p w14:paraId="17E0B23F">
      <w:pPr>
        <w:pStyle w:val="8"/>
        <w:spacing w:line="48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四是三井街道作为常州北部新城重要组成部分，居住人口呈不断上升态势，但辖区仅有一家公立街道医院——三井医院和一家民办美容医院——曙光医疗美容医院，且由于周边没有其他医院，使得三井医院承担了中心医院功能，辐射范围包括三井、河海、龙虎塘等街道，辐射服务人口达20万人。目前，三井医院80%业务为医疗，20%业务为社区公共卫生管理。由于三井医院医疗任务繁重，2014年门诊量达到31万人次，2015年一季度门诊量同比增长30%，使得三井医院在社区公共卫生管理，尤其在社区居民慢性病管理、家庭医生制度和老年人医养结合模式推行等方面，显得力不从心。</w:t>
      </w:r>
    </w:p>
    <w:p w14:paraId="069155A9">
      <w:pPr>
        <w:spacing w:line="360" w:lineRule="auto"/>
        <w:ind w:firstLine="560" w:firstLineChars="200"/>
        <w:rPr>
          <w:rFonts w:ascii="宋体" w:hAnsi="宋体" w:cs="Arial"/>
          <w:color w:val="000000" w:themeColor="text1"/>
          <w:kern w:val="0"/>
          <w:sz w:val="28"/>
          <w:szCs w:val="28"/>
          <w14:textFill>
            <w14:solidFill>
              <w14:schemeClr w14:val="tx1"/>
            </w14:solidFill>
          </w14:textFill>
        </w:rPr>
      </w:pPr>
      <w:r>
        <w:rPr>
          <w:rFonts w:hint="eastAsia" w:ascii="宋体" w:hAnsi="宋体" w:cs="Arial"/>
          <w:color w:val="000000" w:themeColor="text1"/>
          <w:kern w:val="0"/>
          <w:sz w:val="28"/>
          <w:szCs w:val="28"/>
          <w14:textFill>
            <w14:solidFill>
              <w14:schemeClr w14:val="tx1"/>
            </w14:solidFill>
          </w14:textFill>
        </w:rPr>
        <w:t>五是随着老年人口增多，关爱老年人生活成为当前社会发展重要内容，虽然三井街道选择以社区为依托的居家养老为主要养老方式，但还没有充分建立居家养老所需的城市小型托老所、老年助餐点、社区日间照料中心、老年活动中心，且医疗机构没有介入居家养老，居家养老方式还没有被社会普遍接受。</w:t>
      </w:r>
    </w:p>
    <w:p w14:paraId="0CA5703E">
      <w:pPr>
        <w:spacing w:line="360" w:lineRule="auto"/>
        <w:ind w:firstLine="560" w:firstLineChars="200"/>
        <w:rPr>
          <w:rFonts w:ascii="宋体" w:hAnsi="宋体" w:cs="Arial"/>
          <w:color w:val="000000" w:themeColor="text1"/>
          <w:kern w:val="0"/>
          <w:sz w:val="28"/>
          <w:szCs w:val="28"/>
          <w14:textFill>
            <w14:solidFill>
              <w14:schemeClr w14:val="tx1"/>
            </w14:solidFill>
          </w14:textFill>
        </w:rPr>
      </w:pPr>
    </w:p>
    <w:p w14:paraId="012813CB">
      <w:pPr>
        <w:spacing w:line="360" w:lineRule="auto"/>
        <w:rPr>
          <w:rFonts w:ascii="黑体" w:hAnsi="宋体" w:eastAsia="黑体" w:cs="Arial"/>
          <w:b/>
          <w:color w:val="000000" w:themeColor="text1"/>
          <w:kern w:val="0"/>
          <w:sz w:val="32"/>
          <w:szCs w:val="32"/>
          <w14:textFill>
            <w14:solidFill>
              <w14:schemeClr w14:val="tx1"/>
            </w14:solidFill>
          </w14:textFill>
        </w:rPr>
      </w:pPr>
      <w:r>
        <w:rPr>
          <w:rFonts w:hint="eastAsia" w:ascii="黑体" w:hAnsi="宋体" w:eastAsia="黑体" w:cs="Arial"/>
          <w:b/>
          <w:color w:val="000000" w:themeColor="text1"/>
          <w:kern w:val="0"/>
          <w:sz w:val="32"/>
          <w:szCs w:val="32"/>
          <w14:textFill>
            <w14:solidFill>
              <w14:schemeClr w14:val="tx1"/>
            </w14:solidFill>
          </w14:textFill>
        </w:rPr>
        <w:t>（三）社区管理问题</w:t>
      </w:r>
    </w:p>
    <w:p w14:paraId="2CB6E822">
      <w:pPr>
        <w:spacing w:line="360" w:lineRule="auto"/>
        <w:ind w:firstLine="630"/>
        <w:rPr>
          <w:rFonts w:ascii="宋体" w:hAnsi="宋体" w:cs="Arial"/>
          <w:color w:val="000000" w:themeColor="text1"/>
          <w:kern w:val="0"/>
          <w:sz w:val="28"/>
          <w:szCs w:val="28"/>
          <w14:textFill>
            <w14:solidFill>
              <w14:schemeClr w14:val="tx1"/>
            </w14:solidFill>
          </w14:textFill>
        </w:rPr>
      </w:pPr>
      <w:r>
        <w:rPr>
          <w:rFonts w:hint="eastAsia" w:ascii="宋体" w:hAnsi="宋体" w:cs="Arial"/>
          <w:color w:val="000000" w:themeColor="text1"/>
          <w:kern w:val="0"/>
          <w:sz w:val="28"/>
          <w:szCs w:val="28"/>
          <w14:textFill>
            <w14:solidFill>
              <w14:schemeClr w14:val="tx1"/>
            </w14:solidFill>
          </w14:textFill>
        </w:rPr>
        <w:t>城市化发展不仅体现在城市建设方面，而且还体现在城市管理方面，城市管理主要落实落地在社区管理。三井街道社区管理主要问题表现在三个方面：</w:t>
      </w:r>
    </w:p>
    <w:p w14:paraId="70B84DC8">
      <w:pPr>
        <w:spacing w:line="360" w:lineRule="auto"/>
        <w:ind w:firstLine="630"/>
        <w:rPr>
          <w:rFonts w:ascii="宋体" w:hAnsi="宋体" w:cs="Arial"/>
          <w:color w:val="000000" w:themeColor="text1"/>
          <w:kern w:val="0"/>
          <w:sz w:val="28"/>
          <w:szCs w:val="28"/>
          <w14:textFill>
            <w14:solidFill>
              <w14:schemeClr w14:val="tx1"/>
            </w14:solidFill>
          </w14:textFill>
        </w:rPr>
      </w:pPr>
      <w:r>
        <w:rPr>
          <w:rFonts w:hint="eastAsia" w:ascii="宋体" w:hAnsi="宋体" w:cs="Arial"/>
          <w:color w:val="000000" w:themeColor="text1"/>
          <w:kern w:val="0"/>
          <w:sz w:val="28"/>
          <w:szCs w:val="28"/>
          <w14:textFill>
            <w14:solidFill>
              <w14:schemeClr w14:val="tx1"/>
            </w14:solidFill>
          </w14:textFill>
        </w:rPr>
        <w:t>一是社区居民居住形态多样化与社区治理模式单一矛盾。三井街道除了藻江社区为纯居民社区外，其余社区均由行政村转变而来，各社区小区性质多样、管理模式多样、实际居住人口多样，为社区治理和小区管理增加了复杂性和一定难度，同时，也增加了社区居民相互融合难度和参与社区事务管理难度。1.各社区分布着性质不同小区，既有纯安置小区，又有安置房与商品房混杂在一起的混合小区，也有纯商品房小区；2.各社区分布着管理模式不同小区，既有业主管理小区，也有社区管理小区和物业公司管理小区；3.在同一小区内，实际居住人口也存在多样性特点，一些安置房或更换房主，或为外来人口租房户，但依然享受失地农民安置房减免物业费待遇。</w:t>
      </w:r>
    </w:p>
    <w:p w14:paraId="55AA9F68">
      <w:pPr>
        <w:spacing w:line="360" w:lineRule="auto"/>
        <w:ind w:firstLine="630"/>
        <w:rPr>
          <w:rFonts w:ascii="宋体" w:hAnsi="宋体" w:cs="Arial"/>
          <w:color w:val="000000" w:themeColor="text1"/>
          <w:kern w:val="0"/>
          <w:sz w:val="28"/>
          <w:szCs w:val="28"/>
          <w14:textFill>
            <w14:solidFill>
              <w14:schemeClr w14:val="tx1"/>
            </w14:solidFill>
          </w14:textFill>
        </w:rPr>
      </w:pPr>
      <w:r>
        <w:rPr>
          <w:rFonts w:hint="eastAsia" w:ascii="宋体" w:hAnsi="宋体" w:cs="Arial"/>
          <w:color w:val="000000" w:themeColor="text1"/>
          <w:kern w:val="0"/>
          <w:sz w:val="28"/>
          <w:szCs w:val="28"/>
          <w14:textFill>
            <w14:solidFill>
              <w14:schemeClr w14:val="tx1"/>
            </w14:solidFill>
          </w14:textFill>
        </w:rPr>
        <w:t>二是社区居民民生需求多元化与服务主体单一矛盾。目前，社区居民对就业咨询、社保服务、医疗卫生、交通出行、文化体育、休闲娱乐、社区保安、小区保洁、家政服务、子女放学托管、家庭（邻里）纠纷调解、老人康复养老等民生服务需求日益迫切，基层政府出钱出力“大包大揽”式单向输出，已经呈现捉襟见肘状态。</w:t>
      </w:r>
    </w:p>
    <w:p w14:paraId="510D5B99">
      <w:pPr>
        <w:spacing w:line="360" w:lineRule="auto"/>
        <w:ind w:firstLine="630"/>
        <w:rPr>
          <w:rFonts w:ascii="宋体" w:hAnsi="宋体" w:cs="Arial"/>
          <w:color w:val="000000" w:themeColor="text1"/>
          <w:kern w:val="0"/>
          <w:sz w:val="28"/>
          <w:szCs w:val="28"/>
          <w14:textFill>
            <w14:solidFill>
              <w14:schemeClr w14:val="tx1"/>
            </w14:solidFill>
          </w14:textFill>
        </w:rPr>
      </w:pPr>
      <w:r>
        <w:rPr>
          <w:rFonts w:hint="eastAsia" w:ascii="宋体" w:hAnsi="宋体" w:cs="Arial"/>
          <w:color w:val="000000" w:themeColor="text1"/>
          <w:kern w:val="0"/>
          <w:sz w:val="28"/>
          <w:szCs w:val="28"/>
          <w14:textFill>
            <w14:solidFill>
              <w14:schemeClr w14:val="tx1"/>
            </w14:solidFill>
          </w14:textFill>
        </w:rPr>
        <w:t>三是城市化加速与市民意识相对滞后矛盾。三井街道作为常州新城区，社区居民主要由失地农民和“新市民”两部分人组成。失地农民主要居住在安置小区和混合型小区，尽管失地农民进城已有很多年，但市民意识提升相对有限，违章搭建、乱堆乱放、毁绿垦种等情况时有发生；同时，随着子女成家后陆续搬迁，安置小区人口老龄化趋势加重；另外，安置房出租率、房主替换率逐年提高，成为大量流动人口集中地，“失管难管”问题突出。“新市民”来自全国各地，主要居住在纯商品房小区和混合型小区，在常州有稳定就业岗位或稳定的创业平台，但“新市民”存在主要问题是参与社区管理意识和融入常州文化感不强，缺乏小区主人意识，被动参与、被动接受社区管理和社区服务。</w:t>
      </w:r>
    </w:p>
    <w:p w14:paraId="51452E19">
      <w:pPr>
        <w:spacing w:line="360" w:lineRule="auto"/>
        <w:rPr>
          <w:rFonts w:ascii="黑体" w:hAnsi="宋体" w:eastAsia="黑体"/>
          <w:b/>
          <w:color w:val="000000" w:themeColor="text1"/>
          <w:sz w:val="44"/>
          <w:szCs w:val="44"/>
          <w14:textFill>
            <w14:solidFill>
              <w14:schemeClr w14:val="tx1"/>
            </w14:solidFill>
          </w14:textFill>
        </w:rPr>
      </w:pPr>
      <w:r>
        <w:rPr>
          <w:rFonts w:hint="eastAsia" w:ascii="黑体" w:hAnsi="宋体" w:eastAsia="黑体"/>
          <w:b/>
          <w:color w:val="000000" w:themeColor="text1"/>
          <w:sz w:val="44"/>
          <w:szCs w:val="44"/>
          <w14:textFill>
            <w14:solidFill>
              <w14:schemeClr w14:val="tx1"/>
            </w14:solidFill>
          </w14:textFill>
        </w:rPr>
        <w:t xml:space="preserve"> </w:t>
      </w:r>
    </w:p>
    <w:p w14:paraId="3ADFEE77">
      <w:pPr>
        <w:widowControl/>
        <w:jc w:val="left"/>
        <w:rPr>
          <w:rFonts w:ascii="黑体" w:hAnsi="宋体" w:eastAsia="黑体"/>
          <w:b/>
          <w:color w:val="000000" w:themeColor="text1"/>
          <w:sz w:val="44"/>
          <w:szCs w:val="44"/>
          <w14:textFill>
            <w14:solidFill>
              <w14:schemeClr w14:val="tx1"/>
            </w14:solidFill>
          </w14:textFill>
        </w:rPr>
      </w:pPr>
      <w:r>
        <w:rPr>
          <w:rFonts w:ascii="黑体" w:hAnsi="宋体" w:eastAsia="黑体"/>
          <w:b/>
          <w:color w:val="000000" w:themeColor="text1"/>
          <w:sz w:val="44"/>
          <w:szCs w:val="44"/>
          <w14:textFill>
            <w14:solidFill>
              <w14:schemeClr w14:val="tx1"/>
            </w14:solidFill>
          </w14:textFill>
        </w:rPr>
        <w:br w:type="page"/>
      </w:r>
    </w:p>
    <w:p w14:paraId="1D498DE4">
      <w:pPr>
        <w:spacing w:line="360" w:lineRule="auto"/>
        <w:rPr>
          <w:rFonts w:ascii="黑体" w:hAnsi="宋体" w:eastAsia="黑体"/>
          <w:b/>
          <w:color w:val="000000" w:themeColor="text1"/>
          <w:sz w:val="72"/>
          <w:szCs w:val="72"/>
          <w14:textFill>
            <w14:solidFill>
              <w14:schemeClr w14:val="tx1"/>
            </w14:solidFill>
          </w14:textFill>
        </w:rPr>
      </w:pPr>
    </w:p>
    <w:p w14:paraId="43505280">
      <w:pPr>
        <w:spacing w:line="360" w:lineRule="auto"/>
        <w:ind w:firstLine="883" w:firstLineChars="200"/>
        <w:rPr>
          <w:rFonts w:ascii="黑体" w:hAnsi="宋体" w:eastAsia="黑体"/>
          <w:b/>
          <w:color w:val="000000" w:themeColor="text1"/>
          <w:sz w:val="32"/>
          <w:szCs w:val="32"/>
          <w14:textFill>
            <w14:solidFill>
              <w14:schemeClr w14:val="tx1"/>
            </w14:solidFill>
          </w14:textFill>
        </w:rPr>
      </w:pPr>
      <w:r>
        <w:rPr>
          <w:rFonts w:hint="eastAsia" w:ascii="黑体" w:hAnsi="宋体" w:eastAsia="黑体"/>
          <w:b/>
          <w:color w:val="000000" w:themeColor="text1"/>
          <w:sz w:val="44"/>
          <w:szCs w:val="44"/>
          <w14:textFill>
            <w14:solidFill>
              <w14:schemeClr w14:val="tx1"/>
            </w14:solidFill>
          </w14:textFill>
        </w:rPr>
        <w:t>六、“十三五”期间产业发展研究</w:t>
      </w:r>
    </w:p>
    <w:p w14:paraId="2F2AF633">
      <w:pPr>
        <w:spacing w:line="360" w:lineRule="auto"/>
        <w:rPr>
          <w:rFonts w:ascii="宋体" w:hAnsi="宋体"/>
          <w:b/>
          <w:color w:val="000000" w:themeColor="text1"/>
          <w:sz w:val="30"/>
          <w:szCs w:val="30"/>
          <w14:textFill>
            <w14:solidFill>
              <w14:schemeClr w14:val="tx1"/>
            </w14:solidFill>
          </w14:textFill>
        </w:rPr>
      </w:pPr>
      <w:r>
        <w:rPr>
          <w:rFonts w:hint="eastAsia" w:ascii="宋体" w:hAnsi="宋体"/>
          <w:b/>
          <w:color w:val="000000" w:themeColor="text1"/>
          <w:sz w:val="30"/>
          <w:szCs w:val="30"/>
          <w14:textFill>
            <w14:solidFill>
              <w14:schemeClr w14:val="tx1"/>
            </w14:solidFill>
          </w14:textFill>
        </w:rPr>
        <w:t xml:space="preserve">  </w:t>
      </w:r>
    </w:p>
    <w:p w14:paraId="1AE423B5">
      <w:pPr>
        <w:spacing w:line="360" w:lineRule="auto"/>
        <w:ind w:firstLine="61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当各个产业普遍出现产能过剩时，发展战略不足以支持区域持续发展，必须要有清晰的竞争战略，通过竞争战略制定和实施，营造区域竞争优势，而区域最终竞争优势体现在产品、企业、产业三个维度。“十三五”期间三井街道产业目标就是“传统产业高端化、新兴产业规模化、服务业现代化”，由要素型经济向智慧型经济、生产型经济向服务型经济、网点型经济向网络型经济转变。</w:t>
      </w:r>
    </w:p>
    <w:p w14:paraId="68813E4C">
      <w:pPr>
        <w:spacing w:line="360" w:lineRule="auto"/>
        <w:ind w:firstLine="615"/>
        <w:rPr>
          <w:rFonts w:ascii="宋体" w:hAnsi="宋体"/>
          <w:color w:val="000000" w:themeColor="text1"/>
          <w:sz w:val="28"/>
          <w:szCs w:val="28"/>
          <w14:textFill>
            <w14:solidFill>
              <w14:schemeClr w14:val="tx1"/>
            </w14:solidFill>
          </w14:textFill>
        </w:rPr>
      </w:pPr>
    </w:p>
    <w:p w14:paraId="3F504478">
      <w:pPr>
        <w:spacing w:line="360" w:lineRule="auto"/>
        <w:rPr>
          <w:rFonts w:ascii="黑体" w:hAnsi="宋体" w:eastAsia="黑体"/>
          <w:b/>
          <w:color w:val="000000" w:themeColor="text1"/>
          <w:sz w:val="32"/>
          <w:szCs w:val="32"/>
          <w14:textFill>
            <w14:solidFill>
              <w14:schemeClr w14:val="tx1"/>
            </w14:solidFill>
          </w14:textFill>
        </w:rPr>
      </w:pPr>
      <w:r>
        <w:rPr>
          <w:rFonts w:hint="eastAsia" w:ascii="黑体" w:hAnsi="宋体" w:eastAsia="黑体"/>
          <w:b/>
          <w:color w:val="000000" w:themeColor="text1"/>
          <w:sz w:val="32"/>
          <w:szCs w:val="32"/>
          <w14:textFill>
            <w14:solidFill>
              <w14:schemeClr w14:val="tx1"/>
            </w14:solidFill>
          </w14:textFill>
        </w:rPr>
        <w:t>（一）产业发展指导思想与要明确几个关系</w:t>
      </w:r>
    </w:p>
    <w:p w14:paraId="0E516422">
      <w:pPr>
        <w:spacing w:line="360" w:lineRule="auto"/>
        <w:rPr>
          <w:rFonts w:ascii="黑体" w:hAnsi="宋体" w:eastAsia="黑体"/>
          <w:b/>
          <w:color w:val="000000" w:themeColor="text1"/>
          <w:sz w:val="30"/>
          <w:szCs w:val="30"/>
          <w14:textFill>
            <w14:solidFill>
              <w14:schemeClr w14:val="tx1"/>
            </w14:solidFill>
          </w14:textFill>
        </w:rPr>
      </w:pPr>
      <w:r>
        <w:rPr>
          <w:rFonts w:hint="eastAsia" w:ascii="黑体" w:hAnsi="宋体" w:eastAsia="黑体"/>
          <w:b/>
          <w:color w:val="000000" w:themeColor="text1"/>
          <w:sz w:val="30"/>
          <w:szCs w:val="30"/>
          <w14:textFill>
            <w14:solidFill>
              <w14:schemeClr w14:val="tx1"/>
            </w14:solidFill>
          </w14:textFill>
        </w:rPr>
        <w:t>1.产业发展指导思想</w:t>
      </w:r>
    </w:p>
    <w:p w14:paraId="42EE9AB8">
      <w:pPr>
        <w:widowControl/>
        <w:spacing w:line="360" w:lineRule="auto"/>
        <w:ind w:firstLine="560" w:firstLineChars="200"/>
        <w:jc w:val="left"/>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全面深化改革的核心问题</w:t>
      </w:r>
      <w:r>
        <w:rPr>
          <w:rFonts w:hint="eastAsia" w:ascii="宋体" w:hAnsi="宋体"/>
          <w:color w:val="000000" w:themeColor="text1"/>
          <w:sz w:val="28"/>
          <w:szCs w:val="28"/>
          <w14:textFill>
            <w14:solidFill>
              <w14:schemeClr w14:val="tx1"/>
            </w14:solidFill>
          </w14:textFill>
        </w:rPr>
        <w:t>就</w:t>
      </w:r>
      <w:r>
        <w:rPr>
          <w:rFonts w:ascii="宋体" w:hAnsi="宋体"/>
          <w:color w:val="000000" w:themeColor="text1"/>
          <w:sz w:val="28"/>
          <w:szCs w:val="28"/>
          <w14:textFill>
            <w14:solidFill>
              <w14:schemeClr w14:val="tx1"/>
            </w14:solidFill>
          </w14:textFill>
        </w:rPr>
        <w:t>是处理好政府和市场关系，使市场在资源配置中起决定性作用和更好发挥政府作用。</w:t>
      </w:r>
      <w:r>
        <w:rPr>
          <w:rFonts w:hint="eastAsia" w:ascii="宋体" w:hAnsi="宋体"/>
          <w:color w:val="000000" w:themeColor="text1"/>
          <w:sz w:val="28"/>
          <w:szCs w:val="28"/>
          <w14:textFill>
            <w14:solidFill>
              <w14:schemeClr w14:val="tx1"/>
            </w14:solidFill>
          </w14:textFill>
        </w:rPr>
        <w:t>三井街道产业发展方向选择，既要充分发挥市场在资源配置中决定作用，又要更好发挥政府作用。为此，一方面要尊重市场产业选择，另一方面又要通过政府制定负面清单，防范产业发展与环境保护、产业发展与功能定位冲突。</w:t>
      </w:r>
    </w:p>
    <w:p w14:paraId="1B7118D0">
      <w:pPr>
        <w:widowControl/>
        <w:spacing w:line="360" w:lineRule="auto"/>
        <w:ind w:firstLine="560" w:firstLineChars="20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产业选择上，任何产业发展成功，都遵循了“全球化思维、本土化作为”原则，也就是产业发展既要紧跟全球市场需求变化趋势，但同时产业发展必须“接地气”，与本土资源优势、区位优势、市场优势对接。对于确定的主导产业，要以产业链发展为主线，以市场需求为导向，以现有优势产业为基础，以龙头项目为支撑，以对外合作为策略，以优质人才为后盾，以创企业品牌、行业品牌、区域品牌为重点，使其尽快转为支柱产业。</w:t>
      </w:r>
    </w:p>
    <w:p w14:paraId="252700CC">
      <w:pPr>
        <w:widowControl/>
        <w:spacing w:line="360" w:lineRule="auto"/>
        <w:jc w:val="left"/>
        <w:rPr>
          <w:rFonts w:ascii="黑体" w:hAnsi="宋体" w:eastAsia="黑体"/>
          <w:b/>
          <w:color w:val="000000" w:themeColor="text1"/>
          <w:sz w:val="30"/>
          <w:szCs w:val="30"/>
          <w14:textFill>
            <w14:solidFill>
              <w14:schemeClr w14:val="tx1"/>
            </w14:solidFill>
          </w14:textFill>
        </w:rPr>
      </w:pPr>
      <w:r>
        <w:rPr>
          <w:rFonts w:hint="eastAsia" w:ascii="黑体" w:hAnsi="宋体" w:eastAsia="黑体"/>
          <w:b/>
          <w:color w:val="000000" w:themeColor="text1"/>
          <w:sz w:val="30"/>
          <w:szCs w:val="30"/>
          <w14:textFill>
            <w14:solidFill>
              <w14:schemeClr w14:val="tx1"/>
            </w14:solidFill>
          </w14:textFill>
        </w:rPr>
        <w:t>2.要明确几个关系</w:t>
      </w:r>
    </w:p>
    <w:p w14:paraId="2509A1E8">
      <w:pPr>
        <w:spacing w:line="360" w:lineRule="auto"/>
        <w:ind w:right="-57" w:rightChars="-27" w:firstLine="551" w:firstLineChars="196"/>
        <w:rPr>
          <w:rFonts w:ascii="宋体" w:hAnsi="宋体"/>
          <w:b/>
          <w:color w:val="000000" w:themeColor="text1"/>
          <w:sz w:val="28"/>
          <w:szCs w:val="28"/>
          <w14:textFill>
            <w14:solidFill>
              <w14:schemeClr w14:val="tx1"/>
            </w14:solidFill>
          </w14:textFill>
        </w:rPr>
      </w:pPr>
      <w:r>
        <w:rPr>
          <w:rFonts w:hint="eastAsia" w:ascii="黑体" w:hAnsi="宋体" w:eastAsia="黑体"/>
          <w:b/>
          <w:color w:val="000000" w:themeColor="text1"/>
          <w:sz w:val="28"/>
          <w:szCs w:val="28"/>
          <w14:textFill>
            <w14:solidFill>
              <w14:schemeClr w14:val="tx1"/>
            </w14:solidFill>
          </w14:textFill>
        </w:rPr>
        <w:t>区域定位与产业发展。</w:t>
      </w:r>
      <w:r>
        <w:rPr>
          <w:rFonts w:hint="eastAsia" w:ascii="宋体" w:hAnsi="宋体"/>
          <w:color w:val="000000" w:themeColor="text1"/>
          <w:sz w:val="28"/>
          <w:szCs w:val="28"/>
          <w14:textFill>
            <w14:solidFill>
              <w14:schemeClr w14:val="tx1"/>
            </w14:solidFill>
          </w14:textFill>
        </w:rPr>
        <w:t>区域战略定位是指区域发展导向上明确自己与众不同，并让市场或社会能够接受区域发展方向，从而能主动向既定目标或模式发展。三井街道要大力发展先进制造业和现代服务业，应该在经济全球化、工业4.0、长三角经济一体化背景下寻求三井街道发展定位，并以此来选择主导产业。</w:t>
      </w:r>
    </w:p>
    <w:p w14:paraId="54453975">
      <w:pPr>
        <w:spacing w:line="360" w:lineRule="auto"/>
        <w:ind w:right="-57" w:rightChars="-27" w:firstLine="551" w:firstLineChars="196"/>
        <w:rPr>
          <w:rFonts w:ascii="宋体" w:hAnsi="宋体"/>
          <w:b/>
          <w:color w:val="000000" w:themeColor="text1"/>
          <w:sz w:val="28"/>
          <w:szCs w:val="28"/>
          <w14:textFill>
            <w14:solidFill>
              <w14:schemeClr w14:val="tx1"/>
            </w14:solidFill>
          </w14:textFill>
        </w:rPr>
      </w:pPr>
      <w:r>
        <w:rPr>
          <w:rFonts w:hint="eastAsia" w:ascii="黑体" w:hAnsi="宋体" w:eastAsia="黑体"/>
          <w:b/>
          <w:color w:val="000000" w:themeColor="text1"/>
          <w:sz w:val="28"/>
          <w:szCs w:val="28"/>
          <w14:textFill>
            <w14:solidFill>
              <w14:schemeClr w14:val="tx1"/>
            </w14:solidFill>
          </w14:textFill>
        </w:rPr>
        <w:t>资源优势与产业发展。</w:t>
      </w:r>
      <w:r>
        <w:rPr>
          <w:rFonts w:hint="eastAsia" w:ascii="宋体" w:hAnsi="宋体"/>
          <w:color w:val="000000" w:themeColor="text1"/>
          <w:sz w:val="28"/>
          <w:szCs w:val="28"/>
          <w14:textFill>
            <w14:solidFill>
              <w14:schemeClr w14:val="tx1"/>
            </w14:solidFill>
          </w14:textFill>
        </w:rPr>
        <w:t>资源在任何时期总是支撑产业发展的基础。虽然三井街道空间开发资源极其有限，但其先行开发形成了具有常州唯一性和高端性的资源优势，如市级行政中心、文体中心、传媒中心等和具有一定市场竞争力的万达商业广场、环球恐龙城等。由于有些资源可以产业化开发，有些资源暂时还不能产业化开发，这需要对三井街道各种各样优势资源进行梳理，明确开发时序。</w:t>
      </w:r>
    </w:p>
    <w:p w14:paraId="27ADD883">
      <w:pPr>
        <w:spacing w:line="360" w:lineRule="auto"/>
        <w:ind w:right="-57" w:rightChars="-27" w:firstLine="551" w:firstLineChars="196"/>
        <w:rPr>
          <w:rFonts w:ascii="宋体" w:hAnsi="宋体"/>
          <w:bCs/>
          <w:color w:val="000000" w:themeColor="text1"/>
          <w:sz w:val="28"/>
          <w:szCs w:val="28"/>
          <w14:textFill>
            <w14:solidFill>
              <w14:schemeClr w14:val="tx1"/>
            </w14:solidFill>
          </w14:textFill>
        </w:rPr>
      </w:pPr>
      <w:r>
        <w:rPr>
          <w:rFonts w:hint="eastAsia" w:ascii="黑体" w:hAnsi="宋体" w:eastAsia="黑体"/>
          <w:b/>
          <w:color w:val="000000" w:themeColor="text1"/>
          <w:sz w:val="28"/>
          <w:szCs w:val="28"/>
          <w14:textFill>
            <w14:solidFill>
              <w14:schemeClr w14:val="tx1"/>
            </w14:solidFill>
          </w14:textFill>
        </w:rPr>
        <w:t>区位优势与产业发展。</w:t>
      </w:r>
      <w:r>
        <w:rPr>
          <w:rFonts w:hint="eastAsia" w:ascii="宋体" w:hAnsi="宋体"/>
          <w:color w:val="000000" w:themeColor="text1"/>
          <w:sz w:val="28"/>
          <w:szCs w:val="28"/>
          <w14:textFill>
            <w14:solidFill>
              <w14:schemeClr w14:val="tx1"/>
            </w14:solidFill>
          </w14:textFill>
        </w:rPr>
        <w:t>三井街道区位的独特性造就了三井街道产业尤其第三产业发展的多样性。但需要指出的是，三井街道</w:t>
      </w:r>
      <w:r>
        <w:rPr>
          <w:rFonts w:hint="eastAsia" w:ascii="宋体" w:hAnsi="宋体"/>
          <w:bCs/>
          <w:color w:val="000000" w:themeColor="text1"/>
          <w:sz w:val="28"/>
          <w:szCs w:val="28"/>
          <w14:textFill>
            <w14:solidFill>
              <w14:schemeClr w14:val="tx1"/>
            </w14:solidFill>
          </w14:textFill>
        </w:rPr>
        <w:t>选择什么样项目作为大力发展第三产业尤其现代服务业突破口，这需要对三井街道区位优势和各种交通方式进行梳理，从而有选择地开展对外招商和培育发展。从区位优势、发展平台优势、资源优势看，三井街道一方面要与常州市新北区其他工业镇和专业工业园形成产业空间分工格局，另一方面要充分利用常州中心政务区和常州中心商务区的有利条件，引进和培育发展现代商务服务企业，尤其顾问咨询企业、会展广告企业、电子商务企业、电子政务服务企业。</w:t>
      </w:r>
    </w:p>
    <w:p w14:paraId="18033337">
      <w:pPr>
        <w:spacing w:line="360" w:lineRule="auto"/>
        <w:ind w:right="-197" w:rightChars="-94" w:firstLine="551" w:firstLineChars="196"/>
        <w:rPr>
          <w:rFonts w:ascii="宋体" w:hAnsi="宋体"/>
          <w:b/>
          <w:color w:val="000000" w:themeColor="text1"/>
          <w:sz w:val="28"/>
          <w:szCs w:val="28"/>
          <w14:textFill>
            <w14:solidFill>
              <w14:schemeClr w14:val="tx1"/>
            </w14:solidFill>
          </w14:textFill>
        </w:rPr>
      </w:pPr>
      <w:r>
        <w:rPr>
          <w:rFonts w:hint="eastAsia" w:ascii="黑体" w:hAnsi="宋体" w:eastAsia="黑体"/>
          <w:b/>
          <w:color w:val="000000" w:themeColor="text1"/>
          <w:sz w:val="28"/>
          <w:szCs w:val="28"/>
          <w14:textFill>
            <w14:solidFill>
              <w14:schemeClr w14:val="tx1"/>
            </w14:solidFill>
          </w14:textFill>
        </w:rPr>
        <w:t>现代制造业与现代服务业。</w:t>
      </w:r>
      <w:r>
        <w:rPr>
          <w:rFonts w:hint="eastAsia" w:ascii="宋体" w:hAnsi="宋体" w:cs="Arial"/>
          <w:color w:val="000000" w:themeColor="text1"/>
          <w:sz w:val="28"/>
          <w:szCs w:val="28"/>
          <w14:textFill>
            <w14:solidFill>
              <w14:schemeClr w14:val="tx1"/>
            </w14:solidFill>
          </w14:textFill>
        </w:rPr>
        <w:t>进入21世纪以来，新一轮技术革命催生而成工业4.0已经走来，</w:t>
      </w:r>
      <w:r>
        <w:rPr>
          <w:rFonts w:ascii="宋体" w:hAnsi="宋体" w:cs="宋体"/>
          <w:color w:val="000000" w:themeColor="text1"/>
          <w:kern w:val="0"/>
          <w:sz w:val="28"/>
          <w:szCs w:val="28"/>
          <w14:textFill>
            <w14:solidFill>
              <w14:schemeClr w14:val="tx1"/>
            </w14:solidFill>
          </w14:textFill>
        </w:rPr>
        <w:t>生产型制造向服务型制造转变</w:t>
      </w:r>
      <w:r>
        <w:rPr>
          <w:rFonts w:hint="eastAsia" w:ascii="宋体" w:hAnsi="宋体" w:cs="宋体"/>
          <w:color w:val="000000" w:themeColor="text1"/>
          <w:kern w:val="0"/>
          <w:sz w:val="28"/>
          <w:szCs w:val="28"/>
          <w14:textFill>
            <w14:solidFill>
              <w14:schemeClr w14:val="tx1"/>
            </w14:solidFill>
          </w14:textFill>
        </w:rPr>
        <w:t>已成为制造业发展主要趋势。</w:t>
      </w:r>
      <w:r>
        <w:rPr>
          <w:rFonts w:hint="eastAsia" w:ascii="宋体" w:hAnsi="宋体" w:cs="Arial"/>
          <w:color w:val="000000" w:themeColor="text1"/>
          <w:sz w:val="28"/>
          <w:szCs w:val="28"/>
          <w14:textFill>
            <w14:solidFill>
              <w14:schemeClr w14:val="tx1"/>
            </w14:solidFill>
          </w14:textFill>
        </w:rPr>
        <w:t>不久的将来，长三角必将由世界的生产制造基地变为世界的创造基地和服务基地，由此，服务经济将成为长三角城市群继生产制造业后又一竞争重点。得市场者得天下，发展现代服务经济将成为三井街道创新发展模式的一个重要方面。</w:t>
      </w:r>
      <w:r>
        <w:rPr>
          <w:rFonts w:hint="eastAsia" w:ascii="宋体" w:hAnsi="宋体"/>
          <w:color w:val="000000" w:themeColor="text1"/>
          <w:sz w:val="28"/>
          <w:szCs w:val="28"/>
          <w14:textFill>
            <w14:solidFill>
              <w14:schemeClr w14:val="tx1"/>
            </w14:solidFill>
          </w14:textFill>
        </w:rPr>
        <w:t>在现代服务业发展方面，未来三井街道应在现有生产制造业基础上发展生产性服务业；同时，提升消费服务业、民生服务业档次和内容，促进整个第三产业向更高阶段发展。</w:t>
      </w:r>
    </w:p>
    <w:p w14:paraId="4911B66B">
      <w:pPr>
        <w:spacing w:line="360" w:lineRule="auto"/>
        <w:ind w:right="-57" w:rightChars="-27" w:firstLine="551" w:firstLineChars="196"/>
        <w:rPr>
          <w:rFonts w:ascii="宋体" w:hAnsi="宋体"/>
          <w:b/>
          <w:color w:val="000000" w:themeColor="text1"/>
          <w:sz w:val="28"/>
          <w:szCs w:val="28"/>
          <w14:textFill>
            <w14:solidFill>
              <w14:schemeClr w14:val="tx1"/>
            </w14:solidFill>
          </w14:textFill>
        </w:rPr>
      </w:pPr>
      <w:r>
        <w:rPr>
          <w:rFonts w:hint="eastAsia" w:ascii="黑体" w:hAnsi="宋体" w:eastAsia="黑体"/>
          <w:b/>
          <w:color w:val="000000" w:themeColor="text1"/>
          <w:sz w:val="28"/>
          <w:szCs w:val="28"/>
          <w14:textFill>
            <w14:solidFill>
              <w14:schemeClr w14:val="tx1"/>
            </w14:solidFill>
          </w14:textFill>
        </w:rPr>
        <w:t>外来经济与本土经济。</w:t>
      </w:r>
      <w:r>
        <w:rPr>
          <w:rFonts w:hint="eastAsia" w:ascii="宋体" w:hAnsi="宋体"/>
          <w:color w:val="000000" w:themeColor="text1"/>
          <w:sz w:val="28"/>
          <w:szCs w:val="28"/>
          <w14:textFill>
            <w14:solidFill>
              <w14:schemeClr w14:val="tx1"/>
            </w14:solidFill>
          </w14:textFill>
        </w:rPr>
        <w:t>一般而言，一个区域经济发展最理想的模式应是“外来经济本土化、本土经济外向化”。三井街道在发展第二产业、第三产业过程中最应要做的是如何把外来经济与本土经济有机融合，做到真正的“外来经济本土化、本土经济外向化”。</w:t>
      </w:r>
    </w:p>
    <w:p w14:paraId="79580357">
      <w:pPr>
        <w:spacing w:line="360" w:lineRule="auto"/>
        <w:rPr>
          <w:rFonts w:ascii="黑体" w:hAnsi="宋体" w:eastAsia="黑体"/>
          <w:b/>
          <w:color w:val="000000" w:themeColor="text1"/>
          <w:sz w:val="32"/>
          <w:szCs w:val="32"/>
          <w14:textFill>
            <w14:solidFill>
              <w14:schemeClr w14:val="tx1"/>
            </w14:solidFill>
          </w14:textFill>
        </w:rPr>
      </w:pPr>
    </w:p>
    <w:p w14:paraId="2C747DF1">
      <w:pPr>
        <w:spacing w:line="360" w:lineRule="auto"/>
        <w:rPr>
          <w:rFonts w:ascii="黑体" w:hAnsi="宋体" w:eastAsia="黑体"/>
          <w:b/>
          <w:color w:val="000000" w:themeColor="text1"/>
          <w:sz w:val="32"/>
          <w:szCs w:val="32"/>
          <w14:textFill>
            <w14:solidFill>
              <w14:schemeClr w14:val="tx1"/>
            </w14:solidFill>
          </w14:textFill>
        </w:rPr>
      </w:pPr>
      <w:r>
        <w:rPr>
          <w:rFonts w:hint="eastAsia" w:ascii="黑体" w:hAnsi="宋体" w:eastAsia="黑体"/>
          <w:b/>
          <w:color w:val="000000" w:themeColor="text1"/>
          <w:sz w:val="32"/>
          <w:szCs w:val="32"/>
          <w14:textFill>
            <w14:solidFill>
              <w14:schemeClr w14:val="tx1"/>
            </w14:solidFill>
          </w14:textFill>
        </w:rPr>
        <w:t>（二）产业发展现状及存在问题</w:t>
      </w:r>
    </w:p>
    <w:p w14:paraId="624D63A7">
      <w:pPr>
        <w:spacing w:line="360" w:lineRule="auto"/>
        <w:ind w:firstLine="615"/>
        <w:rPr>
          <w:rFonts w:ascii="宋体" w:hAnsi="宋体"/>
          <w:color w:val="000000" w:themeColor="text1"/>
          <w:sz w:val="28"/>
          <w:szCs w:val="28"/>
          <w14:textFill>
            <w14:solidFill>
              <w14:schemeClr w14:val="tx1"/>
            </w14:solidFill>
          </w14:textFill>
        </w:rPr>
      </w:pPr>
      <w:r>
        <w:rPr>
          <w:rFonts w:hint="eastAsia" w:asciiTheme="minorEastAsia" w:hAnsiTheme="minorEastAsia" w:eastAsiaTheme="minorEastAsia"/>
          <w:color w:val="000000" w:themeColor="text1"/>
          <w:sz w:val="28"/>
          <w:szCs w:val="28"/>
          <w14:textFill>
            <w14:solidFill>
              <w14:schemeClr w14:val="tx1"/>
            </w14:solidFill>
          </w14:textFill>
        </w:rPr>
        <w:t>三井街道作为常州市1992年后重点推进的城市化区域，已成为常州中心城区重要组成部分。在产业发展方面，2014年三井街道第三产业增加值超过了第二产业增加值，第二产业、第三产业在地区生产总值构成中分别为48.4%、51.6%，但在税收结构中仍以工业为主导。2014年</w:t>
      </w:r>
      <w:r>
        <w:rPr>
          <w:rFonts w:hint="eastAsia" w:ascii="宋体" w:hAnsi="宋体"/>
          <w:color w:val="000000" w:themeColor="text1"/>
          <w:sz w:val="28"/>
          <w:szCs w:val="28"/>
          <w14:textFill>
            <w14:solidFill>
              <w14:schemeClr w14:val="tx1"/>
            </w14:solidFill>
          </w14:textFill>
        </w:rPr>
        <w:t>三井街道36家税收超1000万元企业，工业企业29家，所占比重达到了80.5%；</w:t>
      </w:r>
      <w:r>
        <w:rPr>
          <w:rFonts w:hint="eastAsia" w:asciiTheme="minorEastAsia" w:hAnsiTheme="minorEastAsia" w:eastAsiaTheme="minorEastAsia"/>
          <w:color w:val="000000" w:themeColor="text1"/>
          <w:sz w:val="28"/>
          <w:szCs w:val="28"/>
          <w14:textFill>
            <w14:solidFill>
              <w14:schemeClr w14:val="tx1"/>
            </w14:solidFill>
          </w14:textFill>
        </w:rPr>
        <w:t>在2015年1-9月三井街道一般公共预算税收结构中，工业所占比重为49.83%，服务业所占比重37.63%。</w:t>
      </w:r>
    </w:p>
    <w:p w14:paraId="569A3569">
      <w:pPr>
        <w:spacing w:line="480" w:lineRule="auto"/>
        <w:ind w:firstLine="1205" w:firstLineChars="500"/>
        <w:rPr>
          <w:rFonts w:ascii="黑体" w:eastAsia="黑体" w:hAnsiTheme="minorEastAsia"/>
          <w:b/>
          <w:color w:val="000000" w:themeColor="text1"/>
          <w:sz w:val="24"/>
          <w14:textFill>
            <w14:solidFill>
              <w14:schemeClr w14:val="tx1"/>
            </w14:solidFill>
          </w14:textFill>
        </w:rPr>
      </w:pPr>
      <w:r>
        <w:rPr>
          <w:rFonts w:hint="eastAsia" w:ascii="黑体" w:eastAsia="黑体" w:hAnsiTheme="minorEastAsia"/>
          <w:b/>
          <w:color w:val="000000" w:themeColor="text1"/>
          <w:sz w:val="24"/>
          <w14:textFill>
            <w14:solidFill>
              <w14:schemeClr w14:val="tx1"/>
            </w14:solidFill>
          </w14:textFill>
        </w:rPr>
        <w:t>表8：2015年1-9月三井街道一般公共预算税收结构</w:t>
      </w:r>
    </w:p>
    <w:tbl>
      <w:tblPr>
        <w:tblStyle w:val="1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26"/>
        <w:gridCol w:w="2268"/>
        <w:gridCol w:w="2597"/>
        <w:gridCol w:w="2131"/>
      </w:tblGrid>
      <w:tr w14:paraId="0A7CB1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94" w:type="dxa"/>
            <w:gridSpan w:val="2"/>
          </w:tcPr>
          <w:p w14:paraId="3836F229">
            <w:pPr>
              <w:spacing w:line="0" w:lineRule="atLeast"/>
              <w:ind w:firstLine="953" w:firstLineChars="454"/>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产    业</w:t>
            </w:r>
          </w:p>
        </w:tc>
        <w:tc>
          <w:tcPr>
            <w:tcW w:w="4728" w:type="dxa"/>
            <w:gridSpan w:val="2"/>
          </w:tcPr>
          <w:p w14:paraId="728283FC">
            <w:pPr>
              <w:spacing w:line="0" w:lineRule="atLeast"/>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 xml:space="preserve">           比重（%）</w:t>
            </w:r>
          </w:p>
        </w:tc>
      </w:tr>
      <w:tr w14:paraId="4C2FA7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6" w:type="dxa"/>
            <w:vMerge w:val="restart"/>
          </w:tcPr>
          <w:p w14:paraId="56A9BD0B">
            <w:pPr>
              <w:spacing w:line="0" w:lineRule="atLeast"/>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第二产业</w:t>
            </w:r>
          </w:p>
        </w:tc>
        <w:tc>
          <w:tcPr>
            <w:tcW w:w="2268" w:type="dxa"/>
          </w:tcPr>
          <w:p w14:paraId="3447C1B3">
            <w:pPr>
              <w:spacing w:line="0" w:lineRule="atLeast"/>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工业</w:t>
            </w:r>
          </w:p>
        </w:tc>
        <w:tc>
          <w:tcPr>
            <w:tcW w:w="2597" w:type="dxa"/>
          </w:tcPr>
          <w:p w14:paraId="070FECF7">
            <w:pPr>
              <w:spacing w:line="0" w:lineRule="atLeast"/>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49.83</w:t>
            </w:r>
          </w:p>
        </w:tc>
        <w:tc>
          <w:tcPr>
            <w:tcW w:w="2131" w:type="dxa"/>
            <w:vMerge w:val="restart"/>
          </w:tcPr>
          <w:p w14:paraId="2F3FBFF8">
            <w:pPr>
              <w:spacing w:line="0" w:lineRule="atLeast"/>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62.37</w:t>
            </w:r>
          </w:p>
        </w:tc>
      </w:tr>
      <w:tr w14:paraId="2B1CBC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6" w:type="dxa"/>
            <w:vMerge w:val="continue"/>
          </w:tcPr>
          <w:p w14:paraId="330059A7">
            <w:pPr>
              <w:spacing w:line="0" w:lineRule="atLeast"/>
              <w:rPr>
                <w:rFonts w:asciiTheme="minorEastAsia" w:hAnsiTheme="minorEastAsia" w:eastAsiaTheme="minorEastAsia"/>
                <w:color w:val="000000" w:themeColor="text1"/>
                <w:szCs w:val="21"/>
                <w14:textFill>
                  <w14:solidFill>
                    <w14:schemeClr w14:val="tx1"/>
                  </w14:solidFill>
                </w14:textFill>
              </w:rPr>
            </w:pPr>
          </w:p>
        </w:tc>
        <w:tc>
          <w:tcPr>
            <w:tcW w:w="2268" w:type="dxa"/>
          </w:tcPr>
          <w:p w14:paraId="163EADEE">
            <w:pPr>
              <w:spacing w:line="0" w:lineRule="atLeast"/>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建筑业</w:t>
            </w:r>
          </w:p>
        </w:tc>
        <w:tc>
          <w:tcPr>
            <w:tcW w:w="2597" w:type="dxa"/>
          </w:tcPr>
          <w:p w14:paraId="0DD02F1E">
            <w:pPr>
              <w:spacing w:line="0" w:lineRule="atLeast"/>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12.54</w:t>
            </w:r>
          </w:p>
        </w:tc>
        <w:tc>
          <w:tcPr>
            <w:tcW w:w="2131" w:type="dxa"/>
            <w:vMerge w:val="continue"/>
          </w:tcPr>
          <w:p w14:paraId="3649EFBE">
            <w:pPr>
              <w:spacing w:line="0" w:lineRule="atLeast"/>
              <w:rPr>
                <w:rFonts w:asciiTheme="minorEastAsia" w:hAnsiTheme="minorEastAsia" w:eastAsiaTheme="minorEastAsia"/>
                <w:color w:val="000000" w:themeColor="text1"/>
                <w:szCs w:val="21"/>
                <w14:textFill>
                  <w14:solidFill>
                    <w14:schemeClr w14:val="tx1"/>
                  </w14:solidFill>
                </w14:textFill>
              </w:rPr>
            </w:pPr>
          </w:p>
        </w:tc>
      </w:tr>
      <w:tr w14:paraId="10CD86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6" w:type="dxa"/>
            <w:vMerge w:val="restart"/>
          </w:tcPr>
          <w:p w14:paraId="5A8A3B8D">
            <w:pPr>
              <w:spacing w:line="0" w:lineRule="atLeast"/>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第三产业</w:t>
            </w:r>
          </w:p>
        </w:tc>
        <w:tc>
          <w:tcPr>
            <w:tcW w:w="2268" w:type="dxa"/>
          </w:tcPr>
          <w:p w14:paraId="5E8E2731">
            <w:pPr>
              <w:spacing w:line="0" w:lineRule="atLeast"/>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房地产业</w:t>
            </w:r>
          </w:p>
        </w:tc>
        <w:tc>
          <w:tcPr>
            <w:tcW w:w="2597" w:type="dxa"/>
          </w:tcPr>
          <w:p w14:paraId="3BFCF7EC">
            <w:pPr>
              <w:spacing w:line="0" w:lineRule="atLeast"/>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11.7</w:t>
            </w:r>
          </w:p>
        </w:tc>
        <w:tc>
          <w:tcPr>
            <w:tcW w:w="2131" w:type="dxa"/>
            <w:vMerge w:val="restart"/>
          </w:tcPr>
          <w:p w14:paraId="0F854114">
            <w:pPr>
              <w:spacing w:line="0" w:lineRule="atLeast"/>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37.63</w:t>
            </w:r>
          </w:p>
        </w:tc>
      </w:tr>
      <w:tr w14:paraId="3814B3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6" w:type="dxa"/>
            <w:vMerge w:val="continue"/>
          </w:tcPr>
          <w:p w14:paraId="6131A78E">
            <w:pPr>
              <w:spacing w:line="0" w:lineRule="atLeast"/>
              <w:rPr>
                <w:rFonts w:asciiTheme="minorEastAsia" w:hAnsiTheme="minorEastAsia" w:eastAsiaTheme="minorEastAsia"/>
                <w:color w:val="000000" w:themeColor="text1"/>
                <w:szCs w:val="21"/>
                <w14:textFill>
                  <w14:solidFill>
                    <w14:schemeClr w14:val="tx1"/>
                  </w14:solidFill>
                </w14:textFill>
              </w:rPr>
            </w:pPr>
          </w:p>
        </w:tc>
        <w:tc>
          <w:tcPr>
            <w:tcW w:w="2268" w:type="dxa"/>
          </w:tcPr>
          <w:p w14:paraId="5637A716">
            <w:pPr>
              <w:spacing w:line="0" w:lineRule="atLeast"/>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其他第三产业</w:t>
            </w:r>
          </w:p>
        </w:tc>
        <w:tc>
          <w:tcPr>
            <w:tcW w:w="2597" w:type="dxa"/>
          </w:tcPr>
          <w:p w14:paraId="42C5B6BF">
            <w:pPr>
              <w:spacing w:line="0" w:lineRule="atLeast"/>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25.93</w:t>
            </w:r>
          </w:p>
        </w:tc>
        <w:tc>
          <w:tcPr>
            <w:tcW w:w="2131" w:type="dxa"/>
            <w:vMerge w:val="continue"/>
          </w:tcPr>
          <w:p w14:paraId="39088EC7">
            <w:pPr>
              <w:spacing w:line="0" w:lineRule="atLeast"/>
              <w:rPr>
                <w:rFonts w:asciiTheme="minorEastAsia" w:hAnsiTheme="minorEastAsia" w:eastAsiaTheme="minorEastAsia"/>
                <w:color w:val="000000" w:themeColor="text1"/>
                <w:szCs w:val="21"/>
                <w14:textFill>
                  <w14:solidFill>
                    <w14:schemeClr w14:val="tx1"/>
                  </w14:solidFill>
                </w14:textFill>
              </w:rPr>
            </w:pPr>
          </w:p>
        </w:tc>
      </w:tr>
    </w:tbl>
    <w:p w14:paraId="1A6626B1">
      <w:pPr>
        <w:spacing w:line="360" w:lineRule="auto"/>
        <w:rPr>
          <w:rFonts w:ascii="宋体" w:hAnsi="宋体"/>
          <w:color w:val="000000" w:themeColor="text1"/>
          <w:sz w:val="28"/>
          <w:szCs w:val="28"/>
          <w14:textFill>
            <w14:solidFill>
              <w14:schemeClr w14:val="tx1"/>
            </w14:solidFill>
          </w14:textFill>
        </w:rPr>
      </w:pPr>
    </w:p>
    <w:p w14:paraId="670E40CF">
      <w:pPr>
        <w:spacing w:line="360" w:lineRule="auto"/>
        <w:rPr>
          <w:rFonts w:ascii="黑体" w:hAnsi="宋体" w:eastAsia="黑体"/>
          <w:b/>
          <w:color w:val="000000" w:themeColor="text1"/>
          <w:sz w:val="30"/>
          <w:szCs w:val="30"/>
          <w14:textFill>
            <w14:solidFill>
              <w14:schemeClr w14:val="tx1"/>
            </w14:solidFill>
          </w14:textFill>
        </w:rPr>
      </w:pPr>
      <w:r>
        <w:rPr>
          <w:rFonts w:hint="eastAsia" w:ascii="黑体" w:hAnsi="宋体" w:eastAsia="黑体"/>
          <w:b/>
          <w:color w:val="000000" w:themeColor="text1"/>
          <w:sz w:val="30"/>
          <w:szCs w:val="30"/>
          <w14:textFill>
            <w14:solidFill>
              <w14:schemeClr w14:val="tx1"/>
            </w14:solidFill>
          </w14:textFill>
        </w:rPr>
        <w:t>1.第二产业发展现状</w:t>
      </w:r>
    </w:p>
    <w:p w14:paraId="2B466FAA">
      <w:pPr>
        <w:ind w:firstLine="548" w:firstLineChars="196"/>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第二产业包括工业和建筑业，三井街道第二产业主要为工业。三井街道工业行业多，规模以上工业企业分布在19个行业，其中，</w:t>
      </w:r>
      <w:r>
        <w:rPr>
          <w:rFonts w:hint="eastAsia" w:ascii="宋体" w:hAnsi="宋体" w:cs="宋体"/>
          <w:color w:val="000000" w:themeColor="text1"/>
          <w:kern w:val="0"/>
          <w:sz w:val="28"/>
          <w:szCs w:val="28"/>
          <w14:textFill>
            <w14:solidFill>
              <w14:schemeClr w14:val="tx1"/>
            </w14:solidFill>
          </w14:textFill>
        </w:rPr>
        <w:t>2014年销售收入超1亿元工业行业有纺织、化学原料和化学制品制造、医药、橡胶和塑料制品、非金属矿物制品、有色金属冶炼和压延加工、金属制品、通用设备制造、专用设备制造、汽车制造、运输设备制造、电气机械和器材制造、通信电子、仪器仪表制造等；</w:t>
      </w:r>
      <w:r>
        <w:rPr>
          <w:rFonts w:hint="eastAsia" w:ascii="宋体" w:hAnsi="宋体"/>
          <w:color w:val="000000" w:themeColor="text1"/>
          <w:sz w:val="28"/>
          <w:szCs w:val="28"/>
          <w14:textFill>
            <w14:solidFill>
              <w14:schemeClr w14:val="tx1"/>
            </w14:solidFill>
          </w14:textFill>
        </w:rPr>
        <w:t>从</w:t>
      </w:r>
      <w:r>
        <w:rPr>
          <w:rFonts w:hint="eastAsia" w:ascii="宋体" w:hAnsi="宋体"/>
          <w:bCs/>
          <w:color w:val="000000" w:themeColor="text1"/>
          <w:sz w:val="28"/>
          <w:szCs w:val="28"/>
          <w14:textFill>
            <w14:solidFill>
              <w14:schemeClr w14:val="tx1"/>
            </w14:solidFill>
          </w14:textFill>
        </w:rPr>
        <w:t>规模以上工业企业</w:t>
      </w:r>
      <w:r>
        <w:rPr>
          <w:rFonts w:hint="eastAsia" w:ascii="宋体" w:hAnsi="宋体"/>
          <w:color w:val="000000" w:themeColor="text1"/>
          <w:sz w:val="28"/>
          <w:szCs w:val="28"/>
          <w14:textFill>
            <w14:solidFill>
              <w14:schemeClr w14:val="tx1"/>
            </w14:solidFill>
          </w14:textFill>
        </w:rPr>
        <w:t>类型看，2014年共有43家工业企业销售收入超1亿元，其中4家企业（梅特勒-托利多、莱尼、立达、星宇）销售收入超10亿元。</w:t>
      </w:r>
    </w:p>
    <w:p w14:paraId="3ABD5362">
      <w:pPr>
        <w:rPr>
          <w:rFonts w:ascii="仿宋_GB2312" w:hAnsi="宋体" w:eastAsia="仿宋_GB2312"/>
          <w:b/>
          <w:color w:val="000000" w:themeColor="text1"/>
          <w:sz w:val="32"/>
          <w:szCs w:val="32"/>
          <w14:textFill>
            <w14:solidFill>
              <w14:schemeClr w14:val="tx1"/>
            </w14:solidFill>
          </w14:textFill>
        </w:rPr>
      </w:pPr>
      <w:r>
        <w:rPr>
          <w:rFonts w:ascii="仿宋_GB2312" w:hAnsi="宋体" w:eastAsia="仿宋_GB2312"/>
          <w:b/>
          <w:color w:val="000000" w:themeColor="text1"/>
          <w:sz w:val="32"/>
          <w:szCs w:val="32"/>
          <w14:textFill>
            <w14:solidFill>
              <w14:schemeClr w14:val="tx1"/>
            </w14:solidFill>
          </w14:textFill>
        </w:rPr>
        <w:drawing>
          <wp:inline distT="0" distB="0" distL="0" distR="0">
            <wp:extent cx="5276850" cy="1885950"/>
            <wp:effectExtent l="19050" t="19050" r="19050" b="19050"/>
            <wp:docPr id="13" name="图表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表 3"/>
                    <pic:cNvPicPr>
                      <a:picLocks noChangeAspect="1" noChangeArrowheads="1"/>
                    </pic:cNvPicPr>
                  </pic:nvPicPr>
                  <pic:blipFill>
                    <a:blip r:embed="rId30" cstate="print"/>
                    <a:srcRect b="-37"/>
                    <a:stretch>
                      <a:fillRect/>
                    </a:stretch>
                  </pic:blipFill>
                  <pic:spPr>
                    <a:xfrm>
                      <a:off x="0" y="0"/>
                      <a:ext cx="5276850" cy="1885950"/>
                    </a:xfrm>
                    <a:prstGeom prst="rect">
                      <a:avLst/>
                    </a:prstGeom>
                    <a:noFill/>
                    <a:ln w="6350" cmpd="sng">
                      <a:solidFill>
                        <a:srgbClr val="000000"/>
                      </a:solidFill>
                      <a:miter lim="800000"/>
                      <a:headEnd/>
                      <a:tailEnd/>
                    </a:ln>
                    <a:effectLst/>
                  </pic:spPr>
                </pic:pic>
              </a:graphicData>
            </a:graphic>
          </wp:inline>
        </w:drawing>
      </w:r>
    </w:p>
    <w:p w14:paraId="06C9F48B">
      <w:pPr>
        <w:rPr>
          <w:rFonts w:ascii="黑体" w:hAnsi="宋体" w:eastAsia="黑体"/>
          <w:b/>
          <w:color w:val="000000" w:themeColor="text1"/>
          <w:sz w:val="24"/>
          <w14:textFill>
            <w14:solidFill>
              <w14:schemeClr w14:val="tx1"/>
            </w14:solidFill>
          </w14:textFill>
        </w:rPr>
      </w:pPr>
      <w:r>
        <w:rPr>
          <w:rFonts w:hint="eastAsia" w:ascii="仿宋_GB2312" w:hAnsi="宋体" w:eastAsia="仿宋_GB2312"/>
          <w:b/>
          <w:color w:val="000000" w:themeColor="text1"/>
          <w:sz w:val="32"/>
          <w:szCs w:val="32"/>
          <w14:textFill>
            <w14:solidFill>
              <w14:schemeClr w14:val="tx1"/>
            </w14:solidFill>
          </w14:textFill>
        </w:rPr>
        <w:t xml:space="preserve">        </w:t>
      </w:r>
      <w:r>
        <w:rPr>
          <w:rFonts w:hint="eastAsia" w:ascii="黑体" w:hAnsi="宋体" w:eastAsia="黑体"/>
          <w:b/>
          <w:color w:val="000000" w:themeColor="text1"/>
          <w:sz w:val="32"/>
          <w:szCs w:val="32"/>
          <w14:textFill>
            <w14:solidFill>
              <w14:schemeClr w14:val="tx1"/>
            </w14:solidFill>
          </w14:textFill>
        </w:rPr>
        <w:t xml:space="preserve">  </w:t>
      </w:r>
      <w:r>
        <w:rPr>
          <w:rFonts w:hint="eastAsia" w:ascii="黑体" w:hAnsi="宋体" w:eastAsia="黑体"/>
          <w:b/>
          <w:color w:val="000000" w:themeColor="text1"/>
          <w:sz w:val="24"/>
          <w14:textFill>
            <w14:solidFill>
              <w14:schemeClr w14:val="tx1"/>
            </w14:solidFill>
          </w14:textFill>
        </w:rPr>
        <w:t>图4：2014年三井街道销售收入超1亿元工业行业</w:t>
      </w:r>
    </w:p>
    <w:p w14:paraId="4ACFE620">
      <w:pPr>
        <w:rPr>
          <w:rFonts w:ascii="黑体" w:hAnsi="宋体" w:eastAsia="黑体"/>
          <w:b/>
          <w:color w:val="000000" w:themeColor="text1"/>
          <w:sz w:val="24"/>
          <w14:textFill>
            <w14:solidFill>
              <w14:schemeClr w14:val="tx1"/>
            </w14:solidFill>
          </w14:textFill>
        </w:rPr>
      </w:pPr>
    </w:p>
    <w:p w14:paraId="6AD70FF2">
      <w:pPr>
        <w:ind w:firstLine="1667" w:firstLineChars="692"/>
        <w:rPr>
          <w:rFonts w:ascii="黑体" w:hAnsi="宋体" w:eastAsia="黑体"/>
          <w:b/>
          <w:color w:val="000000" w:themeColor="text1"/>
          <w:sz w:val="24"/>
          <w14:textFill>
            <w14:solidFill>
              <w14:schemeClr w14:val="tx1"/>
            </w14:solidFill>
          </w14:textFill>
        </w:rPr>
      </w:pPr>
      <w:r>
        <w:rPr>
          <w:rFonts w:hint="eastAsia" w:ascii="黑体" w:hAnsi="宋体" w:eastAsia="黑体"/>
          <w:b/>
          <w:color w:val="000000" w:themeColor="text1"/>
          <w:sz w:val="24"/>
          <w14:textFill>
            <w14:solidFill>
              <w14:schemeClr w14:val="tx1"/>
            </w14:solidFill>
          </w14:textFill>
        </w:rPr>
        <w:t>表9：2014年三井街道规模以上工业企业情况</w:t>
      </w:r>
    </w:p>
    <w:tbl>
      <w:tblPr>
        <w:tblStyle w:val="10"/>
        <w:tblW w:w="847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26"/>
        <w:gridCol w:w="1524"/>
        <w:gridCol w:w="1736"/>
        <w:gridCol w:w="1985"/>
        <w:gridCol w:w="1701"/>
      </w:tblGrid>
      <w:tr w14:paraId="779F01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6" w:type="dxa"/>
          </w:tcPr>
          <w:p w14:paraId="4B3E0013">
            <w:pPr>
              <w:spacing w:line="0" w:lineRule="atLeas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类型</w:t>
            </w:r>
          </w:p>
        </w:tc>
        <w:tc>
          <w:tcPr>
            <w:tcW w:w="1524" w:type="dxa"/>
          </w:tcPr>
          <w:p w14:paraId="4A437189">
            <w:pPr>
              <w:spacing w:line="0" w:lineRule="atLeas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企业数量（家）</w:t>
            </w:r>
          </w:p>
        </w:tc>
        <w:tc>
          <w:tcPr>
            <w:tcW w:w="1736" w:type="dxa"/>
          </w:tcPr>
          <w:p w14:paraId="56C234EB">
            <w:pPr>
              <w:spacing w:line="0" w:lineRule="atLeas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销售收入（亿元）</w:t>
            </w:r>
          </w:p>
        </w:tc>
        <w:tc>
          <w:tcPr>
            <w:tcW w:w="1985" w:type="dxa"/>
          </w:tcPr>
          <w:p w14:paraId="4878A669">
            <w:pPr>
              <w:spacing w:line="0" w:lineRule="atLeas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利税（亿元）</w:t>
            </w:r>
          </w:p>
        </w:tc>
        <w:tc>
          <w:tcPr>
            <w:tcW w:w="1701" w:type="dxa"/>
          </w:tcPr>
          <w:p w14:paraId="3C2C6E94">
            <w:pPr>
              <w:spacing w:line="0" w:lineRule="atLeas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利润（亿元）</w:t>
            </w:r>
          </w:p>
        </w:tc>
      </w:tr>
      <w:tr w14:paraId="0E9A7C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6" w:type="dxa"/>
          </w:tcPr>
          <w:p w14:paraId="34D37331">
            <w:pPr>
              <w:spacing w:line="0" w:lineRule="atLeas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境外投资企业</w:t>
            </w:r>
          </w:p>
        </w:tc>
        <w:tc>
          <w:tcPr>
            <w:tcW w:w="1524" w:type="dxa"/>
          </w:tcPr>
          <w:p w14:paraId="2F974C74">
            <w:pPr>
              <w:spacing w:line="0" w:lineRule="atLeas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46</w:t>
            </w:r>
          </w:p>
        </w:tc>
        <w:tc>
          <w:tcPr>
            <w:tcW w:w="1736" w:type="dxa"/>
          </w:tcPr>
          <w:p w14:paraId="173E32CB">
            <w:pPr>
              <w:spacing w:line="0" w:lineRule="atLeas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118.5</w:t>
            </w:r>
          </w:p>
        </w:tc>
        <w:tc>
          <w:tcPr>
            <w:tcW w:w="1985" w:type="dxa"/>
          </w:tcPr>
          <w:p w14:paraId="71A742D1">
            <w:pPr>
              <w:spacing w:line="0" w:lineRule="atLeas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13.8</w:t>
            </w:r>
          </w:p>
        </w:tc>
        <w:tc>
          <w:tcPr>
            <w:tcW w:w="1701" w:type="dxa"/>
          </w:tcPr>
          <w:p w14:paraId="38892BA2">
            <w:pPr>
              <w:spacing w:line="0" w:lineRule="atLeas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9.3</w:t>
            </w:r>
          </w:p>
        </w:tc>
      </w:tr>
      <w:tr w14:paraId="1908BC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6" w:type="dxa"/>
          </w:tcPr>
          <w:p w14:paraId="2527DADE">
            <w:pPr>
              <w:spacing w:line="0" w:lineRule="atLeas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境内投资企业</w:t>
            </w:r>
          </w:p>
        </w:tc>
        <w:tc>
          <w:tcPr>
            <w:tcW w:w="1524" w:type="dxa"/>
          </w:tcPr>
          <w:p w14:paraId="6D1928E0">
            <w:pPr>
              <w:spacing w:line="0" w:lineRule="atLeas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65</w:t>
            </w:r>
          </w:p>
        </w:tc>
        <w:tc>
          <w:tcPr>
            <w:tcW w:w="1736" w:type="dxa"/>
          </w:tcPr>
          <w:p w14:paraId="304FAEE1">
            <w:pPr>
              <w:spacing w:line="0" w:lineRule="atLeas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76.2</w:t>
            </w:r>
          </w:p>
        </w:tc>
        <w:tc>
          <w:tcPr>
            <w:tcW w:w="1985" w:type="dxa"/>
          </w:tcPr>
          <w:p w14:paraId="3705CE82">
            <w:pPr>
              <w:spacing w:line="0" w:lineRule="atLeas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10.6</w:t>
            </w:r>
          </w:p>
        </w:tc>
        <w:tc>
          <w:tcPr>
            <w:tcW w:w="1701" w:type="dxa"/>
          </w:tcPr>
          <w:p w14:paraId="4A774BAF">
            <w:pPr>
              <w:spacing w:line="0" w:lineRule="atLeas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7.4</w:t>
            </w:r>
          </w:p>
        </w:tc>
      </w:tr>
    </w:tbl>
    <w:p w14:paraId="59F6AC29">
      <w:pPr>
        <w:ind w:firstLine="548" w:firstLineChars="196"/>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井街道第二产业存在问题，主要集中在八个方面：一是工业行业“多而散、散而小、小而弱”，没有形成真正的产业集群效应，许多工业企业分布在三井街道仅仅由于市政基础设施完善、企业员工上下班方便、土地取得价格低廉，而不是来自于产业本身集群效应；二是真正的整机型龙头企业少，企业偏重于“供应链生产”（零部件制造）或代工生产（OEM</w:t>
      </w:r>
      <w:r>
        <w:rPr>
          <w:rFonts w:ascii="宋体" w:hAnsi="宋体"/>
          <w:color w:val="000000" w:themeColor="text1"/>
          <w:sz w:val="28"/>
          <w:szCs w:val="28"/>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企业在产业链中不居主导地位；三是企业偏重制造环节，许多企业仅仅是制造车间而已，缺乏研发投入和研发实力，科技创新能力普遍不高；四是具有竞争优势本土企业缺乏土地供应，发展受到严重限制；五是部分企业与三井街道功能定位存在错位，一些污染性企业干扰、影响了三井街道城市功能提升和居民居住环境改善；六是存在为数不少“僵尸”企业并且占用了大量宝贵土地资源，虽然在宏观经济紧缩阶段企业经营出现下滑属于正常现象，但三井街道少量占用了土地资源的工业企业长期处于“僵而不死”状态；七、由于工业用地及标准厂房资源匮乏，招商引资工作难于持续；八、现有外资企业均已增资1-2次，目前因土地资源限制，大部分无增资意向，许多外资企业被迫选择了外地投资和外地发展。</w:t>
      </w:r>
    </w:p>
    <w:p w14:paraId="08887FC0">
      <w:pPr>
        <w:spacing w:line="360" w:lineRule="auto"/>
        <w:rPr>
          <w:rFonts w:ascii="黑体" w:hAnsi="宋体" w:eastAsia="黑体"/>
          <w:b/>
          <w:color w:val="000000" w:themeColor="text1"/>
          <w:sz w:val="30"/>
          <w:szCs w:val="30"/>
          <w14:textFill>
            <w14:solidFill>
              <w14:schemeClr w14:val="tx1"/>
            </w14:solidFill>
          </w14:textFill>
        </w:rPr>
      </w:pPr>
      <w:r>
        <w:rPr>
          <w:rFonts w:hint="eastAsia" w:ascii="黑体" w:hAnsi="宋体" w:eastAsia="黑体"/>
          <w:b/>
          <w:color w:val="000000" w:themeColor="text1"/>
          <w:sz w:val="30"/>
          <w:szCs w:val="30"/>
          <w14:textFill>
            <w14:solidFill>
              <w14:schemeClr w14:val="tx1"/>
            </w14:solidFill>
          </w14:textFill>
        </w:rPr>
        <w:t>2.第三产业发展现状</w:t>
      </w:r>
    </w:p>
    <w:p w14:paraId="42D797CC">
      <w:pPr>
        <w:spacing w:line="6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十二五”期间，三井街道以常州中心城区为功能定位，以土地综合开发为核心，大力推进城市综合体和居住小区建设，第三产业取得了长足发展。2014年三井街道第三产业增加值达到了69.6亿元，第三产业比重达到了51.6%，三井街道由工业为主阶段进入到了服务业为主阶段。</w:t>
      </w:r>
    </w:p>
    <w:p w14:paraId="6529E188">
      <w:pPr>
        <w:spacing w:line="6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目前，三井街道第三产业空间发展架构已经形成，东部拥有以环球恐龙园、迪诺水镇、温泉谷、世茂广场、常州创意产业园等为核心的创意产业区，中部拥有以行政中心、文体中心、传媒中心、万达商业广场、常发商业广场、典雅商业广场、三井大厦等为核心的中心政务区和中心商务区，西部拥有以常州广告产业园三井基地、三晶科技产业孵化器、海博生物医疗器械科技园、三井电子商务基地、三井物流产业园为核心的创新创业区和先进制造业区，并形成了贯穿三井街道东、中、西三大服务业功能区的太湖路商业商务一条街。</w:t>
      </w:r>
    </w:p>
    <w:p w14:paraId="4B3297E5">
      <w:pPr>
        <w:spacing w:line="360" w:lineRule="auto"/>
        <w:ind w:firstLine="548" w:firstLineChars="196"/>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三井街道第三产业存在主要问题：</w:t>
      </w:r>
    </w:p>
    <w:p w14:paraId="1B2957C1">
      <w:pPr>
        <w:spacing w:line="360" w:lineRule="auto"/>
        <w:ind w:firstLine="548" w:firstLineChars="196"/>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是尽管在地区生产总值中第三产业比重超过了第二产业，但除环球恐龙城、万达商业广场两个成熟且成功的第三产业项目外，其余第三产业项目大多处于起步阶段，或因为定位不明，或因为没有找到适合的商业模式，发展处于起伏状态，如迪诺水镇动线一楼店铺招商经营理想，但二、三楼店铺以及远离动线店铺招商经营困难；</w:t>
      </w:r>
    </w:p>
    <w:p w14:paraId="6553116D">
      <w:pPr>
        <w:spacing w:line="360" w:lineRule="auto"/>
        <w:ind w:firstLine="548" w:firstLineChars="196"/>
        <w:rPr>
          <w:rFonts w:ascii="宋体" w:hAnsi="宋体" w:cs="宋体"/>
          <w:color w:val="000000" w:themeColor="text1"/>
          <w:kern w:val="0"/>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二是根据第三次经济普查数据，三井街道虽然有第三产业企业3000家左右，但</w:t>
      </w:r>
      <w:r>
        <w:rPr>
          <w:rFonts w:hint="eastAsia" w:ascii="宋体" w:hAnsi="宋体" w:cs="宋体"/>
          <w:color w:val="000000" w:themeColor="text1"/>
          <w:kern w:val="0"/>
          <w:sz w:val="28"/>
          <w:szCs w:val="28"/>
          <w14:textFill>
            <w14:solidFill>
              <w14:schemeClr w14:val="tx1"/>
            </w14:solidFill>
          </w14:textFill>
        </w:rPr>
        <w:t>从企业单体规模和影响力来看，第三产业企业普遍规模小、影响力弱，不能对区域经济发展起引领带动和支撑作用，2014年销售额超过1亿元贸易类企业3家，营业额超1亿元服务类企业8家；</w:t>
      </w:r>
    </w:p>
    <w:p w14:paraId="598F2420">
      <w:pPr>
        <w:spacing w:line="360" w:lineRule="auto"/>
        <w:ind w:firstLine="548" w:firstLineChars="196"/>
        <w:rPr>
          <w:rFonts w:ascii="宋体" w:hAnsi="宋体" w:cs="宋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三是各类第三产业功能区虽然都有一定数量企业入驻，据有关报告，到2014年底，有</w:t>
      </w:r>
      <w:r>
        <w:rPr>
          <w:rFonts w:hint="eastAsia" w:ascii="宋体" w:hAnsi="宋体"/>
          <w:bCs/>
          <w:color w:val="000000" w:themeColor="text1"/>
          <w:sz w:val="28"/>
          <w:szCs w:val="28"/>
          <w14:textFill>
            <w14:solidFill>
              <w14:schemeClr w14:val="tx1"/>
            </w14:solidFill>
          </w14:textFill>
        </w:rPr>
        <w:t>5家企业入驻三井电子商务基地、14家企业入驻三井物流产业园、13家企业入驻常州广告产业园三井基地，</w:t>
      </w:r>
      <w:r>
        <w:rPr>
          <w:rFonts w:hint="eastAsia" w:ascii="宋体" w:hAnsi="宋体" w:cs="宋体"/>
          <w:color w:val="000000" w:themeColor="text1"/>
          <w:kern w:val="0"/>
          <w:sz w:val="28"/>
          <w:szCs w:val="28"/>
          <w14:textFill>
            <w14:solidFill>
              <w14:schemeClr w14:val="tx1"/>
            </w14:solidFill>
          </w14:textFill>
        </w:rPr>
        <w:t>但面临来自外部激烈的同质招商竞争，各类第三产业功能区还处于饥不择食招商状态；</w:t>
      </w:r>
    </w:p>
    <w:p w14:paraId="4A032FB4">
      <w:pPr>
        <w:spacing w:line="360" w:lineRule="auto"/>
        <w:ind w:firstLine="548" w:firstLineChars="196"/>
        <w:rPr>
          <w:rFonts w:ascii="宋体" w:hAnsi="宋体" w:cs="宋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四是作为三井街道第三产业中重要组成部分的房地产业，一方面面临消化数量巨大商品房库存压力，另一方面三井街道缺乏可开发用地，</w:t>
      </w:r>
      <w:r>
        <w:rPr>
          <w:rFonts w:hint="eastAsia" w:ascii="宋体" w:hAnsi="宋体"/>
          <w:color w:val="000000" w:themeColor="text1"/>
          <w:sz w:val="28"/>
          <w:szCs w:val="28"/>
          <w14:textFill>
            <w14:solidFill>
              <w14:schemeClr w14:val="tx1"/>
            </w14:solidFill>
          </w14:textFill>
        </w:rPr>
        <w:t>现在建的房地产项目大多进入中后投资期，三井街道范围内的房地产项目经过“十一五”、“十二五”期间大规模开发，能开发的地段已基本开发结束，现房地产项目主要处于“去库存化”阶段。据有关数据</w:t>
      </w:r>
      <w:r>
        <w:rPr>
          <w:rStyle w:val="14"/>
          <w:rFonts w:ascii="宋体" w:hAnsi="宋体"/>
          <w:color w:val="000000" w:themeColor="text1"/>
          <w:sz w:val="28"/>
          <w:szCs w:val="28"/>
          <w14:textFill>
            <w14:solidFill>
              <w14:schemeClr w14:val="tx1"/>
            </w14:solidFill>
          </w14:textFill>
        </w:rPr>
        <w:footnoteReference w:id="13"/>
      </w:r>
      <w:r>
        <w:rPr>
          <w:rFonts w:hint="eastAsia" w:ascii="宋体" w:hAnsi="宋体"/>
          <w:color w:val="000000" w:themeColor="text1"/>
          <w:sz w:val="28"/>
          <w:szCs w:val="28"/>
          <w14:textFill>
            <w14:solidFill>
              <w14:schemeClr w14:val="tx1"/>
            </w14:solidFill>
          </w14:textFill>
        </w:rPr>
        <w:t>，目前常州市新北区商品房“去库存化”周期在20个月以上，其中，商业地产项目、办公地产项目“去库存化”周期甚至达到40个月以上</w:t>
      </w:r>
      <w:r>
        <w:rPr>
          <w:rFonts w:hint="eastAsia" w:ascii="宋体" w:hAnsi="宋体" w:cs="宋体"/>
          <w:color w:val="000000" w:themeColor="text1"/>
          <w:kern w:val="0"/>
          <w:sz w:val="28"/>
          <w:szCs w:val="28"/>
          <w14:textFill>
            <w14:solidFill>
              <w14:schemeClr w14:val="tx1"/>
            </w14:solidFill>
          </w14:textFill>
        </w:rPr>
        <w:t>；</w:t>
      </w:r>
    </w:p>
    <w:p w14:paraId="0C448104">
      <w:pPr>
        <w:spacing w:line="360" w:lineRule="auto"/>
        <w:ind w:firstLine="548" w:firstLineChars="196"/>
        <w:rPr>
          <w:rFonts w:ascii="宋体" w:hAnsi="宋体" w:cs="宋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五是三井街道坐拥行政中心、奥林匹克中心、大剧院、规划馆、博物馆、传媒中心，但并没有形成与之呼应的总部经济基地；</w:t>
      </w:r>
    </w:p>
    <w:p w14:paraId="6B950D4D">
      <w:pPr>
        <w:spacing w:line="360" w:lineRule="auto"/>
        <w:ind w:firstLine="548" w:firstLineChars="196"/>
        <w:rPr>
          <w:rFonts w:ascii="宋体" w:hAnsi="宋体" w:cs="宋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六是新兴服务业和现代服务业发展不足，整个三井街道除了工程咨询企业和一些外贸企业集中外，现代服务业企业较少，缺乏服务业新业态和标杆性服务企业；</w:t>
      </w:r>
    </w:p>
    <w:p w14:paraId="055FF013">
      <w:pPr>
        <w:spacing w:line="360" w:lineRule="auto"/>
        <w:ind w:firstLine="548" w:firstLineChars="196"/>
        <w:rPr>
          <w:rFonts w:ascii="宋体" w:hAnsi="宋体" w:cs="宋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七是社区商业以临街商铺为主，存在规模小、相互干扰、监管缺失、客户违规占用道路停车等问题；八是商业业态雷同，缺乏标杆性商业服务企业；</w:t>
      </w:r>
    </w:p>
    <w:p w14:paraId="711C3DE0">
      <w:pPr>
        <w:spacing w:line="360" w:lineRule="auto"/>
        <w:ind w:firstLine="548" w:firstLineChars="196"/>
        <w:rPr>
          <w:rFonts w:ascii="宋体" w:hAnsi="宋体" w:cs="宋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八是一些企业和机构虽然在三井街道注册，但</w:t>
      </w:r>
      <w:r>
        <w:rPr>
          <w:rFonts w:hint="eastAsia" w:ascii="宋体" w:hAnsi="宋体"/>
          <w:color w:val="000000" w:themeColor="text1"/>
          <w:sz w:val="28"/>
          <w:szCs w:val="28"/>
          <w14:textFill>
            <w14:solidFill>
              <w14:schemeClr w14:val="tx1"/>
            </w14:solidFill>
          </w14:textFill>
        </w:rPr>
        <w:t>税收为市级财政征收，如2015年起在三井街道注册的常州体育产业发展有限公司、常州市土地收购储备中心、常州市轨道交通发展有限公司和常州市东吴建设发展有限公司税收均为市级财政征收；2015年9月三井街道招商引资项目江苏省广电有线信息网络股份有限公司常州分公司税收也列为市级财政征收；同时，一些进出口业务比重较大的制造企业在上海自由贸易区设立贸易公司，不仅把国际销售业务独立出去，而且也合法地带走了税源、规避了税收</w:t>
      </w:r>
      <w:r>
        <w:rPr>
          <w:rFonts w:hint="eastAsia" w:ascii="宋体" w:hAnsi="宋体" w:cs="宋体"/>
          <w:color w:val="000000" w:themeColor="text1"/>
          <w:kern w:val="0"/>
          <w:sz w:val="28"/>
          <w:szCs w:val="28"/>
          <w14:textFill>
            <w14:solidFill>
              <w14:schemeClr w14:val="tx1"/>
            </w14:solidFill>
          </w14:textFill>
        </w:rPr>
        <w:t>。</w:t>
      </w:r>
    </w:p>
    <w:p w14:paraId="33F328FF">
      <w:pPr>
        <w:spacing w:line="600" w:lineRule="exact"/>
        <w:ind w:firstLine="826" w:firstLineChars="343"/>
        <w:rPr>
          <w:rFonts w:ascii="黑体" w:hAnsi="宋体" w:eastAsia="黑体" w:cs="宋体"/>
          <w:b/>
          <w:color w:val="000000" w:themeColor="text1"/>
          <w:kern w:val="0"/>
          <w:sz w:val="24"/>
          <w14:textFill>
            <w14:solidFill>
              <w14:schemeClr w14:val="tx1"/>
            </w14:solidFill>
          </w14:textFill>
        </w:rPr>
      </w:pPr>
      <w:r>
        <w:rPr>
          <w:rFonts w:hint="eastAsia" w:ascii="黑体" w:hAnsi="宋体" w:eastAsia="黑体" w:cs="宋体"/>
          <w:b/>
          <w:color w:val="000000" w:themeColor="text1"/>
          <w:kern w:val="0"/>
          <w:sz w:val="24"/>
          <w14:textFill>
            <w14:solidFill>
              <w14:schemeClr w14:val="tx1"/>
            </w14:solidFill>
          </w14:textFill>
        </w:rPr>
        <w:t>表10：2014年贸易类企业销售额、服务类企业营业额超1亿元企业</w:t>
      </w:r>
    </w:p>
    <w:tbl>
      <w:tblPr>
        <w:tblStyle w:val="10"/>
        <w:tblW w:w="87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71"/>
        <w:gridCol w:w="4974"/>
        <w:gridCol w:w="1134"/>
        <w:gridCol w:w="1276"/>
      </w:tblGrid>
      <w:tr w14:paraId="0BA21D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1" w:type="dxa"/>
          </w:tcPr>
          <w:p w14:paraId="77C51065">
            <w:pPr>
              <w:spacing w:line="0" w:lineRule="atLeas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类型</w:t>
            </w:r>
          </w:p>
        </w:tc>
        <w:tc>
          <w:tcPr>
            <w:tcW w:w="4974" w:type="dxa"/>
          </w:tcPr>
          <w:p w14:paraId="114DE9B9">
            <w:pPr>
              <w:spacing w:line="0" w:lineRule="atLeas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企业名称</w:t>
            </w:r>
          </w:p>
        </w:tc>
        <w:tc>
          <w:tcPr>
            <w:tcW w:w="1134" w:type="dxa"/>
            <w:tcBorders>
              <w:right w:val="single" w:color="auto" w:sz="4" w:space="0"/>
            </w:tcBorders>
          </w:tcPr>
          <w:p w14:paraId="54046DED">
            <w:pPr>
              <w:spacing w:line="0" w:lineRule="atLeas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营业额</w:t>
            </w:r>
          </w:p>
        </w:tc>
        <w:tc>
          <w:tcPr>
            <w:tcW w:w="1276" w:type="dxa"/>
            <w:tcBorders>
              <w:left w:val="single" w:color="auto" w:sz="4" w:space="0"/>
            </w:tcBorders>
          </w:tcPr>
          <w:p w14:paraId="37BB07E9">
            <w:pPr>
              <w:spacing w:line="0" w:lineRule="atLeas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备注</w:t>
            </w:r>
          </w:p>
        </w:tc>
      </w:tr>
      <w:tr w14:paraId="3CB892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 w:hRule="atLeast"/>
        </w:trPr>
        <w:tc>
          <w:tcPr>
            <w:tcW w:w="1371" w:type="dxa"/>
            <w:vMerge w:val="restart"/>
          </w:tcPr>
          <w:p w14:paraId="60BDF4FE">
            <w:pPr>
              <w:spacing w:line="0" w:lineRule="atLeas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贸易类企业</w:t>
            </w:r>
          </w:p>
        </w:tc>
        <w:tc>
          <w:tcPr>
            <w:tcW w:w="4974" w:type="dxa"/>
            <w:tcBorders>
              <w:bottom w:val="single" w:color="auto" w:sz="4" w:space="0"/>
            </w:tcBorders>
          </w:tcPr>
          <w:p w14:paraId="7A077888">
            <w:pPr>
              <w:spacing w:line="0" w:lineRule="atLeas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常州大亚进出口有限公司</w:t>
            </w:r>
          </w:p>
        </w:tc>
        <w:tc>
          <w:tcPr>
            <w:tcW w:w="1134" w:type="dxa"/>
            <w:tcBorders>
              <w:bottom w:val="single" w:color="auto" w:sz="4" w:space="0"/>
              <w:right w:val="single" w:color="auto" w:sz="4" w:space="0"/>
            </w:tcBorders>
          </w:tcPr>
          <w:p w14:paraId="59C7110B">
            <w:pPr>
              <w:spacing w:line="0" w:lineRule="atLeast"/>
              <w:ind w:leftChars="-51" w:hanging="107" w:hangingChars="51"/>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22947</w:t>
            </w: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2</w:t>
            </w:r>
          </w:p>
        </w:tc>
        <w:tc>
          <w:tcPr>
            <w:tcW w:w="1276" w:type="dxa"/>
            <w:tcBorders>
              <w:left w:val="single" w:color="auto" w:sz="4" w:space="0"/>
              <w:bottom w:val="single" w:color="auto" w:sz="4" w:space="0"/>
            </w:tcBorders>
          </w:tcPr>
          <w:p w14:paraId="7DB44E02">
            <w:pPr>
              <w:spacing w:line="0" w:lineRule="atLeast"/>
              <w:rPr>
                <w:rFonts w:ascii="宋体" w:hAnsi="宋体"/>
                <w:color w:val="000000" w:themeColor="text1"/>
                <w:szCs w:val="21"/>
                <w14:textFill>
                  <w14:solidFill>
                    <w14:schemeClr w14:val="tx1"/>
                  </w14:solidFill>
                </w14:textFill>
              </w:rPr>
            </w:pPr>
          </w:p>
        </w:tc>
      </w:tr>
      <w:tr w14:paraId="26D384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4" w:hRule="atLeast"/>
        </w:trPr>
        <w:tc>
          <w:tcPr>
            <w:tcW w:w="1371" w:type="dxa"/>
            <w:vMerge w:val="continue"/>
          </w:tcPr>
          <w:p w14:paraId="11BE0B5A">
            <w:pPr>
              <w:spacing w:line="0" w:lineRule="atLeast"/>
              <w:rPr>
                <w:rFonts w:ascii="宋体" w:hAnsi="宋体"/>
                <w:color w:val="000000" w:themeColor="text1"/>
                <w:szCs w:val="21"/>
                <w14:textFill>
                  <w14:solidFill>
                    <w14:schemeClr w14:val="tx1"/>
                  </w14:solidFill>
                </w14:textFill>
              </w:rPr>
            </w:pPr>
          </w:p>
        </w:tc>
        <w:tc>
          <w:tcPr>
            <w:tcW w:w="4974" w:type="dxa"/>
            <w:tcBorders>
              <w:top w:val="single" w:color="auto" w:sz="4" w:space="0"/>
              <w:bottom w:val="single" w:color="auto" w:sz="4" w:space="0"/>
            </w:tcBorders>
          </w:tcPr>
          <w:p w14:paraId="576B6E73">
            <w:pPr>
              <w:spacing w:line="0" w:lineRule="atLeas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梅特勒-托利多（常州）称重系统设备有限公司</w:t>
            </w:r>
          </w:p>
        </w:tc>
        <w:tc>
          <w:tcPr>
            <w:tcW w:w="1134" w:type="dxa"/>
            <w:tcBorders>
              <w:top w:val="single" w:color="auto" w:sz="4" w:space="0"/>
              <w:bottom w:val="single" w:color="auto" w:sz="4" w:space="0"/>
              <w:right w:val="single" w:color="auto" w:sz="4" w:space="0"/>
            </w:tcBorders>
          </w:tcPr>
          <w:p w14:paraId="4803513A">
            <w:pPr>
              <w:spacing w:line="0" w:lineRule="atLeast"/>
              <w:ind w:leftChars="-51" w:hanging="107" w:hangingChars="51"/>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18748</w:t>
            </w: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6</w:t>
            </w:r>
          </w:p>
        </w:tc>
        <w:tc>
          <w:tcPr>
            <w:tcW w:w="1276" w:type="dxa"/>
            <w:tcBorders>
              <w:top w:val="single" w:color="auto" w:sz="4" w:space="0"/>
              <w:left w:val="single" w:color="auto" w:sz="4" w:space="0"/>
              <w:bottom w:val="single" w:color="auto" w:sz="4" w:space="0"/>
            </w:tcBorders>
          </w:tcPr>
          <w:p w14:paraId="6D4A7E02">
            <w:pPr>
              <w:spacing w:line="0" w:lineRule="atLeast"/>
              <w:rPr>
                <w:rFonts w:ascii="宋体" w:hAnsi="宋体"/>
                <w:color w:val="000000" w:themeColor="text1"/>
                <w:szCs w:val="21"/>
                <w14:textFill>
                  <w14:solidFill>
                    <w14:schemeClr w14:val="tx1"/>
                  </w14:solidFill>
                </w14:textFill>
              </w:rPr>
            </w:pPr>
          </w:p>
        </w:tc>
      </w:tr>
      <w:tr w14:paraId="2705B5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9" w:hRule="atLeast"/>
        </w:trPr>
        <w:tc>
          <w:tcPr>
            <w:tcW w:w="1371" w:type="dxa"/>
            <w:vMerge w:val="continue"/>
          </w:tcPr>
          <w:p w14:paraId="05240EFB">
            <w:pPr>
              <w:spacing w:line="0" w:lineRule="atLeast"/>
              <w:rPr>
                <w:rFonts w:ascii="宋体" w:hAnsi="宋体"/>
                <w:color w:val="000000" w:themeColor="text1"/>
                <w:szCs w:val="21"/>
                <w14:textFill>
                  <w14:solidFill>
                    <w14:schemeClr w14:val="tx1"/>
                  </w14:solidFill>
                </w14:textFill>
              </w:rPr>
            </w:pPr>
          </w:p>
        </w:tc>
        <w:tc>
          <w:tcPr>
            <w:tcW w:w="4974" w:type="dxa"/>
            <w:tcBorders>
              <w:top w:val="single" w:color="auto" w:sz="4" w:space="0"/>
            </w:tcBorders>
          </w:tcPr>
          <w:p w14:paraId="46F96250">
            <w:pPr>
              <w:spacing w:line="0" w:lineRule="atLeas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常州久盛工程机械有限公司</w:t>
            </w:r>
          </w:p>
        </w:tc>
        <w:tc>
          <w:tcPr>
            <w:tcW w:w="1134" w:type="dxa"/>
            <w:tcBorders>
              <w:top w:val="single" w:color="auto" w:sz="4" w:space="0"/>
              <w:right w:val="single" w:color="auto" w:sz="4" w:space="0"/>
            </w:tcBorders>
          </w:tcPr>
          <w:p w14:paraId="2471AB16">
            <w:pPr>
              <w:spacing w:line="0" w:lineRule="atLeast"/>
              <w:ind w:leftChars="-51" w:hanging="107" w:hangingChars="51"/>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29932</w:t>
            </w: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1</w:t>
            </w:r>
          </w:p>
        </w:tc>
        <w:tc>
          <w:tcPr>
            <w:tcW w:w="1276" w:type="dxa"/>
            <w:tcBorders>
              <w:top w:val="single" w:color="auto" w:sz="4" w:space="0"/>
              <w:left w:val="single" w:color="auto" w:sz="4" w:space="0"/>
            </w:tcBorders>
          </w:tcPr>
          <w:p w14:paraId="7789B820">
            <w:pPr>
              <w:spacing w:line="0" w:lineRule="atLeast"/>
              <w:rPr>
                <w:rFonts w:ascii="宋体" w:hAnsi="宋体"/>
                <w:color w:val="000000" w:themeColor="text1"/>
                <w:szCs w:val="21"/>
                <w14:textFill>
                  <w14:solidFill>
                    <w14:schemeClr w14:val="tx1"/>
                  </w14:solidFill>
                </w14:textFill>
              </w:rPr>
            </w:pPr>
          </w:p>
        </w:tc>
      </w:tr>
      <w:tr w14:paraId="3CB9FA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5" w:hRule="atLeast"/>
        </w:trPr>
        <w:tc>
          <w:tcPr>
            <w:tcW w:w="1371" w:type="dxa"/>
            <w:vMerge w:val="restart"/>
          </w:tcPr>
          <w:p w14:paraId="701E2D71">
            <w:pPr>
              <w:spacing w:line="0" w:lineRule="atLeas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服务类企业</w:t>
            </w:r>
          </w:p>
        </w:tc>
        <w:tc>
          <w:tcPr>
            <w:tcW w:w="4974" w:type="dxa"/>
            <w:tcBorders>
              <w:bottom w:val="single" w:color="auto" w:sz="4" w:space="0"/>
            </w:tcBorders>
            <w:vAlign w:val="center"/>
          </w:tcPr>
          <w:p w14:paraId="2816B29F">
            <w:pPr>
              <w:spacing w:line="0" w:lineRule="atLeast"/>
              <w:rPr>
                <w:rFonts w:ascii="宋体" w:hAnsi="宋体" w:cs="宋体"/>
                <w:color w:val="000000" w:themeColor="text1"/>
                <w:sz w:val="24"/>
                <w14:textFill>
                  <w14:solidFill>
                    <w14:schemeClr w14:val="tx1"/>
                  </w14:solidFill>
                </w14:textFill>
              </w:rPr>
            </w:pPr>
            <w:r>
              <w:rPr>
                <w:rFonts w:hint="eastAsia"/>
                <w:color w:val="000000" w:themeColor="text1"/>
                <w14:textFill>
                  <w14:solidFill>
                    <w14:schemeClr w14:val="tx1"/>
                  </w14:solidFill>
                </w14:textFill>
              </w:rPr>
              <w:t>常州市粮油储运公司</w:t>
            </w:r>
          </w:p>
        </w:tc>
        <w:tc>
          <w:tcPr>
            <w:tcW w:w="1134" w:type="dxa"/>
            <w:tcBorders>
              <w:bottom w:val="single" w:color="auto" w:sz="4" w:space="0"/>
              <w:right w:val="single" w:color="auto" w:sz="4" w:space="0"/>
            </w:tcBorders>
            <w:vAlign w:val="bottom"/>
          </w:tcPr>
          <w:p w14:paraId="24065A8B">
            <w:pPr>
              <w:spacing w:line="0" w:lineRule="atLeast"/>
              <w:ind w:leftChars="-51" w:right="-108" w:hanging="107" w:hangingChars="51"/>
              <w:rPr>
                <w:rFonts w:ascii="宋体" w:hAnsi="宋体" w:cs="宋体"/>
                <w:bCs/>
                <w:color w:val="000000" w:themeColor="text1"/>
                <w:sz w:val="24"/>
                <w14:textFill>
                  <w14:solidFill>
                    <w14:schemeClr w14:val="tx1"/>
                  </w14:solidFill>
                </w14:textFill>
              </w:rPr>
            </w:pPr>
            <w:r>
              <w:rPr>
                <w:rFonts w:hint="eastAsia" w:ascii="宋体" w:hAnsi="宋体"/>
                <w:bCs/>
                <w:color w:val="000000" w:themeColor="text1"/>
                <w14:textFill>
                  <w14:solidFill>
                    <w14:schemeClr w14:val="tx1"/>
                  </w14:solidFill>
                </w14:textFill>
              </w:rPr>
              <w:t>10444.7</w:t>
            </w:r>
          </w:p>
        </w:tc>
        <w:tc>
          <w:tcPr>
            <w:tcW w:w="1276" w:type="dxa"/>
            <w:tcBorders>
              <w:left w:val="single" w:color="auto" w:sz="4" w:space="0"/>
              <w:bottom w:val="single" w:color="auto" w:sz="4" w:space="0"/>
            </w:tcBorders>
            <w:vAlign w:val="bottom"/>
          </w:tcPr>
          <w:p w14:paraId="71FC82F8">
            <w:pPr>
              <w:spacing w:line="0" w:lineRule="atLeast"/>
              <w:ind w:right="420"/>
              <w:rPr>
                <w:rFonts w:ascii="宋体" w:hAnsi="宋体" w:cs="宋体"/>
                <w:bCs/>
                <w:color w:val="000000" w:themeColor="text1"/>
                <w:sz w:val="24"/>
                <w14:textFill>
                  <w14:solidFill>
                    <w14:schemeClr w14:val="tx1"/>
                  </w14:solidFill>
                </w14:textFill>
              </w:rPr>
            </w:pPr>
          </w:p>
        </w:tc>
      </w:tr>
      <w:tr w14:paraId="071F1C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 w:hRule="atLeast"/>
        </w:trPr>
        <w:tc>
          <w:tcPr>
            <w:tcW w:w="1371" w:type="dxa"/>
            <w:vMerge w:val="continue"/>
          </w:tcPr>
          <w:p w14:paraId="42B1EED8">
            <w:pPr>
              <w:spacing w:line="0" w:lineRule="atLeast"/>
              <w:rPr>
                <w:rFonts w:ascii="宋体" w:hAnsi="宋体"/>
                <w:color w:val="000000" w:themeColor="text1"/>
                <w:szCs w:val="21"/>
                <w14:textFill>
                  <w14:solidFill>
                    <w14:schemeClr w14:val="tx1"/>
                  </w14:solidFill>
                </w14:textFill>
              </w:rPr>
            </w:pPr>
          </w:p>
        </w:tc>
        <w:tc>
          <w:tcPr>
            <w:tcW w:w="4974" w:type="dxa"/>
            <w:tcBorders>
              <w:top w:val="single" w:color="auto" w:sz="4" w:space="0"/>
              <w:bottom w:val="single" w:color="auto" w:sz="4" w:space="0"/>
            </w:tcBorders>
            <w:vAlign w:val="center"/>
          </w:tcPr>
          <w:p w14:paraId="2ADB1E64">
            <w:pPr>
              <w:spacing w:line="0" w:lineRule="atLeast"/>
              <w:rPr>
                <w:rFonts w:ascii="宋体" w:hAnsi="宋体" w:cs="宋体"/>
                <w:color w:val="000000" w:themeColor="text1"/>
                <w:sz w:val="24"/>
                <w14:textFill>
                  <w14:solidFill>
                    <w14:schemeClr w14:val="tx1"/>
                  </w14:solidFill>
                </w14:textFill>
              </w:rPr>
            </w:pPr>
            <w:r>
              <w:rPr>
                <w:rFonts w:hint="eastAsia"/>
                <w:color w:val="000000" w:themeColor="text1"/>
                <w14:textFill>
                  <w14:solidFill>
                    <w14:schemeClr w14:val="tx1"/>
                  </w14:solidFill>
                </w14:textFill>
              </w:rPr>
              <w:t>常州市国际交流中心</w:t>
            </w:r>
          </w:p>
        </w:tc>
        <w:tc>
          <w:tcPr>
            <w:tcW w:w="1134" w:type="dxa"/>
            <w:tcBorders>
              <w:top w:val="single" w:color="auto" w:sz="4" w:space="0"/>
              <w:bottom w:val="single" w:color="auto" w:sz="4" w:space="0"/>
              <w:right w:val="single" w:color="auto" w:sz="4" w:space="0"/>
            </w:tcBorders>
            <w:vAlign w:val="bottom"/>
          </w:tcPr>
          <w:p w14:paraId="4A915EFA">
            <w:pPr>
              <w:spacing w:line="0" w:lineRule="atLeast"/>
              <w:ind w:leftChars="-51" w:right="-108" w:hanging="107" w:hangingChars="51"/>
              <w:rPr>
                <w:rFonts w:ascii="宋体" w:hAnsi="宋体" w:cs="宋体"/>
                <w:bCs/>
                <w:color w:val="000000" w:themeColor="text1"/>
                <w:sz w:val="24"/>
                <w14:textFill>
                  <w14:solidFill>
                    <w14:schemeClr w14:val="tx1"/>
                  </w14:solidFill>
                </w14:textFill>
              </w:rPr>
            </w:pPr>
            <w:r>
              <w:rPr>
                <w:rFonts w:hint="eastAsia" w:ascii="宋体" w:hAnsi="宋体"/>
                <w:bCs/>
                <w:color w:val="000000" w:themeColor="text1"/>
                <w14:textFill>
                  <w14:solidFill>
                    <w14:schemeClr w14:val="tx1"/>
                  </w14:solidFill>
                </w14:textFill>
              </w:rPr>
              <w:t>18744.6</w:t>
            </w:r>
          </w:p>
        </w:tc>
        <w:tc>
          <w:tcPr>
            <w:tcW w:w="1276" w:type="dxa"/>
            <w:tcBorders>
              <w:top w:val="single" w:color="auto" w:sz="4" w:space="0"/>
              <w:left w:val="single" w:color="auto" w:sz="4" w:space="0"/>
              <w:bottom w:val="single" w:color="auto" w:sz="4" w:space="0"/>
            </w:tcBorders>
            <w:vAlign w:val="bottom"/>
          </w:tcPr>
          <w:p w14:paraId="04313738">
            <w:pPr>
              <w:spacing w:line="0" w:lineRule="atLeast"/>
              <w:ind w:right="420"/>
              <w:rPr>
                <w:rFonts w:ascii="宋体" w:hAnsi="宋体" w:cs="宋体"/>
                <w:bCs/>
                <w:color w:val="000000" w:themeColor="text1"/>
                <w:sz w:val="24"/>
                <w14:textFill>
                  <w14:solidFill>
                    <w14:schemeClr w14:val="tx1"/>
                  </w14:solidFill>
                </w14:textFill>
              </w:rPr>
            </w:pPr>
          </w:p>
        </w:tc>
      </w:tr>
      <w:tr w14:paraId="41D4B4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5" w:hRule="atLeast"/>
        </w:trPr>
        <w:tc>
          <w:tcPr>
            <w:tcW w:w="1371" w:type="dxa"/>
            <w:vMerge w:val="continue"/>
          </w:tcPr>
          <w:p w14:paraId="37B63D65">
            <w:pPr>
              <w:spacing w:line="0" w:lineRule="atLeast"/>
              <w:rPr>
                <w:rFonts w:ascii="宋体" w:hAnsi="宋体"/>
                <w:color w:val="000000" w:themeColor="text1"/>
                <w:szCs w:val="21"/>
                <w14:textFill>
                  <w14:solidFill>
                    <w14:schemeClr w14:val="tx1"/>
                  </w14:solidFill>
                </w14:textFill>
              </w:rPr>
            </w:pPr>
          </w:p>
        </w:tc>
        <w:tc>
          <w:tcPr>
            <w:tcW w:w="4974" w:type="dxa"/>
            <w:tcBorders>
              <w:top w:val="single" w:color="auto" w:sz="4" w:space="0"/>
              <w:bottom w:val="single" w:color="auto" w:sz="4" w:space="0"/>
            </w:tcBorders>
          </w:tcPr>
          <w:p w14:paraId="4BC7F079">
            <w:pPr>
              <w:spacing w:line="0" w:lineRule="atLeas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江苏筑森建筑设计有限公司</w:t>
            </w:r>
          </w:p>
        </w:tc>
        <w:tc>
          <w:tcPr>
            <w:tcW w:w="1134" w:type="dxa"/>
            <w:tcBorders>
              <w:top w:val="single" w:color="auto" w:sz="4" w:space="0"/>
              <w:bottom w:val="single" w:color="auto" w:sz="4" w:space="0"/>
              <w:right w:val="single" w:color="auto" w:sz="4" w:space="0"/>
            </w:tcBorders>
          </w:tcPr>
          <w:p w14:paraId="16AC5EFA">
            <w:pPr>
              <w:spacing w:line="0" w:lineRule="atLeast"/>
              <w:ind w:leftChars="-51" w:hanging="107" w:hangingChars="51"/>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26730</w:t>
            </w: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7</w:t>
            </w:r>
          </w:p>
        </w:tc>
        <w:tc>
          <w:tcPr>
            <w:tcW w:w="1276" w:type="dxa"/>
            <w:tcBorders>
              <w:top w:val="single" w:color="auto" w:sz="4" w:space="0"/>
              <w:left w:val="single" w:color="auto" w:sz="4" w:space="0"/>
              <w:bottom w:val="single" w:color="auto" w:sz="4" w:space="0"/>
            </w:tcBorders>
          </w:tcPr>
          <w:p w14:paraId="6FCA00EE">
            <w:pPr>
              <w:spacing w:line="0" w:lineRule="atLeast"/>
              <w:rPr>
                <w:rFonts w:ascii="宋体" w:hAnsi="宋体"/>
                <w:color w:val="000000" w:themeColor="text1"/>
                <w:szCs w:val="21"/>
                <w14:textFill>
                  <w14:solidFill>
                    <w14:schemeClr w14:val="tx1"/>
                  </w14:solidFill>
                </w14:textFill>
              </w:rPr>
            </w:pPr>
          </w:p>
        </w:tc>
      </w:tr>
      <w:tr w14:paraId="23E20E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 w:hRule="atLeast"/>
        </w:trPr>
        <w:tc>
          <w:tcPr>
            <w:tcW w:w="1371" w:type="dxa"/>
            <w:vMerge w:val="continue"/>
          </w:tcPr>
          <w:p w14:paraId="495AF5BD">
            <w:pPr>
              <w:spacing w:line="0" w:lineRule="atLeast"/>
              <w:rPr>
                <w:rFonts w:ascii="宋体" w:hAnsi="宋体"/>
                <w:color w:val="000000" w:themeColor="text1"/>
                <w:szCs w:val="21"/>
                <w14:textFill>
                  <w14:solidFill>
                    <w14:schemeClr w14:val="tx1"/>
                  </w14:solidFill>
                </w14:textFill>
              </w:rPr>
            </w:pPr>
          </w:p>
        </w:tc>
        <w:tc>
          <w:tcPr>
            <w:tcW w:w="4974" w:type="dxa"/>
            <w:tcBorders>
              <w:top w:val="single" w:color="auto" w:sz="4" w:space="0"/>
              <w:bottom w:val="single" w:color="auto" w:sz="4" w:space="0"/>
            </w:tcBorders>
          </w:tcPr>
          <w:p w14:paraId="7BE4627C">
            <w:pPr>
              <w:spacing w:line="0" w:lineRule="atLeas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常州体育产业发展有限公司</w:t>
            </w:r>
          </w:p>
        </w:tc>
        <w:tc>
          <w:tcPr>
            <w:tcW w:w="1134" w:type="dxa"/>
            <w:tcBorders>
              <w:top w:val="single" w:color="auto" w:sz="4" w:space="0"/>
              <w:bottom w:val="single" w:color="auto" w:sz="4" w:space="0"/>
              <w:right w:val="single" w:color="auto" w:sz="4" w:space="0"/>
            </w:tcBorders>
          </w:tcPr>
          <w:p w14:paraId="03010FF2">
            <w:pPr>
              <w:spacing w:line="0" w:lineRule="atLeast"/>
              <w:ind w:leftChars="-51" w:hanging="107" w:hangingChars="51"/>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10428</w:t>
            </w: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7</w:t>
            </w:r>
          </w:p>
        </w:tc>
        <w:tc>
          <w:tcPr>
            <w:tcW w:w="1276" w:type="dxa"/>
            <w:vMerge w:val="restart"/>
            <w:tcBorders>
              <w:top w:val="single" w:color="auto" w:sz="4" w:space="0"/>
              <w:left w:val="single" w:color="auto" w:sz="4" w:space="0"/>
            </w:tcBorders>
          </w:tcPr>
          <w:p w14:paraId="3A92C10F">
            <w:pPr>
              <w:spacing w:line="0" w:lineRule="atLeas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税收为市级财政征收</w:t>
            </w:r>
          </w:p>
        </w:tc>
      </w:tr>
      <w:tr w14:paraId="431E09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 w:hRule="atLeast"/>
        </w:trPr>
        <w:tc>
          <w:tcPr>
            <w:tcW w:w="1371" w:type="dxa"/>
            <w:vMerge w:val="continue"/>
          </w:tcPr>
          <w:p w14:paraId="3A8E8142">
            <w:pPr>
              <w:spacing w:line="0" w:lineRule="atLeast"/>
              <w:rPr>
                <w:rFonts w:ascii="宋体" w:hAnsi="宋体"/>
                <w:color w:val="000000" w:themeColor="text1"/>
                <w:szCs w:val="21"/>
                <w14:textFill>
                  <w14:solidFill>
                    <w14:schemeClr w14:val="tx1"/>
                  </w14:solidFill>
                </w14:textFill>
              </w:rPr>
            </w:pPr>
          </w:p>
        </w:tc>
        <w:tc>
          <w:tcPr>
            <w:tcW w:w="4974" w:type="dxa"/>
            <w:tcBorders>
              <w:top w:val="single" w:color="auto" w:sz="4" w:space="0"/>
              <w:bottom w:val="single" w:color="auto" w:sz="4" w:space="0"/>
            </w:tcBorders>
          </w:tcPr>
          <w:p w14:paraId="177C9946">
            <w:pPr>
              <w:spacing w:line="0" w:lineRule="atLeas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江苏省广电有线信息网络股份有限公司常州分公司</w:t>
            </w:r>
          </w:p>
        </w:tc>
        <w:tc>
          <w:tcPr>
            <w:tcW w:w="1134" w:type="dxa"/>
            <w:tcBorders>
              <w:top w:val="single" w:color="auto" w:sz="4" w:space="0"/>
              <w:bottom w:val="single" w:color="auto" w:sz="4" w:space="0"/>
              <w:right w:val="single" w:color="auto" w:sz="4" w:space="0"/>
            </w:tcBorders>
          </w:tcPr>
          <w:p w14:paraId="3C7541DD">
            <w:pPr>
              <w:spacing w:line="0" w:lineRule="atLeast"/>
              <w:ind w:leftChars="-51" w:hanging="107" w:hangingChars="51"/>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24181</w:t>
            </w: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7</w:t>
            </w:r>
          </w:p>
        </w:tc>
        <w:tc>
          <w:tcPr>
            <w:tcW w:w="1276" w:type="dxa"/>
            <w:vMerge w:val="continue"/>
            <w:tcBorders>
              <w:left w:val="single" w:color="auto" w:sz="4" w:space="0"/>
              <w:bottom w:val="single" w:color="auto" w:sz="4" w:space="0"/>
            </w:tcBorders>
          </w:tcPr>
          <w:p w14:paraId="012E186B">
            <w:pPr>
              <w:spacing w:line="0" w:lineRule="atLeast"/>
              <w:rPr>
                <w:rFonts w:ascii="宋体" w:hAnsi="宋体"/>
                <w:color w:val="000000" w:themeColor="text1"/>
                <w:szCs w:val="21"/>
                <w14:textFill>
                  <w14:solidFill>
                    <w14:schemeClr w14:val="tx1"/>
                  </w14:solidFill>
                </w14:textFill>
              </w:rPr>
            </w:pPr>
          </w:p>
        </w:tc>
      </w:tr>
      <w:tr w14:paraId="0E792B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 w:hRule="atLeast"/>
        </w:trPr>
        <w:tc>
          <w:tcPr>
            <w:tcW w:w="1371" w:type="dxa"/>
            <w:vMerge w:val="continue"/>
          </w:tcPr>
          <w:p w14:paraId="232ADB2C">
            <w:pPr>
              <w:spacing w:line="0" w:lineRule="atLeast"/>
              <w:rPr>
                <w:rFonts w:ascii="宋体" w:hAnsi="宋体"/>
                <w:color w:val="000000" w:themeColor="text1"/>
                <w:szCs w:val="21"/>
                <w14:textFill>
                  <w14:solidFill>
                    <w14:schemeClr w14:val="tx1"/>
                  </w14:solidFill>
                </w14:textFill>
              </w:rPr>
            </w:pPr>
          </w:p>
        </w:tc>
        <w:tc>
          <w:tcPr>
            <w:tcW w:w="4974" w:type="dxa"/>
            <w:tcBorders>
              <w:top w:val="single" w:color="auto" w:sz="4" w:space="0"/>
              <w:bottom w:val="single" w:color="auto" w:sz="4" w:space="0"/>
            </w:tcBorders>
          </w:tcPr>
          <w:p w14:paraId="6036628D">
            <w:pPr>
              <w:spacing w:line="0" w:lineRule="atLeas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江苏河海新能源有限公司</w:t>
            </w:r>
          </w:p>
        </w:tc>
        <w:tc>
          <w:tcPr>
            <w:tcW w:w="1134" w:type="dxa"/>
            <w:tcBorders>
              <w:top w:val="single" w:color="auto" w:sz="4" w:space="0"/>
              <w:bottom w:val="single" w:color="auto" w:sz="4" w:space="0"/>
              <w:right w:val="single" w:color="auto" w:sz="4" w:space="0"/>
            </w:tcBorders>
          </w:tcPr>
          <w:p w14:paraId="274850F9">
            <w:pPr>
              <w:spacing w:line="0" w:lineRule="atLeast"/>
              <w:ind w:leftChars="-51" w:hanging="107" w:hangingChars="51"/>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33686</w:t>
            </w: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1</w:t>
            </w:r>
          </w:p>
        </w:tc>
        <w:tc>
          <w:tcPr>
            <w:tcW w:w="1276" w:type="dxa"/>
            <w:tcBorders>
              <w:top w:val="single" w:color="auto" w:sz="4" w:space="0"/>
              <w:left w:val="single" w:color="auto" w:sz="4" w:space="0"/>
              <w:bottom w:val="single" w:color="auto" w:sz="4" w:space="0"/>
            </w:tcBorders>
          </w:tcPr>
          <w:p w14:paraId="6D2725C5">
            <w:pPr>
              <w:spacing w:line="0" w:lineRule="atLeast"/>
              <w:rPr>
                <w:rFonts w:ascii="宋体" w:hAnsi="宋体"/>
                <w:color w:val="000000" w:themeColor="text1"/>
                <w:szCs w:val="21"/>
                <w14:textFill>
                  <w14:solidFill>
                    <w14:schemeClr w14:val="tx1"/>
                  </w14:solidFill>
                </w14:textFill>
              </w:rPr>
            </w:pPr>
          </w:p>
        </w:tc>
      </w:tr>
      <w:tr w14:paraId="214BBF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0" w:hRule="atLeast"/>
        </w:trPr>
        <w:tc>
          <w:tcPr>
            <w:tcW w:w="1371" w:type="dxa"/>
            <w:vMerge w:val="continue"/>
          </w:tcPr>
          <w:p w14:paraId="0EC9D862">
            <w:pPr>
              <w:spacing w:line="0" w:lineRule="atLeast"/>
              <w:rPr>
                <w:rFonts w:ascii="宋体" w:hAnsi="宋体"/>
                <w:color w:val="000000" w:themeColor="text1"/>
                <w:szCs w:val="21"/>
                <w14:textFill>
                  <w14:solidFill>
                    <w14:schemeClr w14:val="tx1"/>
                  </w14:solidFill>
                </w14:textFill>
              </w:rPr>
            </w:pPr>
          </w:p>
        </w:tc>
        <w:tc>
          <w:tcPr>
            <w:tcW w:w="4974" w:type="dxa"/>
            <w:tcBorders>
              <w:top w:val="single" w:color="auto" w:sz="4" w:space="0"/>
              <w:bottom w:val="single" w:color="auto" w:sz="4" w:space="0"/>
            </w:tcBorders>
          </w:tcPr>
          <w:p w14:paraId="4846496B">
            <w:pPr>
              <w:spacing w:line="0" w:lineRule="atLeas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常州方圆外企服务有限公司</w:t>
            </w:r>
          </w:p>
        </w:tc>
        <w:tc>
          <w:tcPr>
            <w:tcW w:w="1134" w:type="dxa"/>
            <w:tcBorders>
              <w:top w:val="single" w:color="auto" w:sz="4" w:space="0"/>
              <w:bottom w:val="single" w:color="auto" w:sz="4" w:space="0"/>
              <w:right w:val="single" w:color="auto" w:sz="4" w:space="0"/>
            </w:tcBorders>
          </w:tcPr>
          <w:p w14:paraId="302D12FC">
            <w:pPr>
              <w:spacing w:line="0" w:lineRule="atLeast"/>
              <w:ind w:leftChars="-51" w:hanging="107" w:hangingChars="51"/>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15648</w:t>
            </w: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2</w:t>
            </w:r>
          </w:p>
        </w:tc>
        <w:tc>
          <w:tcPr>
            <w:tcW w:w="1276" w:type="dxa"/>
            <w:tcBorders>
              <w:top w:val="single" w:color="auto" w:sz="4" w:space="0"/>
              <w:left w:val="single" w:color="auto" w:sz="4" w:space="0"/>
              <w:bottom w:val="single" w:color="auto" w:sz="4" w:space="0"/>
            </w:tcBorders>
          </w:tcPr>
          <w:p w14:paraId="2B4A9B96">
            <w:pPr>
              <w:spacing w:line="0" w:lineRule="atLeast"/>
              <w:rPr>
                <w:rFonts w:ascii="宋体" w:hAnsi="宋体"/>
                <w:color w:val="000000" w:themeColor="text1"/>
                <w:szCs w:val="21"/>
                <w14:textFill>
                  <w14:solidFill>
                    <w14:schemeClr w14:val="tx1"/>
                  </w14:solidFill>
                </w14:textFill>
              </w:rPr>
            </w:pPr>
          </w:p>
        </w:tc>
      </w:tr>
      <w:tr w14:paraId="51DDED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0" w:hRule="atLeast"/>
        </w:trPr>
        <w:tc>
          <w:tcPr>
            <w:tcW w:w="1371" w:type="dxa"/>
            <w:vMerge w:val="continue"/>
          </w:tcPr>
          <w:p w14:paraId="329DA09F">
            <w:pPr>
              <w:spacing w:line="0" w:lineRule="atLeast"/>
              <w:rPr>
                <w:rFonts w:ascii="宋体" w:hAnsi="宋体"/>
                <w:color w:val="000000" w:themeColor="text1"/>
                <w:szCs w:val="21"/>
                <w14:textFill>
                  <w14:solidFill>
                    <w14:schemeClr w14:val="tx1"/>
                  </w14:solidFill>
                </w14:textFill>
              </w:rPr>
            </w:pPr>
          </w:p>
        </w:tc>
        <w:tc>
          <w:tcPr>
            <w:tcW w:w="4974" w:type="dxa"/>
            <w:tcBorders>
              <w:top w:val="single" w:color="auto" w:sz="4" w:space="0"/>
            </w:tcBorders>
          </w:tcPr>
          <w:p w14:paraId="73AA95D4">
            <w:pPr>
              <w:spacing w:line="0" w:lineRule="atLeas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常州乔源科技有限公司</w:t>
            </w:r>
          </w:p>
        </w:tc>
        <w:tc>
          <w:tcPr>
            <w:tcW w:w="1134" w:type="dxa"/>
            <w:tcBorders>
              <w:top w:val="single" w:color="auto" w:sz="4" w:space="0"/>
              <w:right w:val="single" w:color="auto" w:sz="4" w:space="0"/>
            </w:tcBorders>
          </w:tcPr>
          <w:p w14:paraId="0444357F">
            <w:pPr>
              <w:spacing w:line="0" w:lineRule="atLeast"/>
              <w:ind w:leftChars="-51" w:hanging="107" w:hangingChars="51"/>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14014</w:t>
            </w: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3</w:t>
            </w:r>
          </w:p>
        </w:tc>
        <w:tc>
          <w:tcPr>
            <w:tcW w:w="1276" w:type="dxa"/>
            <w:tcBorders>
              <w:top w:val="single" w:color="auto" w:sz="4" w:space="0"/>
              <w:left w:val="single" w:color="auto" w:sz="4" w:space="0"/>
            </w:tcBorders>
          </w:tcPr>
          <w:p w14:paraId="1A1F5E7C">
            <w:pPr>
              <w:spacing w:line="0" w:lineRule="atLeast"/>
              <w:rPr>
                <w:rFonts w:ascii="宋体" w:hAnsi="宋体"/>
                <w:color w:val="000000" w:themeColor="text1"/>
                <w:szCs w:val="21"/>
                <w14:textFill>
                  <w14:solidFill>
                    <w14:schemeClr w14:val="tx1"/>
                  </w14:solidFill>
                </w14:textFill>
              </w:rPr>
            </w:pPr>
          </w:p>
        </w:tc>
      </w:tr>
    </w:tbl>
    <w:p w14:paraId="7A5EC8FB">
      <w:pPr>
        <w:tabs>
          <w:tab w:val="left" w:pos="2685"/>
        </w:tabs>
        <w:spacing w:line="360" w:lineRule="auto"/>
        <w:rPr>
          <w:rFonts w:ascii="黑体" w:hAnsi="宋体" w:eastAsia="黑体"/>
          <w:b/>
          <w:color w:val="000000" w:themeColor="text1"/>
          <w:sz w:val="32"/>
          <w:szCs w:val="32"/>
          <w14:textFill>
            <w14:solidFill>
              <w14:schemeClr w14:val="tx1"/>
            </w14:solidFill>
          </w14:textFill>
        </w:rPr>
      </w:pPr>
    </w:p>
    <w:p w14:paraId="59711C13">
      <w:pPr>
        <w:spacing w:line="600" w:lineRule="exact"/>
        <w:rPr>
          <w:rFonts w:ascii="黑体" w:hAnsi="宋体" w:eastAsia="黑体"/>
          <w:b/>
          <w:color w:val="000000" w:themeColor="text1"/>
          <w:sz w:val="32"/>
          <w:szCs w:val="32"/>
          <w14:textFill>
            <w14:solidFill>
              <w14:schemeClr w14:val="tx1"/>
            </w14:solidFill>
          </w14:textFill>
        </w:rPr>
      </w:pPr>
      <w:r>
        <w:rPr>
          <w:rFonts w:hint="eastAsia" w:ascii="黑体" w:hAnsi="宋体" w:eastAsia="黑体"/>
          <w:b/>
          <w:color w:val="000000" w:themeColor="text1"/>
          <w:sz w:val="32"/>
          <w:szCs w:val="32"/>
          <w14:textFill>
            <w14:solidFill>
              <w14:schemeClr w14:val="tx1"/>
            </w14:solidFill>
          </w14:textFill>
        </w:rPr>
        <w:t>（三）产业转型升级发展对策</w:t>
      </w:r>
    </w:p>
    <w:p w14:paraId="441F4ECA">
      <w:pPr>
        <w:spacing w:line="600" w:lineRule="exact"/>
        <w:rPr>
          <w:rFonts w:ascii="黑体" w:hAnsi="宋体" w:eastAsia="黑体"/>
          <w:b/>
          <w:color w:val="000000" w:themeColor="text1"/>
          <w:sz w:val="28"/>
          <w:szCs w:val="28"/>
          <w14:textFill>
            <w14:solidFill>
              <w14:schemeClr w14:val="tx1"/>
            </w14:solidFill>
          </w14:textFill>
        </w:rPr>
      </w:pPr>
      <w:r>
        <w:rPr>
          <w:rFonts w:hint="eastAsia" w:ascii="黑体" w:hAnsi="宋体" w:eastAsia="黑体"/>
          <w:b/>
          <w:color w:val="000000" w:themeColor="text1"/>
          <w:sz w:val="28"/>
          <w:szCs w:val="28"/>
          <w14:textFill>
            <w14:solidFill>
              <w14:schemeClr w14:val="tx1"/>
            </w14:solidFill>
          </w14:textFill>
        </w:rPr>
        <w:t>1.产业转型升级路径</w:t>
      </w:r>
    </w:p>
    <w:p w14:paraId="25518647">
      <w:pPr>
        <w:spacing w:line="600" w:lineRule="exact"/>
        <w:ind w:firstLine="61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转型”与“升级”虽然并不完全等同，但由于“转型”大多情况与“升级”连在一起，因此，经常存在界限不清现象。从内涵上讲，转型升级可以分为产业间转型升级和产业内转型升级两种基本类型。所谓产业间转型升级，就是基于“产业结构调整”的产业升级；所谓产业内转型升级，就是基于“价值链升级”的产业升级。产业间转型升级，主要从国家或区域的视角，观察一个国家、一个城市或更小区域单位产业结构变化，基本路径有两种：一是平稳渐进式，即产业结构由第一产业为主导向第二产业、第三产业为主导逐渐推进；二是倾斜突进式，即按照某种标准，选择一个或几个主导产业，以此在短时间内带动整个区域经济飞跃和产业结构提升。产业内转型升级，主要从企业的视角，按照产业价值链“微笑曲线”，由创造价值低的制造环节，向创造价值高的研发设计环节和营销环节转型。</w:t>
      </w:r>
    </w:p>
    <w:p w14:paraId="5E46CF63">
      <w:pPr>
        <w:spacing w:line="600" w:lineRule="exact"/>
        <w:rPr>
          <w:rFonts w:ascii="黑体" w:hAnsi="宋体" w:eastAsia="黑体"/>
          <w:b/>
          <w:color w:val="000000" w:themeColor="text1"/>
          <w:sz w:val="24"/>
          <w14:textFill>
            <w14:solidFill>
              <w14:schemeClr w14:val="tx1"/>
            </w14:solidFill>
          </w14:textFill>
        </w:rPr>
      </w:pPr>
      <w:r>
        <w:rPr>
          <w:rFonts w:ascii="宋体" w:hAnsi="宋体"/>
          <w:color w:val="000000" w:themeColor="text1"/>
          <w:sz w:val="28"/>
          <w:szCs w:val="28"/>
          <w14:textFill>
            <w14:solidFill>
              <w14:schemeClr w14:val="tx1"/>
            </w14:solidFill>
          </w14:textFill>
        </w:rPr>
        <mc:AlternateContent>
          <mc:Choice Requires="wps">
            <w:drawing>
              <wp:anchor distT="0" distB="0" distL="114300" distR="114300" simplePos="0" relativeHeight="251702272" behindDoc="0" locked="0" layoutInCell="1" allowOverlap="1">
                <wp:simplePos x="0" y="0"/>
                <wp:positionH relativeFrom="column">
                  <wp:posOffset>3503930</wp:posOffset>
                </wp:positionH>
                <wp:positionV relativeFrom="paragraph">
                  <wp:posOffset>1885315</wp:posOffset>
                </wp:positionV>
                <wp:extent cx="531495" cy="505460"/>
                <wp:effectExtent l="57150" t="76200" r="1905" b="27940"/>
                <wp:wrapNone/>
                <wp:docPr id="39" name="AutoShape 135"/>
                <wp:cNvGraphicFramePr/>
                <a:graphic xmlns:a="http://schemas.openxmlformats.org/drawingml/2006/main">
                  <a:graphicData uri="http://schemas.microsoft.com/office/word/2010/wordprocessingShape">
                    <wps:wsp>
                      <wps:cNvSpPr>
                        <a:spLocks noChangeArrowheads="1"/>
                      </wps:cNvSpPr>
                      <wps:spPr bwMode="auto">
                        <a:xfrm rot="-1819608">
                          <a:off x="0" y="0"/>
                          <a:ext cx="531495" cy="505460"/>
                        </a:xfrm>
                        <a:prstGeom prst="rightArrow">
                          <a:avLst>
                            <a:gd name="adj1" fmla="val 50000"/>
                            <a:gd name="adj2" fmla="val 26288"/>
                          </a:avLst>
                        </a:prstGeom>
                        <a:solidFill>
                          <a:srgbClr val="FFFFFF"/>
                        </a:solidFill>
                        <a:ln w="28575" cap="rnd">
                          <a:solidFill>
                            <a:srgbClr val="0000FF"/>
                          </a:solidFill>
                          <a:prstDash val="sysDot"/>
                          <a:miter lim="800000"/>
                        </a:ln>
                      </wps:spPr>
                      <wps:bodyPr rot="0" vert="horz" wrap="square" lIns="91440" tIns="45720" rIns="91440" bIns="45720" anchor="t" anchorCtr="0" upright="1">
                        <a:noAutofit/>
                      </wps:bodyPr>
                    </wps:wsp>
                  </a:graphicData>
                </a:graphic>
              </wp:anchor>
            </w:drawing>
          </mc:Choice>
          <mc:Fallback>
            <w:pict>
              <v:shape id="AutoShape 135" o:spid="_x0000_s1026" o:spt="13" type="#_x0000_t13" style="position:absolute;left:0pt;margin-left:275.9pt;margin-top:148.45pt;height:39.8pt;width:41.85pt;rotation:-1987497f;z-index:251702272;mso-width-relative:page;mso-height-relative:page;" fillcolor="#FFFFFF" filled="t" stroked="t" coordsize="21600,21600" o:gfxdata="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G0cmQncAAAACwEAAA8AAAAAAAAAAQAgAAAAIgAAAGRycy9kb3du&#10;cmV2LnhtbFBLAQIUABQAAAAIAIdO4kChH3FDbQIAAP8EAAAOAAAAAAAAAAEAIAAAACsBAABkcnMv&#10;ZTJvRG9jLnhtbFBLBQYAAAAABgAGAFkBAAAKBgAAAAA=&#10;" adj="16200,5400">
                <v:fill on="t" focussize="0,0"/>
                <v:stroke weight="2.25pt" color="#0000FF" miterlimit="8" joinstyle="miter" dashstyle="1 1" endcap="round"/>
                <v:imagedata o:title=""/>
                <o:lock v:ext="edit" aspectratio="f"/>
              </v:shape>
            </w:pict>
          </mc:Fallback>
        </mc:AlternateContent>
      </w:r>
      <w:r>
        <w:rPr>
          <w:rFonts w:ascii="宋体" w:hAnsi="宋体"/>
          <w:color w:val="000000" w:themeColor="text1"/>
          <w:sz w:val="28"/>
          <w:szCs w:val="28"/>
          <w14:textFill>
            <w14:solidFill>
              <w14:schemeClr w14:val="tx1"/>
            </w14:solidFill>
          </w14:textFill>
        </w:rPr>
        <mc:AlternateContent>
          <mc:Choice Requires="wps">
            <w:drawing>
              <wp:anchor distT="0" distB="0" distL="114300" distR="114300" simplePos="0" relativeHeight="251701248" behindDoc="0" locked="0" layoutInCell="1" allowOverlap="1">
                <wp:simplePos x="0" y="0"/>
                <wp:positionH relativeFrom="column">
                  <wp:posOffset>1712595</wp:posOffset>
                </wp:positionH>
                <wp:positionV relativeFrom="paragraph">
                  <wp:posOffset>1885950</wp:posOffset>
                </wp:positionV>
                <wp:extent cx="505460" cy="504825"/>
                <wp:effectExtent l="38100" t="76200" r="46990" b="28575"/>
                <wp:wrapNone/>
                <wp:docPr id="38" name="AutoShape 134"/>
                <wp:cNvGraphicFramePr/>
                <a:graphic xmlns:a="http://schemas.openxmlformats.org/drawingml/2006/main">
                  <a:graphicData uri="http://schemas.microsoft.com/office/word/2010/wordprocessingShape">
                    <wps:wsp>
                      <wps:cNvSpPr>
                        <a:spLocks noChangeArrowheads="1"/>
                      </wps:cNvSpPr>
                      <wps:spPr bwMode="auto">
                        <a:xfrm rot="13013152">
                          <a:off x="0" y="0"/>
                          <a:ext cx="505460" cy="504825"/>
                        </a:xfrm>
                        <a:prstGeom prst="rightArrow">
                          <a:avLst>
                            <a:gd name="adj1" fmla="val 50000"/>
                            <a:gd name="adj2" fmla="val 25031"/>
                          </a:avLst>
                        </a:prstGeom>
                        <a:solidFill>
                          <a:srgbClr val="FFFFFF"/>
                        </a:solidFill>
                        <a:ln w="28575" cap="rnd">
                          <a:solidFill>
                            <a:srgbClr val="0000FF"/>
                          </a:solidFill>
                          <a:prstDash val="sysDot"/>
                          <a:miter lim="800000"/>
                        </a:ln>
                      </wps:spPr>
                      <wps:bodyPr rot="0" vert="horz" wrap="square" lIns="91440" tIns="45720" rIns="91440" bIns="45720" anchor="t" anchorCtr="0" upright="1">
                        <a:noAutofit/>
                      </wps:bodyPr>
                    </wps:wsp>
                  </a:graphicData>
                </a:graphic>
              </wp:anchor>
            </w:drawing>
          </mc:Choice>
          <mc:Fallback>
            <w:pict>
              <v:shape id="AutoShape 134" o:spid="_x0000_s1026" o:spt="13" type="#_x0000_t13" style="position:absolute;left:0pt;margin-left:134.85pt;margin-top:148.5pt;height:39.75pt;width:39.8pt;rotation:-9379128f;z-index:251701248;mso-width-relative:page;mso-height-relative:page;" fillcolor="#FFFFFF" filled="t" stroked="t" coordsize="21600,21600" o:gfxdata="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CRa5MTbAAAACwEAAA8AAAAAAAAAAQAgAAAAIgAAAGRycy9kb3ducmV2&#10;LnhtbFBLAQIUABQAAAAIAIdO4kDuStqJawIAAP8EAAAOAAAAAAAAAAEAIAAAACoBAABkcnMvZTJv&#10;RG9jLnhtbFBLBQYAAAAABgAGAFkBAAAHBgAAAAA=&#10;" adj="16201,5400">
                <v:fill on="t" focussize="0,0"/>
                <v:stroke weight="2.25pt" color="#0000FF" miterlimit="8" joinstyle="miter" dashstyle="1 1" endcap="round"/>
                <v:imagedata o:title=""/>
                <o:lock v:ext="edit" aspectratio="f"/>
              </v:shape>
            </w:pict>
          </mc:Fallback>
        </mc:AlternateContent>
      </w:r>
      <w:r>
        <w:rPr>
          <w:rFonts w:ascii="宋体" w:hAnsi="宋体"/>
          <w:color w:val="000000" w:themeColor="text1"/>
          <w:sz w:val="28"/>
          <w:szCs w:val="28"/>
          <w14:textFill>
            <w14:solidFill>
              <w14:schemeClr w14:val="tx1"/>
            </w14:solidFill>
          </w14:textFill>
        </w:rPr>
        <mc:AlternateContent>
          <mc:Choice Requires="wps">
            <w:drawing>
              <wp:anchor distT="0" distB="0" distL="114300" distR="114300" simplePos="0" relativeHeight="251700224" behindDoc="0" locked="0" layoutInCell="1" allowOverlap="1">
                <wp:simplePos x="0" y="0"/>
                <wp:positionH relativeFrom="column">
                  <wp:posOffset>2218055</wp:posOffset>
                </wp:positionH>
                <wp:positionV relativeFrom="paragraph">
                  <wp:posOffset>1638300</wp:posOffset>
                </wp:positionV>
                <wp:extent cx="1285875" cy="933450"/>
                <wp:effectExtent l="19050" t="19050" r="28575" b="19050"/>
                <wp:wrapNone/>
                <wp:docPr id="37" name="Oval 133"/>
                <wp:cNvGraphicFramePr/>
                <a:graphic xmlns:a="http://schemas.openxmlformats.org/drawingml/2006/main">
                  <a:graphicData uri="http://schemas.microsoft.com/office/word/2010/wordprocessingShape">
                    <wps:wsp>
                      <wps:cNvSpPr>
                        <a:spLocks noChangeArrowheads="1"/>
                      </wps:cNvSpPr>
                      <wps:spPr bwMode="auto">
                        <a:xfrm>
                          <a:off x="0" y="0"/>
                          <a:ext cx="1285875" cy="933450"/>
                        </a:xfrm>
                        <a:prstGeom prst="ellipse">
                          <a:avLst/>
                        </a:prstGeom>
                        <a:noFill/>
                        <a:ln w="38100">
                          <a:solidFill>
                            <a:srgbClr val="0000FF"/>
                          </a:solidFill>
                          <a:prstDash val="sysDot"/>
                          <a:round/>
                        </a:ln>
                      </wps:spPr>
                      <wps:txbx>
                        <w:txbxContent>
                          <w:p w14:paraId="51A34E4B">
                            <w:pPr>
                              <w:ind w:firstLine="270" w:firstLineChars="150"/>
                              <w:rPr>
                                <w:color w:val="0000FF"/>
                                <w:sz w:val="18"/>
                                <w:szCs w:val="18"/>
                              </w:rPr>
                            </w:pPr>
                          </w:p>
                        </w:txbxContent>
                      </wps:txbx>
                      <wps:bodyPr rot="0" vert="horz" wrap="square" lIns="91440" tIns="45720" rIns="91440" bIns="45720" anchor="t" anchorCtr="0" upright="1">
                        <a:noAutofit/>
                      </wps:bodyPr>
                    </wps:wsp>
                  </a:graphicData>
                </a:graphic>
              </wp:anchor>
            </w:drawing>
          </mc:Choice>
          <mc:Fallback>
            <w:pict>
              <v:shape id="Oval 133" o:spid="_x0000_s1026" o:spt="3" type="#_x0000_t3" style="position:absolute;left:0pt;margin-left:174.65pt;margin-top:129pt;height:73.5pt;width:101.25pt;z-index:251700224;mso-width-relative:page;mso-height-relative:page;" filled="f" stroked="t" coordsize="21600,21600" o:gfxdata="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8wQBftkAAAALAQAADwAAAAAAAAABACAAAAAiAAAAZHJzL2Rvd25y&#10;ZXYueG1sUEsBAhQAFAAAAAgAh07iQJXfQHY2AgAAYwQAAA4AAAAAAAAAAQAgAAAAKAEAAGRycy9l&#10;Mm9Eb2MueG1sUEsFBgAAAAAGAAYAWQEAANAFAAAAAA==&#10;">
                <v:fill on="f" focussize="0,0"/>
                <v:stroke weight="3pt" color="#0000FF" joinstyle="round" dashstyle="1 1"/>
                <v:imagedata o:title=""/>
                <o:lock v:ext="edit" aspectratio="f"/>
                <v:textbox>
                  <w:txbxContent>
                    <w:p w14:paraId="51A34E4B">
                      <w:pPr>
                        <w:ind w:firstLine="270" w:firstLineChars="150"/>
                        <w:rPr>
                          <w:color w:val="0000FF"/>
                          <w:sz w:val="18"/>
                          <w:szCs w:val="18"/>
                        </w:rPr>
                      </w:pPr>
                    </w:p>
                  </w:txbxContent>
                </v:textbox>
              </v:shape>
            </w:pict>
          </mc:Fallback>
        </mc:AlternateContent>
      </w:r>
      <w:r>
        <w:rPr>
          <w:rFonts w:ascii="宋体" w:hAnsi="宋体"/>
          <w:color w:val="000000" w:themeColor="text1"/>
          <w:sz w:val="28"/>
          <w:szCs w:val="28"/>
          <w14:textFill>
            <w14:solidFill>
              <w14:schemeClr w14:val="tx1"/>
            </w14:solidFill>
          </w14:textFill>
        </w:rPr>
        <w:drawing>
          <wp:anchor distT="0" distB="0" distL="114300" distR="114300" simplePos="0" relativeHeight="251699200" behindDoc="0" locked="0" layoutInCell="1" allowOverlap="1">
            <wp:simplePos x="0" y="0"/>
            <wp:positionH relativeFrom="column">
              <wp:posOffset>19050</wp:posOffset>
            </wp:positionH>
            <wp:positionV relativeFrom="paragraph">
              <wp:posOffset>161925</wp:posOffset>
            </wp:positionV>
            <wp:extent cx="5334000" cy="2809875"/>
            <wp:effectExtent l="19050" t="19050" r="19050" b="28575"/>
            <wp:wrapTopAndBottom/>
            <wp:docPr id="137" name="图片 7" descr="20130109161554508_看图王_看图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7" descr="20130109161554508_看图王_看图王.png"/>
                    <pic:cNvPicPr>
                      <a:picLocks noChangeAspect="1" noChangeArrowheads="1"/>
                    </pic:cNvPicPr>
                  </pic:nvPicPr>
                  <pic:blipFill>
                    <a:blip r:embed="rId31" cstate="print"/>
                    <a:srcRect/>
                    <a:stretch>
                      <a:fillRect/>
                    </a:stretch>
                  </pic:blipFill>
                  <pic:spPr>
                    <a:xfrm>
                      <a:off x="0" y="0"/>
                      <a:ext cx="5334000" cy="2809875"/>
                    </a:xfrm>
                    <a:prstGeom prst="rect">
                      <a:avLst/>
                    </a:prstGeom>
                    <a:noFill/>
                    <a:ln w="9525">
                      <a:solidFill>
                        <a:srgbClr val="000000"/>
                      </a:solidFill>
                      <a:miter lim="800000"/>
                      <a:headEnd/>
                      <a:tailEnd/>
                    </a:ln>
                  </pic:spPr>
                </pic:pic>
              </a:graphicData>
            </a:graphic>
          </wp:anchor>
        </w:drawing>
      </w:r>
      <w:r>
        <w:rPr>
          <w:rFonts w:hint="eastAsia" w:ascii="宋体" w:hAnsi="宋体"/>
          <w:color w:val="000000" w:themeColor="text1"/>
          <w:sz w:val="28"/>
          <w:szCs w:val="28"/>
          <w14:textFill>
            <w14:solidFill>
              <w14:schemeClr w14:val="tx1"/>
            </w14:solidFill>
          </w14:textFill>
        </w:rPr>
        <w:t xml:space="preserve">      </w:t>
      </w:r>
      <w:r>
        <w:rPr>
          <w:rFonts w:hint="eastAsia" w:ascii="黑体" w:hAnsi="宋体" w:eastAsia="黑体"/>
          <w:b/>
          <w:color w:val="000000" w:themeColor="text1"/>
          <w:sz w:val="24"/>
          <w14:textFill>
            <w14:solidFill>
              <w14:schemeClr w14:val="tx1"/>
            </w14:solidFill>
          </w14:textFill>
        </w:rPr>
        <w:t>图5：三井街道制造企业在产业价值链“微笑曲线”地位和转型方向</w:t>
      </w:r>
    </w:p>
    <w:p w14:paraId="4023B304">
      <w:pPr>
        <w:spacing w:line="600" w:lineRule="exact"/>
        <w:ind w:firstLine="61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就产业和企业分布而言，三井街道产业转型升级主要路径：从产业间转型升级路径看，一方面，应由第二产业为主导转为第三产业为主导；另一方面，应按照倾斜突进式转型升级路径，选择一个或几个主导产业，带动三井街道经济飞跃和产业结构提升。从产业内转型升级路径看，应引导企业由“微笑曲线”创造价值低的制造环节，向创造价值高的研发设计环节和营销环节转型，尤其要重点向创造价值高的研发设计环节转型。</w:t>
      </w:r>
    </w:p>
    <w:p w14:paraId="0300DC02">
      <w:pPr>
        <w:spacing w:line="6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产业转型升级策略上，一是三井街道要大力发展第三产业尤其现代服务业增量，继续提升第三产业比重，加快产城融合步伐；二是聚焦第二产业中有竞争优势少数行业，由其带动三井街道经济发展和产业结构优化；三是引导现有工业企业向高端智能制造发展，由生产型制造向服务型制造转变；四是大力引进现代服务业项目，通过增量优化提升产业存量。</w:t>
      </w:r>
    </w:p>
    <w:p w14:paraId="707F024D">
      <w:pPr>
        <w:spacing w:line="600" w:lineRule="exact"/>
        <w:rPr>
          <w:rFonts w:ascii="黑体" w:hAnsi="宋体" w:eastAsia="黑体"/>
          <w:b/>
          <w:color w:val="000000" w:themeColor="text1"/>
          <w:sz w:val="28"/>
          <w:szCs w:val="28"/>
          <w14:textFill>
            <w14:solidFill>
              <w14:schemeClr w14:val="tx1"/>
            </w14:solidFill>
          </w14:textFill>
        </w:rPr>
      </w:pPr>
      <w:r>
        <w:rPr>
          <w:rFonts w:hint="eastAsia" w:ascii="黑体" w:hAnsi="宋体" w:eastAsia="黑体"/>
          <w:b/>
          <w:color w:val="000000" w:themeColor="text1"/>
          <w:sz w:val="28"/>
          <w:szCs w:val="28"/>
          <w14:textFill>
            <w14:solidFill>
              <w14:schemeClr w14:val="tx1"/>
            </w14:solidFill>
          </w14:textFill>
        </w:rPr>
        <w:t>2.第二产业发展策略</w:t>
      </w:r>
    </w:p>
    <w:p w14:paraId="5E4C5FFE">
      <w:pPr>
        <w:spacing w:line="600" w:lineRule="exact"/>
        <w:ind w:firstLine="615"/>
        <w:rPr>
          <w:rFonts w:hint="eastAsia" w:ascii="宋体" w:hAnsi="宋体" w:cs="宋体"/>
          <w:color w:val="000000" w:themeColor="text1"/>
          <w:kern w:val="0"/>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第二产业发展方面，由于三井街道工业用地局限于藻江河以西、龙江路以东、黄河路以南、龙城大道以北的三井工业园，已没有可供开发工业土地，因此，未来三井街道工业主要侧重于内涵式发展。一是针对工业企业“多而散、散而小、小而弱”情况，三井街道应对存量工业进行结构优化，明确工业发展方向，对一些与三井街道功能定位不符行业和经济效益相对差的企业，实行工业土地收储，通过“退二进三”或“退二优二”方法，用收储工业土地发展总部经济、商贸物流、电子商务、研发等或把土地优先转让给效益好、有发展前景企业；二是鼓励现有工业企业转型升级，</w:t>
      </w:r>
      <w:r>
        <w:rPr>
          <w:rFonts w:hint="eastAsia" w:ascii="宋体" w:hAnsi="宋体" w:cs="宋体"/>
          <w:color w:val="000000" w:themeColor="text1"/>
          <w:kern w:val="0"/>
          <w:sz w:val="28"/>
          <w:szCs w:val="28"/>
          <w14:textFill>
            <w14:solidFill>
              <w14:schemeClr w14:val="tx1"/>
            </w14:solidFill>
          </w14:textFill>
        </w:rPr>
        <w:t>由</w:t>
      </w:r>
      <w:r>
        <w:rPr>
          <w:rFonts w:ascii="宋体" w:hAnsi="宋体" w:cs="宋体"/>
          <w:color w:val="000000" w:themeColor="text1"/>
          <w:kern w:val="0"/>
          <w:sz w:val="28"/>
          <w:szCs w:val="28"/>
          <w14:textFill>
            <w14:solidFill>
              <w14:schemeClr w14:val="tx1"/>
            </w14:solidFill>
          </w14:textFill>
        </w:rPr>
        <w:t>生产型制造向服务型制造转变</w:t>
      </w:r>
      <w:r>
        <w:rPr>
          <w:rFonts w:hint="eastAsia" w:ascii="宋体" w:hAnsi="宋体" w:cs="宋体"/>
          <w:color w:val="000000" w:themeColor="text1"/>
          <w:kern w:val="0"/>
          <w:sz w:val="28"/>
          <w:szCs w:val="28"/>
          <w14:textFill>
            <w14:solidFill>
              <w14:schemeClr w14:val="tx1"/>
            </w14:solidFill>
          </w14:textFill>
        </w:rPr>
        <w:t>，由投资驱动向创新驱动转变，推动企业重点发展研发设计、投资决策、营销推广、品牌输出、结算服务等；三是从2014年统计看，三井街道规模以上工业企业涉及19个工业行业，有的工业行业只有少量企业，有的工业行业已不适合三井街道发展，三井街道需要调整行业结构，集中力量发展优势行业，三井街道宜把机电一体化、医疗器械、仪器仪表等行业作为重点发展行业，朝智能化方向发展，三井街道工业企业不求大，但要求“专、精、特、新、强”；四是三井街道要利用收储工业厂区厂房和新建楼宇等形式建立一批创新与创业、线上与线下、孵化与投资相结合的众创空间、众创平台，吸引有志向、有能力、有激情的青年到三井街道创新创业；五是跟踪科技革命前沿，选择某技术领域，创建江苏产业技术研究院（三井）专业研究所，并与三晶信息技术孵化器、</w:t>
      </w:r>
      <w:r>
        <w:rPr>
          <w:rFonts w:hint="eastAsia" w:ascii="宋体" w:hAnsi="宋体"/>
          <w:color w:val="000000" w:themeColor="text1"/>
          <w:sz w:val="28"/>
          <w:szCs w:val="28"/>
          <w14:textFill>
            <w14:solidFill>
              <w14:schemeClr w14:val="tx1"/>
            </w14:solidFill>
          </w14:textFill>
        </w:rPr>
        <w:t>海博生物医疗器械科技园、国家广告产业园三井基地等平台结合起来，形成完整“苗圃——孵化器——加速器”科技创新创业孵化链条；六是开展对外合作，一方面与高校、科研院所合作寻找创新创业项目源，另一方面与外部专业园区合作，通过体制机制创新，寻找科技成果产业化落地空间，实现利益共享</w:t>
      </w:r>
      <w:r>
        <w:rPr>
          <w:rFonts w:hint="eastAsia" w:ascii="宋体" w:hAnsi="宋体" w:cs="宋体"/>
          <w:color w:val="000000" w:themeColor="text1"/>
          <w:kern w:val="0"/>
          <w:sz w:val="28"/>
          <w:szCs w:val="28"/>
          <w14:textFill>
            <w14:solidFill>
              <w14:schemeClr w14:val="tx1"/>
            </w14:solidFill>
          </w14:textFill>
        </w:rPr>
        <w:t>。</w:t>
      </w:r>
    </w:p>
    <w:p w14:paraId="2E00EBCE">
      <w:pPr>
        <w:spacing w:line="600" w:lineRule="exact"/>
        <w:rPr>
          <w:rFonts w:hint="eastAsia" w:ascii="黑体" w:hAnsi="宋体" w:eastAsia="黑体" w:cs="宋体"/>
          <w:b/>
          <w:color w:val="000000" w:themeColor="text1"/>
          <w:kern w:val="0"/>
          <w:sz w:val="28"/>
          <w:szCs w:val="28"/>
          <w14:textFill>
            <w14:solidFill>
              <w14:schemeClr w14:val="tx1"/>
            </w14:solidFill>
          </w14:textFill>
        </w:rPr>
      </w:pPr>
      <w:r>
        <w:rPr>
          <w:rFonts w:hint="eastAsia" w:ascii="黑体" w:hAnsi="宋体" w:eastAsia="黑体" w:cs="宋体"/>
          <w:b/>
          <w:color w:val="000000" w:themeColor="text1"/>
          <w:kern w:val="0"/>
          <w:sz w:val="28"/>
          <w:szCs w:val="28"/>
          <w14:textFill>
            <w14:solidFill>
              <w14:schemeClr w14:val="tx1"/>
            </w14:solidFill>
          </w14:textFill>
        </w:rPr>
        <w:t>2.第三产业发展对策</w:t>
      </w:r>
    </w:p>
    <w:p w14:paraId="299B1C92">
      <w:pPr>
        <w:ind w:left="141" w:leftChars="67"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第三产业门类繁多，选择什么样的行业作为重点发展方向，一要考虑三井街道发展定位，二要考虑市场需求，三要考虑供给即三井街道发展第三产业条件；另外，第三产业发展不是多头并进，既要有主次之分，也要有先后之分。通过对三井街道第三产业外部环境和三井街道发展定位分析，三井街道第三产业发展方向可概括为：</w:t>
      </w:r>
      <w:r>
        <w:rPr>
          <w:rFonts w:hint="eastAsia" w:ascii="黑体" w:hAnsi="宋体" w:eastAsia="黑体"/>
          <w:b/>
          <w:color w:val="000000" w:themeColor="text1"/>
          <w:sz w:val="28"/>
          <w:szCs w:val="28"/>
          <w14:textFill>
            <w14:solidFill>
              <w14:schemeClr w14:val="tx1"/>
            </w14:solidFill>
          </w14:textFill>
        </w:rPr>
        <w:t>做强主导服务业、做大生产服务业、做实社区消费服务业</w:t>
      </w:r>
      <w:r>
        <w:rPr>
          <w:rFonts w:hint="eastAsia" w:ascii="宋体" w:hAnsi="宋体"/>
          <w:color w:val="000000" w:themeColor="text1"/>
          <w:sz w:val="28"/>
          <w:szCs w:val="28"/>
          <w14:textFill>
            <w14:solidFill>
              <w14:schemeClr w14:val="tx1"/>
            </w14:solidFill>
          </w14:textFill>
        </w:rPr>
        <w:t>。</w:t>
      </w:r>
    </w:p>
    <w:p w14:paraId="1A47532F">
      <w:pPr>
        <w:ind w:firstLine="708" w:firstLineChars="253"/>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mc:AlternateContent>
          <mc:Choice Requires="wpc">
            <w:drawing>
              <wp:inline distT="0" distB="0" distL="0" distR="0">
                <wp:extent cx="4464050" cy="2447290"/>
                <wp:effectExtent l="0" t="0" r="12700" b="10160"/>
                <wp:docPr id="36" name="画布 75"/>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20" name="AutoShape 77"/>
                        <wps:cNvCnPr>
                          <a:cxnSpLocks noChangeShapeType="1"/>
                        </wps:cNvCnPr>
                        <wps:spPr bwMode="auto">
                          <a:xfrm>
                            <a:off x="197700" y="1975617"/>
                            <a:ext cx="4172800" cy="800"/>
                          </a:xfrm>
                          <a:prstGeom prst="straightConnector1">
                            <a:avLst/>
                          </a:prstGeom>
                          <a:noFill/>
                          <a:ln w="9525">
                            <a:solidFill>
                              <a:srgbClr val="000000"/>
                            </a:solidFill>
                            <a:round/>
                            <a:tailEnd type="triangle" w="med" len="med"/>
                          </a:ln>
                        </wps:spPr>
                        <wps:bodyPr/>
                      </wps:wsp>
                      <wps:wsp>
                        <wps:cNvPr id="25" name="AutoShape 78"/>
                        <wps:cNvCnPr>
                          <a:cxnSpLocks noChangeShapeType="1"/>
                        </wps:cNvCnPr>
                        <wps:spPr bwMode="auto">
                          <a:xfrm flipV="1">
                            <a:off x="197700" y="139901"/>
                            <a:ext cx="0" cy="1838716"/>
                          </a:xfrm>
                          <a:prstGeom prst="straightConnector1">
                            <a:avLst/>
                          </a:prstGeom>
                          <a:noFill/>
                          <a:ln w="9525">
                            <a:solidFill>
                              <a:srgbClr val="000000"/>
                            </a:solidFill>
                            <a:round/>
                            <a:tailEnd type="triangle" w="med" len="med"/>
                          </a:ln>
                        </wps:spPr>
                        <wps:bodyPr/>
                      </wps:wsp>
                      <wps:wsp>
                        <wps:cNvPr id="26" name="AutoShape 79"/>
                        <wps:cNvCnPr>
                          <a:cxnSpLocks noChangeShapeType="1"/>
                        </wps:cNvCnPr>
                        <wps:spPr bwMode="auto">
                          <a:xfrm>
                            <a:off x="197700" y="368403"/>
                            <a:ext cx="4172800" cy="800"/>
                          </a:xfrm>
                          <a:prstGeom prst="straightConnector1">
                            <a:avLst/>
                          </a:prstGeom>
                          <a:noFill/>
                          <a:ln w="9525">
                            <a:solidFill>
                              <a:srgbClr val="000000"/>
                            </a:solidFill>
                            <a:round/>
                          </a:ln>
                        </wps:spPr>
                        <wps:bodyPr/>
                      </wps:wsp>
                      <wps:wsp>
                        <wps:cNvPr id="27" name="AutoShape 80"/>
                        <wps:cNvCnPr>
                          <a:cxnSpLocks noChangeShapeType="1"/>
                        </wps:cNvCnPr>
                        <wps:spPr bwMode="auto">
                          <a:xfrm>
                            <a:off x="4369700" y="320103"/>
                            <a:ext cx="800" cy="1656314"/>
                          </a:xfrm>
                          <a:prstGeom prst="straightConnector1">
                            <a:avLst/>
                          </a:prstGeom>
                          <a:noFill/>
                          <a:ln w="9525">
                            <a:solidFill>
                              <a:srgbClr val="000000"/>
                            </a:solidFill>
                            <a:round/>
                          </a:ln>
                        </wps:spPr>
                        <wps:bodyPr/>
                      </wps:wsp>
                      <wps:wsp>
                        <wps:cNvPr id="28" name="AutoShape 81"/>
                        <wps:cNvCnPr>
                          <a:cxnSpLocks noChangeShapeType="1"/>
                        </wps:cNvCnPr>
                        <wps:spPr bwMode="auto">
                          <a:xfrm>
                            <a:off x="197700" y="1149310"/>
                            <a:ext cx="4171300" cy="19100"/>
                          </a:xfrm>
                          <a:prstGeom prst="straightConnector1">
                            <a:avLst/>
                          </a:prstGeom>
                          <a:noFill/>
                          <a:ln w="9525">
                            <a:solidFill>
                              <a:srgbClr val="000000"/>
                            </a:solidFill>
                            <a:round/>
                          </a:ln>
                        </wps:spPr>
                        <wps:bodyPr/>
                      </wps:wsp>
                      <wps:wsp>
                        <wps:cNvPr id="29" name="AutoShape 82"/>
                        <wps:cNvCnPr>
                          <a:cxnSpLocks noChangeShapeType="1"/>
                        </wps:cNvCnPr>
                        <wps:spPr bwMode="auto">
                          <a:xfrm>
                            <a:off x="2160300" y="422604"/>
                            <a:ext cx="700" cy="1163310"/>
                          </a:xfrm>
                          <a:prstGeom prst="straightConnector1">
                            <a:avLst/>
                          </a:prstGeom>
                          <a:noFill/>
                          <a:ln w="9525">
                            <a:solidFill>
                              <a:srgbClr val="000000"/>
                            </a:solidFill>
                            <a:round/>
                          </a:ln>
                        </wps:spPr>
                        <wps:bodyPr/>
                      </wps:wsp>
                      <wps:wsp>
                        <wps:cNvPr id="30" name="Rectangle 84"/>
                        <wps:cNvSpPr>
                          <a:spLocks noChangeArrowheads="1"/>
                        </wps:cNvSpPr>
                        <wps:spPr bwMode="auto">
                          <a:xfrm>
                            <a:off x="3397600" y="2100341"/>
                            <a:ext cx="619000" cy="259302"/>
                          </a:xfrm>
                          <a:prstGeom prst="rect">
                            <a:avLst/>
                          </a:prstGeom>
                          <a:solidFill>
                            <a:srgbClr val="FFFFFF"/>
                          </a:solidFill>
                          <a:ln>
                            <a:noFill/>
                          </a:ln>
                        </wps:spPr>
                        <wps:txbx>
                          <w:txbxContent>
                            <w:p w14:paraId="66A75166">
                              <w:pPr>
                                <w:rPr>
                                  <w:sz w:val="18"/>
                                  <w:szCs w:val="18"/>
                                </w:rPr>
                              </w:pPr>
                              <w:r>
                                <w:rPr>
                                  <w:rFonts w:hint="eastAsia"/>
                                  <w:sz w:val="18"/>
                                  <w:szCs w:val="18"/>
                                </w:rPr>
                                <w:t>重要性</w:t>
                              </w:r>
                            </w:p>
                          </w:txbxContent>
                        </wps:txbx>
                        <wps:bodyPr rot="0" vert="horz" wrap="square" lIns="91440" tIns="45720" rIns="91440" bIns="45720" anchor="t" anchorCtr="0" upright="1">
                          <a:noAutofit/>
                        </wps:bodyPr>
                      </wps:wsp>
                      <wps:wsp>
                        <wps:cNvPr id="31" name="Rectangle 85"/>
                        <wps:cNvSpPr>
                          <a:spLocks noChangeArrowheads="1"/>
                        </wps:cNvSpPr>
                        <wps:spPr bwMode="auto">
                          <a:xfrm>
                            <a:off x="2161000" y="1249011"/>
                            <a:ext cx="2141300" cy="674606"/>
                          </a:xfrm>
                          <a:prstGeom prst="rect">
                            <a:avLst/>
                          </a:prstGeom>
                          <a:solidFill>
                            <a:srgbClr val="FFFFFF"/>
                          </a:solidFill>
                          <a:ln>
                            <a:noFill/>
                          </a:ln>
                        </wps:spPr>
                        <wps:txbx>
                          <w:txbxContent>
                            <w:p w14:paraId="78697DE3">
                              <w:pPr>
                                <w:rPr>
                                  <w:sz w:val="18"/>
                                  <w:szCs w:val="18"/>
                                </w:rPr>
                              </w:pPr>
                              <w:r>
                                <w:rPr>
                                  <w:rFonts w:hint="eastAsia"/>
                                  <w:sz w:val="18"/>
                                  <w:szCs w:val="18"/>
                                </w:rPr>
                                <w:t>重要但不是急迫产业：生产性服务业（金融服务、科技服务等）</w:t>
                              </w:r>
                            </w:p>
                          </w:txbxContent>
                        </wps:txbx>
                        <wps:bodyPr rot="0" vert="horz" wrap="square" lIns="91440" tIns="45720" rIns="91440" bIns="45720" anchor="t" anchorCtr="0" upright="1">
                          <a:noAutofit/>
                        </wps:bodyPr>
                      </wps:wsp>
                      <wps:wsp>
                        <wps:cNvPr id="32" name="Rectangle 86"/>
                        <wps:cNvSpPr>
                          <a:spLocks noChangeArrowheads="1"/>
                        </wps:cNvSpPr>
                        <wps:spPr bwMode="auto">
                          <a:xfrm>
                            <a:off x="2161000" y="422604"/>
                            <a:ext cx="2027800" cy="668906"/>
                          </a:xfrm>
                          <a:prstGeom prst="rect">
                            <a:avLst/>
                          </a:prstGeom>
                          <a:solidFill>
                            <a:srgbClr val="FFFFFF"/>
                          </a:solidFill>
                          <a:ln>
                            <a:noFill/>
                          </a:ln>
                        </wps:spPr>
                        <wps:txbx>
                          <w:txbxContent>
                            <w:p w14:paraId="7EE6794A">
                              <w:pPr>
                                <w:rPr>
                                  <w:sz w:val="18"/>
                                  <w:szCs w:val="18"/>
                                </w:rPr>
                              </w:pPr>
                              <w:r>
                                <w:rPr>
                                  <w:rFonts w:hint="eastAsia"/>
                                  <w:sz w:val="18"/>
                                  <w:szCs w:val="18"/>
                                </w:rPr>
                                <w:t>既急迫又重要产业：都市旅游业、商务服务业、区域</w:t>
                              </w:r>
                              <w:r>
                                <w:rPr>
                                  <w:rFonts w:hint="eastAsia" w:ascii="宋体" w:hAnsi="宋体"/>
                                  <w:sz w:val="18"/>
                                  <w:szCs w:val="18"/>
                                </w:rPr>
                                <w:t>/</w:t>
                              </w:r>
                              <w:r>
                                <w:rPr>
                                  <w:rFonts w:hint="eastAsia"/>
                                  <w:sz w:val="18"/>
                                  <w:szCs w:val="18"/>
                                </w:rPr>
                                <w:t>市域商业</w:t>
                              </w:r>
                            </w:p>
                          </w:txbxContent>
                        </wps:txbx>
                        <wps:bodyPr rot="0" vert="horz" wrap="square" lIns="91440" tIns="45720" rIns="91440" bIns="45720" anchor="t" anchorCtr="0" upright="1">
                          <a:noAutofit/>
                        </wps:bodyPr>
                      </wps:wsp>
                      <wps:wsp>
                        <wps:cNvPr id="33" name="Rectangle 87"/>
                        <wps:cNvSpPr>
                          <a:spLocks noChangeArrowheads="1"/>
                        </wps:cNvSpPr>
                        <wps:spPr bwMode="auto">
                          <a:xfrm>
                            <a:off x="283500" y="495204"/>
                            <a:ext cx="1704700" cy="524505"/>
                          </a:xfrm>
                          <a:prstGeom prst="rect">
                            <a:avLst/>
                          </a:prstGeom>
                          <a:solidFill>
                            <a:srgbClr val="FFFFFF"/>
                          </a:solidFill>
                          <a:ln>
                            <a:noFill/>
                          </a:ln>
                        </wps:spPr>
                        <wps:txbx>
                          <w:txbxContent>
                            <w:p w14:paraId="07FEE3EB">
                              <w:pPr>
                                <w:rPr>
                                  <w:sz w:val="18"/>
                                  <w:szCs w:val="18"/>
                                </w:rPr>
                              </w:pPr>
                              <w:r>
                                <w:rPr>
                                  <w:rFonts w:hint="eastAsia"/>
                                  <w:sz w:val="18"/>
                                  <w:szCs w:val="18"/>
                                </w:rPr>
                                <w:t>急迫但不重要产业：（物流服务等）</w:t>
                              </w:r>
                            </w:p>
                          </w:txbxContent>
                        </wps:txbx>
                        <wps:bodyPr rot="0" vert="horz" wrap="square" lIns="91440" tIns="45720" rIns="91440" bIns="45720" anchor="t" anchorCtr="0" upright="1">
                          <a:noAutofit/>
                        </wps:bodyPr>
                      </wps:wsp>
                      <wps:wsp>
                        <wps:cNvPr id="34" name="Rectangle 88"/>
                        <wps:cNvSpPr>
                          <a:spLocks noChangeArrowheads="1"/>
                        </wps:cNvSpPr>
                        <wps:spPr bwMode="auto">
                          <a:xfrm>
                            <a:off x="283500" y="1248211"/>
                            <a:ext cx="1704700" cy="524505"/>
                          </a:xfrm>
                          <a:prstGeom prst="rect">
                            <a:avLst/>
                          </a:prstGeom>
                          <a:solidFill>
                            <a:srgbClr val="FFFFFF"/>
                          </a:solidFill>
                          <a:ln>
                            <a:noFill/>
                          </a:ln>
                        </wps:spPr>
                        <wps:txbx>
                          <w:txbxContent>
                            <w:p w14:paraId="43C14A4E">
                              <w:pPr>
                                <w:rPr>
                                  <w:sz w:val="18"/>
                                  <w:szCs w:val="18"/>
                                </w:rPr>
                              </w:pPr>
                              <w:r>
                                <w:rPr>
                                  <w:rFonts w:hint="eastAsia"/>
                                  <w:sz w:val="18"/>
                                  <w:szCs w:val="18"/>
                                </w:rPr>
                                <w:t>既不急迫又不重要产业：家政服务业、个人消费服务等</w:t>
                              </w:r>
                            </w:p>
                          </w:txbxContent>
                        </wps:txbx>
                        <wps:bodyPr rot="0" vert="horz" wrap="square" lIns="91440" tIns="45720" rIns="91440" bIns="45720" anchor="t" anchorCtr="0" upright="1">
                          <a:noAutofit/>
                        </wps:bodyPr>
                      </wps:wsp>
                      <wps:wsp>
                        <wps:cNvPr id="35" name="Rectangle 83"/>
                        <wps:cNvSpPr>
                          <a:spLocks noChangeArrowheads="1"/>
                        </wps:cNvSpPr>
                        <wps:spPr bwMode="auto">
                          <a:xfrm>
                            <a:off x="284900" y="85724"/>
                            <a:ext cx="619000" cy="283479"/>
                          </a:xfrm>
                          <a:prstGeom prst="rect">
                            <a:avLst/>
                          </a:prstGeom>
                          <a:solidFill>
                            <a:srgbClr val="FFFFFF"/>
                          </a:solidFill>
                          <a:ln>
                            <a:noFill/>
                          </a:ln>
                        </wps:spPr>
                        <wps:txbx>
                          <w:txbxContent>
                            <w:p w14:paraId="7E5AFFF1">
                              <w:pPr>
                                <w:rPr>
                                  <w:sz w:val="18"/>
                                  <w:szCs w:val="18"/>
                                </w:rPr>
                              </w:pPr>
                              <w:r>
                                <w:rPr>
                                  <w:rFonts w:hint="eastAsia"/>
                                  <w:sz w:val="18"/>
                                  <w:szCs w:val="18"/>
                                </w:rPr>
                                <w:t>急迫性</w:t>
                              </w:r>
                            </w:p>
                          </w:txbxContent>
                        </wps:txbx>
                        <wps:bodyPr rot="0" vert="horz" wrap="square" lIns="91440" tIns="45720" rIns="91440" bIns="45720" anchor="t" anchorCtr="0" upright="1">
                          <a:noAutofit/>
                        </wps:bodyPr>
                      </wps:wsp>
                    </wpc:wpc>
                  </a:graphicData>
                </a:graphic>
              </wp:inline>
            </w:drawing>
          </mc:Choice>
          <mc:Fallback>
            <w:pict>
              <v:group id="画布 75" o:spid="_x0000_s1026" o:spt="203" style="height:192.7pt;width:351.5pt;" coordsize="4464050,2447290" editas="canvas" o:gfxdata="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">
                <o:lock v:ext="edit" aspectratio="f"/>
                <v:shape id="画布 75" o:spid="_x0000_s1026" style="position:absolute;left:0;top:0;height:2447290;width:4464050;" filled="f" stroked="t" coordsize="21600,21600" o:gfxdata="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">
                  <v:fill on="f" focussize="0,0"/>
                  <v:stroke color="#000000" miterlimit="8" joinstyle="miter"/>
                  <v:imagedata o:title=""/>
                  <o:lock v:ext="edit" aspectratio="f"/>
                </v:shape>
                <v:shape id="AutoShape 77" o:spid="_x0000_s1026" o:spt="32" type="#_x0000_t32" style="position:absolute;left:197700;top:1975617;height:800;width:4172800;" filled="f" stroked="t" coordsize="21600,21600" o:gfxdata="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pO4y/XAAAABQEAAA8AAAAAAAAAAQAgAAAAIgAAAGRycy9kb3ducmV2Lnht&#10;bFBLAQIUABQAAAAIAIdO4kAbbefm+gEAAO8DAAAOAAAAAAAAAAEAIAAAACYBAABkcnMvZTJvRG9j&#10;LnhtbFBLBQYAAAAABgAGAFkBAACSBQAAAAA=&#10;">
                  <v:fill on="f" focussize="0,0"/>
                  <v:stroke color="#000000" joinstyle="round" endarrow="block"/>
                  <v:imagedata o:title=""/>
                  <o:lock v:ext="edit" aspectratio="f"/>
                </v:shape>
                <v:shape id="AutoShape 78" o:spid="_x0000_s1026" o:spt="32" type="#_x0000_t32" style="position:absolute;left:197700;top:139901;flip:y;height:1838716;width:0;" filled="f" stroked="t" coordsize="21600,21600" o:gfxdata="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K0stR1gAAAAUBAAAPAAAAAAAAAAEAIAAAACIAAABkcnMvZG93bnJl&#10;di54bWxQSwECFAAUAAAACACHTuJAf2XDY/8BAAD2AwAADgAAAAAAAAABACAAAAAlAQAAZHJzL2Uy&#10;b0RvYy54bWxQSwUGAAAAAAYABgBZAQAAlgUAAAAA&#10;">
                  <v:fill on="f" focussize="0,0"/>
                  <v:stroke color="#000000" joinstyle="round" endarrow="block"/>
                  <v:imagedata o:title=""/>
                  <o:lock v:ext="edit" aspectratio="f"/>
                </v:shape>
                <v:shape id="AutoShape 79" o:spid="_x0000_s1026" o:spt="32" type="#_x0000_t32" style="position:absolute;left:197700;top:368403;height:800;width:4172800;" filled="f" stroked="t" coordsize="21600,21600" o:gfxdata="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C6KiePVAAAABQEA&#10;AA8AAAAAAAAAAQAgAAAAIgAAAGRycy9kb3ducmV2LnhtbFBLAQIUABQAAAAIAIdO4kA4rCfi5AEA&#10;AMADAAAOAAAAAAAAAAEAIAAAACQBAABkcnMvZTJvRG9jLnhtbFBLBQYAAAAABgAGAFkBAAB6BQAA&#10;AAA=&#10;">
                  <v:fill on="f" focussize="0,0"/>
                  <v:stroke color="#000000" joinstyle="round"/>
                  <v:imagedata o:title=""/>
                  <o:lock v:ext="edit" aspectratio="f"/>
                </v:shape>
                <v:shape id="AutoShape 80" o:spid="_x0000_s1026" o:spt="32" type="#_x0000_t32" style="position:absolute;left:4369700;top:320103;height:1656314;width:800;" filled="f" stroked="t" coordsize="21600,21600" o:gfxdata="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uionj1QAAAAUB&#10;AAAPAAAAAAAAAAEAIAAAACIAAABkcnMvZG93bnJldi54bWxQSwECFAAUAAAACACHTuJA5QXsJOUB&#10;AADBAwAADgAAAAAAAAABACAAAAAkAQAAZHJzL2Uyb0RvYy54bWxQSwUGAAAAAAYABgBZAQAAewUA&#10;AAAA&#10;">
                  <v:fill on="f" focussize="0,0"/>
                  <v:stroke color="#000000" joinstyle="round"/>
                  <v:imagedata o:title=""/>
                  <o:lock v:ext="edit" aspectratio="f"/>
                </v:shape>
                <v:shape id="AutoShape 81" o:spid="_x0000_s1026" o:spt="32" type="#_x0000_t32" style="position:absolute;left:197700;top:1149310;height:19100;width:4171300;" filled="f" stroked="t" coordsize="21600,21600" o:gfxdata="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LoqJ49UAAAAFAQAA&#10;DwAAAAAAAAABACAAAAAiAAAAZHJzL2Rvd25yZXYueG1sUEsBAhQAFAAAAAgAh07iQJV576jjAQAA&#10;wwMAAA4AAAAAAAAAAQAgAAAAJAEAAGRycy9lMm9Eb2MueG1sUEsFBgAAAAAGAAYAWQEAAHkFAAAA&#10;AA==&#10;">
                  <v:fill on="f" focussize="0,0"/>
                  <v:stroke color="#000000" joinstyle="round"/>
                  <v:imagedata o:title=""/>
                  <o:lock v:ext="edit" aspectratio="f"/>
                </v:shape>
                <v:shape id="AutoShape 82" o:spid="_x0000_s1026" o:spt="32" type="#_x0000_t32" style="position:absolute;left:2160300;top:422604;height:1163310;width:700;" filled="f" stroked="t" coordsize="21600,21600" o:gfxdata="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LoqJ49UAAAAF&#10;AQAADwAAAAAAAAABACAAAAAiAAAAZHJzL2Rvd25yZXYueG1sUEsBAhQAFAAAAAgAh07iQPujYr7m&#10;AQAAwQMAAA4AAAAAAAAAAQAgAAAAJAEAAGRycy9lMm9Eb2MueG1sUEsFBgAAAAAGAAYAWQEAAHwF&#10;AAAAAA==&#10;">
                  <v:fill on="f" focussize="0,0"/>
                  <v:stroke color="#000000" joinstyle="round"/>
                  <v:imagedata o:title=""/>
                  <o:lock v:ext="edit" aspectratio="f"/>
                </v:shape>
                <v:rect id="Rectangle 84" o:spid="_x0000_s1026" o:spt="1" style="position:absolute;left:3397600;top:2100341;height:259302;width:619000;" fillcolor="#FFFFFF" filled="t" stroked="f" coordsize="21600,21600" o:gfxdata="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Cy9HB1AAA&#10;AAUBAAAPAAAAAAAAAAEAIAAAACIAAABkcnMvZG93bnJldi54bWxQSwECFAAUAAAACACHTuJA+1Nw&#10;nSICAABBBAAADgAAAAAAAAABACAAAAAjAQAAZHJzL2Uyb0RvYy54bWxQSwUGAAAAAAYABgBZAQAA&#10;twUAAAAA&#10;">
                  <v:fill on="t" focussize="0,0"/>
                  <v:stroke on="f"/>
                  <v:imagedata o:title=""/>
                  <o:lock v:ext="edit" aspectratio="f"/>
                  <v:textbox>
                    <w:txbxContent>
                      <w:p w14:paraId="66A75166">
                        <w:pPr>
                          <w:rPr>
                            <w:sz w:val="18"/>
                            <w:szCs w:val="18"/>
                          </w:rPr>
                        </w:pPr>
                        <w:r>
                          <w:rPr>
                            <w:rFonts w:hint="eastAsia"/>
                            <w:sz w:val="18"/>
                            <w:szCs w:val="18"/>
                          </w:rPr>
                          <w:t>重要性</w:t>
                        </w:r>
                      </w:p>
                    </w:txbxContent>
                  </v:textbox>
                </v:rect>
                <v:rect id="Rectangle 85" o:spid="_x0000_s1026" o:spt="1" style="position:absolute;left:2161000;top:1249011;height:674606;width:2141300;" fillcolor="#FFFFFF" filled="t" stroked="f" coordsize="21600,21600" o:gfxdata="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Cy9HB1AAA&#10;AAUBAAAPAAAAAAAAAAEAIAAAACIAAABkcnMvZG93bnJldi54bWxQSwECFAAUAAAACACHTuJAGHX2&#10;myICAABCBAAADgAAAAAAAAABACAAAAAjAQAAZHJzL2Uyb0RvYy54bWxQSwUGAAAAAAYABgBZAQAA&#10;twUAAAAA&#10;">
                  <v:fill on="t" focussize="0,0"/>
                  <v:stroke on="f"/>
                  <v:imagedata o:title=""/>
                  <o:lock v:ext="edit" aspectratio="f"/>
                  <v:textbox>
                    <w:txbxContent>
                      <w:p w14:paraId="78697DE3">
                        <w:pPr>
                          <w:rPr>
                            <w:sz w:val="18"/>
                            <w:szCs w:val="18"/>
                          </w:rPr>
                        </w:pPr>
                        <w:r>
                          <w:rPr>
                            <w:rFonts w:hint="eastAsia"/>
                            <w:sz w:val="18"/>
                            <w:szCs w:val="18"/>
                          </w:rPr>
                          <w:t>重要但不是急迫产业：生产性服务业（金融服务、科技服务等）</w:t>
                        </w:r>
                      </w:p>
                    </w:txbxContent>
                  </v:textbox>
                </v:rect>
                <v:rect id="Rectangle 86" o:spid="_x0000_s1026" o:spt="1" style="position:absolute;left:2161000;top:422604;height:668906;width:2027800;" fillcolor="#FFFFFF" filled="t" stroked="f" coordsize="21600,21600" o:gfxdata="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LL0cHU&#10;AAAABQEAAA8AAAAAAAAAAQAgAAAAIgAAAGRycy9kb3ducmV2LnhtbFBLAQIUABQAAAAIAIdO4kAA&#10;CvkpJAIAAEEEAAAOAAAAAAAAAAEAIAAAACMBAABkcnMvZTJvRG9jLnhtbFBLBQYAAAAABgAGAFkB&#10;AAC5BQAAAAA=&#10;">
                  <v:fill on="t" focussize="0,0"/>
                  <v:stroke on="f"/>
                  <v:imagedata o:title=""/>
                  <o:lock v:ext="edit" aspectratio="f"/>
                  <v:textbox>
                    <w:txbxContent>
                      <w:p w14:paraId="7EE6794A">
                        <w:pPr>
                          <w:rPr>
                            <w:sz w:val="18"/>
                            <w:szCs w:val="18"/>
                          </w:rPr>
                        </w:pPr>
                        <w:r>
                          <w:rPr>
                            <w:rFonts w:hint="eastAsia"/>
                            <w:sz w:val="18"/>
                            <w:szCs w:val="18"/>
                          </w:rPr>
                          <w:t>既急迫又重要产业：都市旅游业、商务服务业、区域</w:t>
                        </w:r>
                        <w:r>
                          <w:rPr>
                            <w:rFonts w:hint="eastAsia" w:ascii="宋体" w:hAnsi="宋体"/>
                            <w:sz w:val="18"/>
                            <w:szCs w:val="18"/>
                          </w:rPr>
                          <w:t>/</w:t>
                        </w:r>
                        <w:r>
                          <w:rPr>
                            <w:rFonts w:hint="eastAsia"/>
                            <w:sz w:val="18"/>
                            <w:szCs w:val="18"/>
                          </w:rPr>
                          <w:t>市域商业</w:t>
                        </w:r>
                      </w:p>
                    </w:txbxContent>
                  </v:textbox>
                </v:rect>
                <v:rect id="Rectangle 87" o:spid="_x0000_s1026" o:spt="1" style="position:absolute;left:283500;top:495204;height:524505;width:1704700;" fillcolor="#FFFFFF" filled="t" stroked="f" coordsize="21600,21600" o:gfxdata="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wsvRwdQA&#10;AAAFAQAADwAAAAAAAAABACAAAAAiAAAAZHJzL2Rvd25yZXYueG1sUEsBAhQAFAAAAAgAh07iQPpA&#10;7zsjAgAAQAQAAA4AAAAAAAAAAQAgAAAAIwEAAGRycy9lMm9Eb2MueG1sUEsFBgAAAAAGAAYAWQEA&#10;ALgFAAAAAA==&#10;">
                  <v:fill on="t" focussize="0,0"/>
                  <v:stroke on="f"/>
                  <v:imagedata o:title=""/>
                  <o:lock v:ext="edit" aspectratio="f"/>
                  <v:textbox>
                    <w:txbxContent>
                      <w:p w14:paraId="07FEE3EB">
                        <w:pPr>
                          <w:rPr>
                            <w:sz w:val="18"/>
                            <w:szCs w:val="18"/>
                          </w:rPr>
                        </w:pPr>
                        <w:r>
                          <w:rPr>
                            <w:rFonts w:hint="eastAsia"/>
                            <w:sz w:val="18"/>
                            <w:szCs w:val="18"/>
                          </w:rPr>
                          <w:t>急迫但不重要产业：（物流服务等）</w:t>
                        </w:r>
                      </w:p>
                    </w:txbxContent>
                  </v:textbox>
                </v:rect>
                <v:rect id="Rectangle 88" o:spid="_x0000_s1026" o:spt="1" style="position:absolute;left:283500;top:1248211;height:524505;width:1704700;" fillcolor="#FFFFFF" filled="t" stroked="f" coordsize="21600,21600" o:gfxdata="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wsvRwdQA&#10;AAAFAQAADwAAAAAAAAABACAAAAAiAAAAZHJzL2Rvd25yZXYueG1sUEsBAhQAFAAAAAgAh07iQPGI&#10;CgMjAgAAQQQAAA4AAAAAAAAAAQAgAAAAIwEAAGRycy9lMm9Eb2MueG1sUEsFBgAAAAAGAAYAWQEA&#10;ALgFAAAAAA==&#10;">
                  <v:fill on="t" focussize="0,0"/>
                  <v:stroke on="f"/>
                  <v:imagedata o:title=""/>
                  <o:lock v:ext="edit" aspectratio="f"/>
                  <v:textbox>
                    <w:txbxContent>
                      <w:p w14:paraId="43C14A4E">
                        <w:pPr>
                          <w:rPr>
                            <w:sz w:val="18"/>
                            <w:szCs w:val="18"/>
                          </w:rPr>
                        </w:pPr>
                        <w:r>
                          <w:rPr>
                            <w:rFonts w:hint="eastAsia"/>
                            <w:sz w:val="18"/>
                            <w:szCs w:val="18"/>
                          </w:rPr>
                          <w:t>既不急迫又不重要产业：家政服务业、个人消费服务等</w:t>
                        </w:r>
                      </w:p>
                    </w:txbxContent>
                  </v:textbox>
                </v:rect>
                <v:rect id="Rectangle 83" o:spid="_x0000_s1026" o:spt="1" style="position:absolute;left:284900;top:85724;height:283479;width:619000;" fillcolor="#FFFFFF" filled="t" stroked="f" coordsize="21600,21600" o:gfxdata="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LL0cHUAAAA&#10;BQEAAA8AAAAAAAAAAQAgAAAAIgAAAGRycy9kb3ducmV2LnhtbFBLAQIUABQAAAAIAIdO4kCJ9thK&#10;IQIAAD4EAAAOAAAAAAAAAAEAIAAAACMBAABkcnMvZTJvRG9jLnhtbFBLBQYAAAAABgAGAFkBAAC2&#10;BQAAAAA=&#10;">
                  <v:fill on="t" focussize="0,0"/>
                  <v:stroke on="f"/>
                  <v:imagedata o:title=""/>
                  <o:lock v:ext="edit" aspectratio="f"/>
                  <v:textbox>
                    <w:txbxContent>
                      <w:p w14:paraId="7E5AFFF1">
                        <w:pPr>
                          <w:rPr>
                            <w:sz w:val="18"/>
                            <w:szCs w:val="18"/>
                          </w:rPr>
                        </w:pPr>
                        <w:r>
                          <w:rPr>
                            <w:rFonts w:hint="eastAsia"/>
                            <w:sz w:val="18"/>
                            <w:szCs w:val="18"/>
                          </w:rPr>
                          <w:t>急迫性</w:t>
                        </w:r>
                      </w:p>
                    </w:txbxContent>
                  </v:textbox>
                </v:rect>
                <w10:wrap type="none"/>
                <w10:anchorlock/>
              </v:group>
            </w:pict>
          </mc:Fallback>
        </mc:AlternateContent>
      </w:r>
    </w:p>
    <w:p w14:paraId="287FE0C1">
      <w:pPr>
        <w:pStyle w:val="4"/>
        <w:ind w:firstLine="2048" w:firstLineChars="850"/>
        <w:rPr>
          <w:rFonts w:ascii="黑体" w:hAnsi="宋体" w:eastAsia="黑体"/>
          <w:b/>
          <w:color w:val="000000" w:themeColor="text1"/>
          <w:sz w:val="24"/>
          <w14:textFill>
            <w14:solidFill>
              <w14:schemeClr w14:val="tx1"/>
            </w14:solidFill>
          </w14:textFill>
        </w:rPr>
      </w:pPr>
      <w:r>
        <w:rPr>
          <w:rFonts w:hint="eastAsia" w:ascii="黑体" w:hAnsi="宋体" w:eastAsia="黑体"/>
          <w:b/>
          <w:color w:val="000000" w:themeColor="text1"/>
          <w:sz w:val="24"/>
          <w14:textFill>
            <w14:solidFill>
              <w14:schemeClr w14:val="tx1"/>
            </w14:solidFill>
          </w14:textFill>
        </w:rPr>
        <w:t>图6：三井街道第三产业发展顺序分析</w:t>
      </w:r>
    </w:p>
    <w:p w14:paraId="08080F36">
      <w:pPr>
        <w:ind w:firstLine="548" w:firstLineChars="196"/>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三井街道主导服务业包括都市旅游业、商务服务业和区域性/市域性商业，三井街道可通过走“引进来”道路，以“</w:t>
      </w:r>
      <w:r>
        <w:rPr>
          <w:rFonts w:hint="eastAsia" w:ascii="宋体" w:hAnsi="宋体"/>
          <w:b/>
          <w:color w:val="000000" w:themeColor="text1"/>
          <w:sz w:val="28"/>
          <w:szCs w:val="28"/>
          <w14:textFill>
            <w14:solidFill>
              <w14:schemeClr w14:val="tx1"/>
            </w14:solidFill>
          </w14:textFill>
        </w:rPr>
        <w:t>大项目带动大产业、大产业促进大发展</w:t>
      </w:r>
      <w:r>
        <w:rPr>
          <w:rFonts w:hint="eastAsia" w:ascii="宋体" w:hAnsi="宋体"/>
          <w:color w:val="000000" w:themeColor="text1"/>
          <w:sz w:val="28"/>
          <w:szCs w:val="28"/>
          <w14:textFill>
            <w14:solidFill>
              <w14:schemeClr w14:val="tx1"/>
            </w14:solidFill>
          </w14:textFill>
        </w:rPr>
        <w:t>”思路，推动都市旅游业、商务服务业、区域性/市域性商业发展。主导服务业存量经济板块目前主要集中在万达商业广场、环球恐龙城——迪诺水镇（一期）、创意产业园（含国家广告产业园）、文体中心、常发商业广场、府琛广场、传媒中心等，一方面，对于没有精准定位载体要精准定位，找准发展方向，另一方面，要引进新业态，引导经营主体提高服务水平，成为常州乃至长三角业内标杆。“十三五”期间主导服务业增量经济板块主要有迪诺水镇（二期）、世茂广场——龙湖商业街、典雅商业广场、锦湖大厦和高端金融商务区（常州工学院搬迁后腾出地块），要加快落实落地步伐，高起点定位、高起点规划、高起点建设、高起点招商、高起点营运；另外，随着地铁1号线开通，晋陵路将成为三井街道“十三五”期间商业商务项目发展重点，以奥体中心站、市民广场站为核心，将形成以商业商务服务为核心地铁站商圈。如何利用</w:t>
      </w:r>
    </w:p>
    <w:p w14:paraId="4554FB17">
      <w:pPr>
        <w:ind w:firstLine="548" w:firstLineChars="196"/>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生产服务业主要以常州高新区制造业服务需求为核心，加快推进总部经济、商务服务、科技服务、金融服务等发展。一是要利用常州中心政务区地位，大力发展单纯为各类企业服务的第三方服务业，包括金融、工程设计、咨询服务等；二是促进辖区内工业企业由生产型制造向服务型制造转变，即由产业链微笑曲线生产制造环节朝研发、设计环节和营销、品牌经营环节转变；三是充分利用三井街道现有各类创新创业平台，培育和引进2.5产业企业；四是利用常州市新北区“一核三区”</w:t>
      </w:r>
      <w:r>
        <w:rPr>
          <w:rStyle w:val="14"/>
          <w:rFonts w:ascii="宋体" w:hAnsi="宋体"/>
          <w:color w:val="000000" w:themeColor="text1"/>
          <w:sz w:val="28"/>
          <w:szCs w:val="28"/>
          <w14:textFill>
            <w14:solidFill>
              <w14:schemeClr w14:val="tx1"/>
            </w14:solidFill>
          </w14:textFill>
        </w:rPr>
        <w:footnoteReference w:id="14"/>
      </w:r>
      <w:r>
        <w:rPr>
          <w:rFonts w:hint="eastAsia" w:ascii="宋体" w:hAnsi="宋体"/>
          <w:color w:val="000000" w:themeColor="text1"/>
          <w:sz w:val="28"/>
          <w:szCs w:val="28"/>
          <w14:textFill>
            <w14:solidFill>
              <w14:schemeClr w14:val="tx1"/>
            </w14:solidFill>
          </w14:textFill>
        </w:rPr>
        <w:t>空间分工格局，争取“三区”企业利用三井街道商务楼宇建立企业总部；五是在常州市域范围乃至长三角广域范围，充分发挥三井街道优越商务环境资源，引进有影响力企业建立总部。</w:t>
      </w:r>
    </w:p>
    <w:p w14:paraId="0A14ED65">
      <w:pPr>
        <w:ind w:firstLine="548" w:firstLineChars="196"/>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社区消费服务业以三井街道消费服务功能提升为核心，引进现代商业业态，提升消费服务业档次，扩大三井街道对外经济影响力，既满足不断增长三井街道常住人口消费需要、常州都市居民消费需要，又尽量满足周边城市居民进出常州和长距离游客、商务/公务顾客进入常州即时消费、临时消费、随心消费需求。</w:t>
      </w:r>
    </w:p>
    <w:p w14:paraId="4D238AB8">
      <w:pPr>
        <w:ind w:firstLine="548" w:firstLineChars="196"/>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房地产业不仅作为第三产业中重要行业、全社会固定资产投资重要领域</w:t>
      </w:r>
      <w:r>
        <w:rPr>
          <w:rStyle w:val="14"/>
          <w:rFonts w:ascii="宋体" w:hAnsi="宋体"/>
          <w:color w:val="000000" w:themeColor="text1"/>
          <w:sz w:val="28"/>
          <w:szCs w:val="28"/>
          <w14:textFill>
            <w14:solidFill>
              <w14:schemeClr w14:val="tx1"/>
            </w14:solidFill>
          </w14:textFill>
        </w:rPr>
        <w:footnoteReference w:id="15"/>
      </w:r>
      <w:r>
        <w:rPr>
          <w:rFonts w:hint="eastAsia" w:ascii="宋体" w:hAnsi="宋体"/>
          <w:color w:val="000000" w:themeColor="text1"/>
          <w:sz w:val="28"/>
          <w:szCs w:val="28"/>
          <w14:textFill>
            <w14:solidFill>
              <w14:schemeClr w14:val="tx1"/>
            </w14:solidFill>
          </w14:textFill>
        </w:rPr>
        <w:t>，而且还是新型城镇化发展重要推动力量。对三井街道而言， “十三五”期间已不需要单纯住宅房地产开发，需要的是能够推进三井街道城市化高度发展和把第三产业做大、做强的商业地产营运商、商务地产营运商、旅游地产营运商、科技地产营运商。</w:t>
      </w:r>
    </w:p>
    <w:p w14:paraId="3CE88165">
      <w:pPr>
        <w:ind w:firstLine="548" w:firstLineChars="196"/>
        <w:rPr>
          <w:rFonts w:ascii="宋体" w:hAnsi="宋体"/>
          <w:color w:val="000000" w:themeColor="text1"/>
          <w:sz w:val="28"/>
          <w:szCs w:val="28"/>
          <w14:textFill>
            <w14:solidFill>
              <w14:schemeClr w14:val="tx1"/>
            </w14:solidFill>
          </w14:textFill>
        </w:rPr>
      </w:pPr>
      <w:r>
        <w:rPr>
          <w:rFonts w:hint="eastAsia" w:ascii="Arial" w:hAnsi="Arial" w:cs="Arial"/>
          <w:color w:val="000000" w:themeColor="text1"/>
          <w:kern w:val="0"/>
          <w:sz w:val="28"/>
          <w:szCs w:val="28"/>
          <w14:textFill>
            <w14:solidFill>
              <w14:schemeClr w14:val="tx1"/>
            </w14:solidFill>
          </w14:textFill>
        </w:rPr>
        <w:t>对于三井街道不为我所控但为我所在资源，如常州行政中心、常州文化体育中心（常州奥林匹克中心、常州大剧院）、常州规划馆、常州传媒大厦等，可以借助平台资源，积极发展相关的文化产业、体育产业、会展产业。但文化产业、体育产业、会展产业难于成为三井街道主导产业或提供较多税源产业，主要原因有三个方面：一是</w:t>
      </w:r>
      <w:r>
        <w:rPr>
          <w:rFonts w:hint="eastAsia" w:ascii="宋体" w:hAnsi="宋体"/>
          <w:color w:val="000000" w:themeColor="text1"/>
          <w:sz w:val="28"/>
          <w:szCs w:val="28"/>
          <w14:textFill>
            <w14:solidFill>
              <w14:schemeClr w14:val="tx1"/>
            </w14:solidFill>
          </w14:textFill>
        </w:rPr>
        <w:t>常州体育产业发展有限公司为常州市属企业，税收为市级财政征收；二是常州作为三线城市，由于观众有限，难于支撑体育产业中最核心的赛事产业、文化产业中最核心的演艺产业；三是常州文体中心周边为行政机关和居民小区，大规模发展</w:t>
      </w:r>
      <w:r>
        <w:rPr>
          <w:rFonts w:hint="eastAsia" w:ascii="Arial" w:hAnsi="Arial" w:cs="Arial"/>
          <w:color w:val="000000" w:themeColor="text1"/>
          <w:kern w:val="0"/>
          <w:sz w:val="28"/>
          <w:szCs w:val="28"/>
          <w14:textFill>
            <w14:solidFill>
              <w14:schemeClr w14:val="tx1"/>
            </w14:solidFill>
          </w14:textFill>
        </w:rPr>
        <w:t>文体、会展产业</w:t>
      </w:r>
      <w:r>
        <w:rPr>
          <w:rFonts w:hint="eastAsia" w:ascii="宋体" w:hAnsi="宋体"/>
          <w:color w:val="000000" w:themeColor="text1"/>
          <w:sz w:val="28"/>
          <w:szCs w:val="28"/>
          <w14:textFill>
            <w14:solidFill>
              <w14:schemeClr w14:val="tx1"/>
            </w14:solidFill>
          </w14:textFill>
        </w:rPr>
        <w:t>缺乏空间。</w:t>
      </w:r>
    </w:p>
    <w:p w14:paraId="3E44165F">
      <w:pPr>
        <w:widowControl/>
        <w:jc w:val="left"/>
        <w:rPr>
          <w:rFonts w:ascii="黑体" w:hAnsi="宋体" w:eastAsia="黑体" w:cs="宋体"/>
          <w:b/>
          <w:color w:val="000000" w:themeColor="text1"/>
          <w:kern w:val="0"/>
          <w:sz w:val="24"/>
          <w14:textFill>
            <w14:solidFill>
              <w14:schemeClr w14:val="tx1"/>
            </w14:solidFill>
          </w14:textFill>
        </w:rPr>
      </w:pPr>
      <w:r>
        <w:rPr>
          <w:rFonts w:ascii="黑体" w:hAnsi="宋体" w:eastAsia="黑体" w:cs="宋体"/>
          <w:b/>
          <w:color w:val="000000" w:themeColor="text1"/>
          <w:kern w:val="0"/>
          <w:sz w:val="24"/>
          <w14:textFill>
            <w14:solidFill>
              <w14:schemeClr w14:val="tx1"/>
            </w14:solidFill>
          </w14:textFill>
        </w:rPr>
        <w:br w:type="page"/>
      </w:r>
    </w:p>
    <w:p w14:paraId="2D5D436E">
      <w:pPr>
        <w:spacing w:line="600" w:lineRule="exact"/>
        <w:ind w:firstLine="1771" w:firstLineChars="735"/>
        <w:rPr>
          <w:rFonts w:ascii="黑体" w:hAnsi="宋体" w:eastAsia="黑体" w:cs="宋体"/>
          <w:b/>
          <w:color w:val="000000" w:themeColor="text1"/>
          <w:kern w:val="0"/>
          <w:sz w:val="24"/>
          <w14:textFill>
            <w14:solidFill>
              <w14:schemeClr w14:val="tx1"/>
            </w14:solidFill>
          </w14:textFill>
        </w:rPr>
      </w:pPr>
      <w:r>
        <w:rPr>
          <w:rFonts w:hint="eastAsia" w:ascii="黑体" w:hAnsi="宋体" w:eastAsia="黑体" w:cs="宋体"/>
          <w:b/>
          <w:color w:val="000000" w:themeColor="text1"/>
          <w:kern w:val="0"/>
          <w:sz w:val="24"/>
          <w14:textFill>
            <w14:solidFill>
              <w14:schemeClr w14:val="tx1"/>
            </w14:solidFill>
          </w14:textFill>
        </w:rPr>
        <w:t>表11：三井街道商业商务服务业发展</w:t>
      </w:r>
    </w:p>
    <w:tbl>
      <w:tblPr>
        <w:tblStyle w:val="10"/>
        <w:tblW w:w="82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969"/>
        <w:gridCol w:w="4253"/>
      </w:tblGrid>
      <w:tr w14:paraId="4BA703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69" w:type="dxa"/>
          </w:tcPr>
          <w:p w14:paraId="4FB310DD">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存量经济板块</w:t>
            </w:r>
          </w:p>
        </w:tc>
        <w:tc>
          <w:tcPr>
            <w:tcW w:w="4253" w:type="dxa"/>
          </w:tcPr>
          <w:p w14:paraId="4D774B64">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增量经济板块</w:t>
            </w:r>
          </w:p>
        </w:tc>
      </w:tr>
      <w:tr w14:paraId="724643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69" w:type="dxa"/>
          </w:tcPr>
          <w:p w14:paraId="41B281B8">
            <w:pPr>
              <w:ind w:left="-106" w:leftChars="-51" w:hanging="1"/>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drawing>
                <wp:inline distT="0" distB="0" distL="0" distR="0">
                  <wp:extent cx="2514600" cy="1352550"/>
                  <wp:effectExtent l="19050" t="0" r="0" b="0"/>
                  <wp:docPr id="12" name="图片 10" descr="2013031909293790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2013031909293790974"/>
                          <pic:cNvPicPr>
                            <a:picLocks noChangeAspect="1" noChangeArrowheads="1"/>
                          </pic:cNvPicPr>
                        </pic:nvPicPr>
                        <pic:blipFill>
                          <a:blip r:embed="rId32" cstate="print"/>
                          <a:srcRect/>
                          <a:stretch>
                            <a:fillRect/>
                          </a:stretch>
                        </pic:blipFill>
                        <pic:spPr>
                          <a:xfrm>
                            <a:off x="0" y="0"/>
                            <a:ext cx="2514600" cy="1352550"/>
                          </a:xfrm>
                          <a:prstGeom prst="rect">
                            <a:avLst/>
                          </a:prstGeom>
                          <a:noFill/>
                          <a:ln w="9525">
                            <a:noFill/>
                            <a:miter lim="800000"/>
                            <a:headEnd/>
                            <a:tailEnd/>
                          </a:ln>
                        </pic:spPr>
                      </pic:pic>
                    </a:graphicData>
                  </a:graphic>
                </wp:inline>
              </w:drawing>
            </w:r>
          </w:p>
        </w:tc>
        <w:tc>
          <w:tcPr>
            <w:tcW w:w="4253" w:type="dxa"/>
            <w:vMerge w:val="restart"/>
          </w:tcPr>
          <w:p w14:paraId="08E20132">
            <w:pPr>
              <w:ind w:left="-1" w:leftChars="-51" w:right="-107" w:rightChars="-51" w:hanging="106" w:hangingChars="38"/>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1395095</wp:posOffset>
                      </wp:positionH>
                      <wp:positionV relativeFrom="paragraph">
                        <wp:posOffset>1667510</wp:posOffset>
                      </wp:positionV>
                      <wp:extent cx="457200" cy="1487805"/>
                      <wp:effectExtent l="19050" t="19050" r="19050" b="17145"/>
                      <wp:wrapNone/>
                      <wp:docPr id="24" name="Oval 91"/>
                      <wp:cNvGraphicFramePr/>
                      <a:graphic xmlns:a="http://schemas.openxmlformats.org/drawingml/2006/main">
                        <a:graphicData uri="http://schemas.microsoft.com/office/word/2010/wordprocessingShape">
                          <wps:wsp>
                            <wps:cNvSpPr>
                              <a:spLocks noChangeArrowheads="1"/>
                            </wps:cNvSpPr>
                            <wps:spPr bwMode="auto">
                              <a:xfrm>
                                <a:off x="0" y="0"/>
                                <a:ext cx="457200" cy="1487805"/>
                              </a:xfrm>
                              <a:prstGeom prst="ellipse">
                                <a:avLst/>
                              </a:prstGeom>
                              <a:noFill/>
                              <a:ln w="38100">
                                <a:solidFill>
                                  <a:srgbClr val="0033CC"/>
                                </a:solidFill>
                                <a:round/>
                              </a:ln>
                            </wps:spPr>
                            <wps:txbx>
                              <w:txbxContent>
                                <w:p w14:paraId="1F62FCE3">
                                  <w:pPr>
                                    <w:rPr>
                                      <w:b/>
                                      <w:color w:val="0033CC"/>
                                    </w:rPr>
                                  </w:pPr>
                                  <w:r>
                                    <w:rPr>
                                      <w:rFonts w:hint="eastAsia"/>
                                      <w:b/>
                                      <w:color w:val="0033CC"/>
                                    </w:rPr>
                                    <w:t>龙湖商业街</w:t>
                                  </w:r>
                                </w:p>
                              </w:txbxContent>
                            </wps:txbx>
                            <wps:bodyPr rot="0" vert="horz" wrap="square" lIns="91440" tIns="45720" rIns="91440" bIns="45720" anchor="t" anchorCtr="0" upright="1">
                              <a:noAutofit/>
                            </wps:bodyPr>
                          </wps:wsp>
                        </a:graphicData>
                      </a:graphic>
                    </wp:anchor>
                  </w:drawing>
                </mc:Choice>
                <mc:Fallback>
                  <w:pict>
                    <v:shape id="Oval 91" o:spid="_x0000_s1026" o:spt="3" type="#_x0000_t3" style="position:absolute;left:0pt;margin-left:109.85pt;margin-top:131.3pt;height:117.15pt;width:36pt;z-index:251669504;mso-width-relative:page;mso-height-relative:page;" filled="f" stroked="t" coordsize="21600,21600" o:gfxdata="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6jiohNkAAAALAQAADwAAAAAAAAABACAAAAAiAAAAZHJzL2Rvd25yZXYueG1sUEsBAhQAFAAAAAgA&#10;h07iQBHNox8kAgAASAQAAA4AAAAAAAAAAQAgAAAAKAEAAGRycy9lMm9Eb2MueG1sUEsFBgAAAAAG&#10;AAYAWQEAAL4FAAAAAA==&#10;">
                      <v:fill on="f" focussize="0,0"/>
                      <v:stroke weight="3pt" color="#0033CC" joinstyle="round"/>
                      <v:imagedata o:title=""/>
                      <o:lock v:ext="edit" aspectratio="f"/>
                      <v:textbox>
                        <w:txbxContent>
                          <w:p w14:paraId="1F62FCE3">
                            <w:pPr>
                              <w:rPr>
                                <w:b/>
                                <w:color w:val="0033CC"/>
                              </w:rPr>
                            </w:pPr>
                            <w:r>
                              <w:rPr>
                                <w:rFonts w:hint="eastAsia"/>
                                <w:b/>
                                <w:color w:val="0033CC"/>
                              </w:rPr>
                              <w:t>龙湖商业街</w:t>
                            </w:r>
                          </w:p>
                        </w:txbxContent>
                      </v:textbox>
                    </v:shape>
                  </w:pict>
                </mc:Fallback>
              </mc:AlternateContent>
            </w:r>
            <w:r>
              <w:rPr>
                <w:rFonts w:ascii="宋体" w:hAnsi="宋体"/>
                <w:color w:val="000000" w:themeColor="text1"/>
                <w:sz w:val="28"/>
                <w:szCs w:val="28"/>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850265</wp:posOffset>
                      </wp:positionH>
                      <wp:positionV relativeFrom="paragraph">
                        <wp:posOffset>1706245</wp:posOffset>
                      </wp:positionV>
                      <wp:extent cx="437515" cy="1449070"/>
                      <wp:effectExtent l="19050" t="19050" r="19685" b="17780"/>
                      <wp:wrapNone/>
                      <wp:docPr id="23" name="Oval 90"/>
                      <wp:cNvGraphicFramePr/>
                      <a:graphic xmlns:a="http://schemas.openxmlformats.org/drawingml/2006/main">
                        <a:graphicData uri="http://schemas.microsoft.com/office/word/2010/wordprocessingShape">
                          <wps:wsp>
                            <wps:cNvSpPr>
                              <a:spLocks noChangeArrowheads="1"/>
                            </wps:cNvSpPr>
                            <wps:spPr bwMode="auto">
                              <a:xfrm>
                                <a:off x="0" y="0"/>
                                <a:ext cx="437515" cy="1449070"/>
                              </a:xfrm>
                              <a:prstGeom prst="ellipse">
                                <a:avLst/>
                              </a:prstGeom>
                              <a:noFill/>
                              <a:ln w="38100">
                                <a:solidFill>
                                  <a:srgbClr val="0033CC"/>
                                </a:solidFill>
                                <a:round/>
                              </a:ln>
                            </wps:spPr>
                            <wps:txbx>
                              <w:txbxContent>
                                <w:p w14:paraId="6AAFB904">
                                  <w:pPr>
                                    <w:rPr>
                                      <w:b/>
                                      <w:color w:val="0033CC"/>
                                      <w:sz w:val="24"/>
                                    </w:rPr>
                                  </w:pPr>
                                  <w:r>
                                    <w:rPr>
                                      <w:rFonts w:hint="eastAsia"/>
                                      <w:b/>
                                      <w:color w:val="0033CC"/>
                                      <w:sz w:val="24"/>
                                    </w:rPr>
                                    <w:t>世茂广场</w:t>
                                  </w:r>
                                </w:p>
                              </w:txbxContent>
                            </wps:txbx>
                            <wps:bodyPr rot="0" vert="horz" wrap="square" lIns="91440" tIns="45720" rIns="91440" bIns="45720" anchor="t" anchorCtr="0" upright="1">
                              <a:noAutofit/>
                            </wps:bodyPr>
                          </wps:wsp>
                        </a:graphicData>
                      </a:graphic>
                    </wp:anchor>
                  </w:drawing>
                </mc:Choice>
                <mc:Fallback>
                  <w:pict>
                    <v:shape id="Oval 90" o:spid="_x0000_s1026" o:spt="3" type="#_x0000_t3" style="position:absolute;left:0pt;margin-left:66.95pt;margin-top:134.35pt;height:114.1pt;width:34.45pt;z-index:251668480;mso-width-relative:page;mso-height-relative:page;" filled="f" stroked="t" coordsize="21600,21600" o:gfxdata="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XFqVbbAAAACwEAAA8AAAAAAAAAAQAgAAAAIgAAAGRycy9kb3ducmV2LnhtbFBLAQIU&#10;ABQAAAAIAIdO4kC1yoxIKQIAAEgEAAAOAAAAAAAAAAEAIAAAACoBAABkcnMvZTJvRG9jLnhtbFBL&#10;BQYAAAAABgAGAFkBAADFBQAAAAA=&#10;">
                      <v:fill on="f" focussize="0,0"/>
                      <v:stroke weight="3pt" color="#0033CC" joinstyle="round"/>
                      <v:imagedata o:title=""/>
                      <o:lock v:ext="edit" aspectratio="f"/>
                      <v:textbox>
                        <w:txbxContent>
                          <w:p w14:paraId="6AAFB904">
                            <w:pPr>
                              <w:rPr>
                                <w:b/>
                                <w:color w:val="0033CC"/>
                                <w:sz w:val="24"/>
                              </w:rPr>
                            </w:pPr>
                            <w:r>
                              <w:rPr>
                                <w:rFonts w:hint="eastAsia"/>
                                <w:b/>
                                <w:color w:val="0033CC"/>
                                <w:sz w:val="24"/>
                              </w:rPr>
                              <w:t>世茂广场</w:t>
                            </w:r>
                          </w:p>
                        </w:txbxContent>
                      </v:textbox>
                    </v:shape>
                  </w:pict>
                </mc:Fallback>
              </mc:AlternateContent>
            </w:r>
            <w:r>
              <w:rPr>
                <w:rFonts w:ascii="宋体" w:hAnsi="宋体"/>
                <w:color w:val="000000" w:themeColor="text1"/>
                <w:sz w:val="28"/>
                <w:szCs w:val="28"/>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675005</wp:posOffset>
                      </wp:positionH>
                      <wp:positionV relativeFrom="paragraph">
                        <wp:posOffset>84455</wp:posOffset>
                      </wp:positionV>
                      <wp:extent cx="1177290" cy="661670"/>
                      <wp:effectExtent l="19050" t="19050" r="22860" b="24130"/>
                      <wp:wrapNone/>
                      <wp:docPr id="22" name="Oval 89"/>
                      <wp:cNvGraphicFramePr/>
                      <a:graphic xmlns:a="http://schemas.openxmlformats.org/drawingml/2006/main">
                        <a:graphicData uri="http://schemas.microsoft.com/office/word/2010/wordprocessingShape">
                          <wps:wsp>
                            <wps:cNvSpPr>
                              <a:spLocks noChangeArrowheads="1"/>
                            </wps:cNvSpPr>
                            <wps:spPr bwMode="auto">
                              <a:xfrm>
                                <a:off x="0" y="0"/>
                                <a:ext cx="1177290" cy="661670"/>
                              </a:xfrm>
                              <a:prstGeom prst="ellipse">
                                <a:avLst/>
                              </a:prstGeom>
                              <a:noFill/>
                              <a:ln w="38100">
                                <a:solidFill>
                                  <a:srgbClr val="0033CC"/>
                                </a:solidFill>
                                <a:round/>
                              </a:ln>
                            </wps:spPr>
                            <wps:txbx>
                              <w:txbxContent>
                                <w:p w14:paraId="29AF9C80">
                                  <w:pPr>
                                    <w:rPr>
                                      <w:b/>
                                      <w:color w:val="0033CC"/>
                                      <w:sz w:val="24"/>
                                    </w:rPr>
                                  </w:pPr>
                                  <w:r>
                                    <w:rPr>
                                      <w:rFonts w:hint="eastAsia"/>
                                      <w:b/>
                                      <w:color w:val="0033CC"/>
                                      <w:sz w:val="24"/>
                                    </w:rPr>
                                    <w:t>迪诺水镇</w:t>
                                  </w:r>
                                </w:p>
                              </w:txbxContent>
                            </wps:txbx>
                            <wps:bodyPr rot="0" vert="horz" wrap="square" lIns="91440" tIns="45720" rIns="91440" bIns="45720" anchor="t" anchorCtr="0" upright="1">
                              <a:noAutofit/>
                            </wps:bodyPr>
                          </wps:wsp>
                        </a:graphicData>
                      </a:graphic>
                    </wp:anchor>
                  </w:drawing>
                </mc:Choice>
                <mc:Fallback>
                  <w:pict>
                    <v:shape id="Oval 89" o:spid="_x0000_s1026" o:spt="3" type="#_x0000_t3" style="position:absolute;left:0pt;margin-left:53.15pt;margin-top:6.65pt;height:52.1pt;width:92.7pt;z-index:251667456;mso-width-relative:page;mso-height-relative:page;" filled="f" stroked="t" coordsize="21600,21600" o:gfxdata="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fiuSD2QAAAAoBAAAPAAAAAAAAAAEAIAAAACIAAABkcnMvZG93bnJldi54bWxQSwECFAAU&#10;AAAACACHTuJAv/oILSkCAABIBAAADgAAAAAAAAABACAAAAAoAQAAZHJzL2Uyb0RvYy54bWxQSwUG&#10;AAAAAAYABgBZAQAAwwUAAAAA&#10;">
                      <v:fill on="f" focussize="0,0"/>
                      <v:stroke weight="3pt" color="#0033CC" joinstyle="round"/>
                      <v:imagedata o:title=""/>
                      <o:lock v:ext="edit" aspectratio="f"/>
                      <v:textbox>
                        <w:txbxContent>
                          <w:p w14:paraId="29AF9C80">
                            <w:pPr>
                              <w:rPr>
                                <w:b/>
                                <w:color w:val="0033CC"/>
                                <w:sz w:val="24"/>
                              </w:rPr>
                            </w:pPr>
                            <w:r>
                              <w:rPr>
                                <w:rFonts w:hint="eastAsia"/>
                                <w:b/>
                                <w:color w:val="0033CC"/>
                                <w:sz w:val="24"/>
                              </w:rPr>
                              <w:t>迪诺水镇</w:t>
                            </w:r>
                          </w:p>
                        </w:txbxContent>
                      </v:textbox>
                    </v:shape>
                  </w:pict>
                </mc:Fallback>
              </mc:AlternateContent>
            </w:r>
            <w:r>
              <w:rPr>
                <w:rFonts w:ascii="宋体" w:hAnsi="宋体"/>
                <w:color w:val="000000" w:themeColor="text1"/>
                <w:sz w:val="28"/>
                <w:szCs w:val="28"/>
                <w14:textFill>
                  <w14:solidFill>
                    <w14:schemeClr w14:val="tx1"/>
                  </w14:solidFill>
                </w14:textFill>
              </w:rPr>
              <w:drawing>
                <wp:inline distT="0" distB="0" distL="0" distR="0">
                  <wp:extent cx="2714625" cy="3524250"/>
                  <wp:effectExtent l="19050" t="0" r="9525" b="0"/>
                  <wp:docPr id="11" name="图片 3" descr="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副本.jpg"/>
                          <pic:cNvPicPr>
                            <a:picLocks noChangeAspect="1" noChangeArrowheads="1"/>
                          </pic:cNvPicPr>
                        </pic:nvPicPr>
                        <pic:blipFill>
                          <a:blip r:embed="rId33" cstate="print"/>
                          <a:srcRect/>
                          <a:stretch>
                            <a:fillRect/>
                          </a:stretch>
                        </pic:blipFill>
                        <pic:spPr>
                          <a:xfrm>
                            <a:off x="0" y="0"/>
                            <a:ext cx="2714625" cy="3524250"/>
                          </a:xfrm>
                          <a:prstGeom prst="rect">
                            <a:avLst/>
                          </a:prstGeom>
                          <a:noFill/>
                          <a:ln w="9525">
                            <a:noFill/>
                            <a:miter lim="800000"/>
                            <a:headEnd/>
                            <a:tailEnd/>
                          </a:ln>
                        </pic:spPr>
                      </pic:pic>
                    </a:graphicData>
                  </a:graphic>
                </wp:inline>
              </w:drawing>
            </w:r>
          </w:p>
        </w:tc>
      </w:tr>
      <w:tr w14:paraId="0C850C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21" w:hRule="atLeast"/>
        </w:trPr>
        <w:tc>
          <w:tcPr>
            <w:tcW w:w="3969" w:type="dxa"/>
          </w:tcPr>
          <w:p w14:paraId="518FF198">
            <w:pPr>
              <w:ind w:left="-1" w:leftChars="-51" w:right="-107" w:rightChars="-51" w:hanging="106" w:hangingChars="38"/>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drawing>
                <wp:inline distT="0" distB="0" distL="0" distR="0">
                  <wp:extent cx="2514600" cy="2162175"/>
                  <wp:effectExtent l="19050" t="0" r="0" b="0"/>
                  <wp:docPr id="10" name="图片 1" descr="迪诺水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迪诺水镇.jpg"/>
                          <pic:cNvPicPr>
                            <a:picLocks noChangeAspect="1" noChangeArrowheads="1"/>
                          </pic:cNvPicPr>
                        </pic:nvPicPr>
                        <pic:blipFill>
                          <a:blip r:embed="rId27" cstate="print"/>
                          <a:srcRect/>
                          <a:stretch>
                            <a:fillRect/>
                          </a:stretch>
                        </pic:blipFill>
                        <pic:spPr>
                          <a:xfrm>
                            <a:off x="0" y="0"/>
                            <a:ext cx="2514600" cy="2162175"/>
                          </a:xfrm>
                          <a:prstGeom prst="rect">
                            <a:avLst/>
                          </a:prstGeom>
                          <a:noFill/>
                          <a:ln w="9525">
                            <a:noFill/>
                            <a:miter lim="800000"/>
                            <a:headEnd/>
                            <a:tailEnd/>
                          </a:ln>
                        </pic:spPr>
                      </pic:pic>
                    </a:graphicData>
                  </a:graphic>
                </wp:inline>
              </w:drawing>
            </w:r>
          </w:p>
        </w:tc>
        <w:tc>
          <w:tcPr>
            <w:tcW w:w="4253" w:type="dxa"/>
            <w:vMerge w:val="continue"/>
          </w:tcPr>
          <w:p w14:paraId="5F426010">
            <w:pPr>
              <w:rPr>
                <w:rFonts w:ascii="宋体" w:hAnsi="宋体"/>
                <w:color w:val="000000" w:themeColor="text1"/>
                <w:sz w:val="28"/>
                <w:szCs w:val="28"/>
                <w14:textFill>
                  <w14:solidFill>
                    <w14:schemeClr w14:val="tx1"/>
                  </w14:solidFill>
                </w14:textFill>
              </w:rPr>
            </w:pPr>
          </w:p>
        </w:tc>
      </w:tr>
      <w:tr w14:paraId="667A0C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3" w:hRule="atLeast"/>
        </w:trPr>
        <w:tc>
          <w:tcPr>
            <w:tcW w:w="3969" w:type="dxa"/>
          </w:tcPr>
          <w:p w14:paraId="6319CA44">
            <w:pPr>
              <w:ind w:left="-1" w:leftChars="-51" w:hanging="106" w:hangingChars="38"/>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drawing>
                <wp:inline distT="0" distB="0" distL="0" distR="0">
                  <wp:extent cx="2514600" cy="2714625"/>
                  <wp:effectExtent l="19050" t="0" r="0" b="0"/>
                  <wp:docPr id="2" name="图片 15" descr="u=2452914943,4293672540&amp;fm=21&amp;gp=0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5" descr="u=2452914943,4293672540&amp;fm=21&amp;gp=0_看图王"/>
                          <pic:cNvPicPr>
                            <a:picLocks noChangeAspect="1" noChangeArrowheads="1"/>
                          </pic:cNvPicPr>
                        </pic:nvPicPr>
                        <pic:blipFill>
                          <a:blip r:embed="rId34" cstate="print"/>
                          <a:srcRect/>
                          <a:stretch>
                            <a:fillRect/>
                          </a:stretch>
                        </pic:blipFill>
                        <pic:spPr>
                          <a:xfrm>
                            <a:off x="0" y="0"/>
                            <a:ext cx="2514600" cy="2714625"/>
                          </a:xfrm>
                          <a:prstGeom prst="rect">
                            <a:avLst/>
                          </a:prstGeom>
                          <a:noFill/>
                          <a:ln w="9525">
                            <a:noFill/>
                            <a:miter lim="800000"/>
                            <a:headEnd/>
                            <a:tailEnd/>
                          </a:ln>
                        </pic:spPr>
                      </pic:pic>
                    </a:graphicData>
                  </a:graphic>
                </wp:inline>
              </w:drawing>
            </w:r>
          </w:p>
        </w:tc>
        <w:tc>
          <w:tcPr>
            <w:tcW w:w="4253" w:type="dxa"/>
          </w:tcPr>
          <w:p w14:paraId="4FAD547E">
            <w:pPr>
              <w:rPr>
                <w:b/>
                <w:color w:val="0033CC"/>
                <w:sz w:val="24"/>
              </w:rPr>
            </w:pPr>
            <w:r>
              <w:rPr>
                <w:rFonts w:ascii="宋体" w:hAnsi="宋体"/>
                <w:color w:val="000000" w:themeColor="text1"/>
                <w:sz w:val="28"/>
                <w:szCs w:val="28"/>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798830</wp:posOffset>
                      </wp:positionH>
                      <wp:positionV relativeFrom="paragraph">
                        <wp:posOffset>191770</wp:posOffset>
                      </wp:positionV>
                      <wp:extent cx="1672590" cy="515620"/>
                      <wp:effectExtent l="0" t="0" r="0" b="0"/>
                      <wp:wrapNone/>
                      <wp:docPr id="21" name="Oval 92"/>
                      <wp:cNvGraphicFramePr/>
                      <a:graphic xmlns:a="http://schemas.openxmlformats.org/drawingml/2006/main">
                        <a:graphicData uri="http://schemas.microsoft.com/office/word/2010/wordprocessingShape">
                          <wps:wsp>
                            <wps:cNvSpPr>
                              <a:spLocks noChangeArrowheads="1"/>
                            </wps:cNvSpPr>
                            <wps:spPr bwMode="auto">
                              <a:xfrm>
                                <a:off x="0" y="0"/>
                                <a:ext cx="1672590" cy="515620"/>
                              </a:xfrm>
                              <a:prstGeom prst="ellipse">
                                <a:avLst/>
                              </a:prstGeom>
                              <a:noFill/>
                              <a:ln>
                                <a:noFill/>
                              </a:ln>
                            </wps:spPr>
                            <wps:txbx>
                              <w:txbxContent>
                                <w:p w14:paraId="47E52139">
                                  <w:pPr>
                                    <w:rPr>
                                      <w:b/>
                                      <w:color w:val="000099"/>
                                    </w:rPr>
                                  </w:pPr>
                                  <w:r>
                                    <w:rPr>
                                      <w:rFonts w:hint="eastAsia"/>
                                      <w:b/>
                                      <w:color w:val="000099"/>
                                    </w:rPr>
                                    <w:t>常州文体中心</w:t>
                                  </w:r>
                                </w:p>
                              </w:txbxContent>
                            </wps:txbx>
                            <wps:bodyPr rot="0" vert="horz" wrap="square" lIns="91440" tIns="45720" rIns="91440" bIns="45720" anchor="t" anchorCtr="0" upright="1">
                              <a:noAutofit/>
                            </wps:bodyPr>
                          </wps:wsp>
                        </a:graphicData>
                      </a:graphic>
                    </wp:anchor>
                  </w:drawing>
                </mc:Choice>
                <mc:Fallback>
                  <w:pict>
                    <v:shape id="Oval 92" o:spid="_x0000_s1026" o:spt="3" type="#_x0000_t3" style="position:absolute;left:0pt;margin-left:62.9pt;margin-top:15.1pt;height:40.6pt;width:131.7pt;z-index:251670528;mso-width-relative:page;mso-height-relative:page;" filled="f" stroked="f" coordsize="21600,21600" o:gfxdata="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&#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VIQ9LYAAAACgEAAA8AAAAAAAAAAQAgAAAAIgAAAGRy&#10;cy9kb3ducmV2LnhtbFBLAQIUABQAAAAIAIdO4kD/6OA8BQIAAAsEAAAOAAAAAAAAAAEAIAAAACcB&#10;AABkcnMvZTJvRG9jLnhtbFBLBQYAAAAABgAGAFkBAACeBQAAAAA=&#10;">
                      <v:fill on="f" focussize="0,0"/>
                      <v:stroke on="f"/>
                      <v:imagedata o:title=""/>
                      <o:lock v:ext="edit" aspectratio="f"/>
                      <v:textbox>
                        <w:txbxContent>
                          <w:p w14:paraId="47E52139">
                            <w:pPr>
                              <w:rPr>
                                <w:b/>
                                <w:color w:val="000099"/>
                              </w:rPr>
                            </w:pPr>
                            <w:r>
                              <w:rPr>
                                <w:rFonts w:hint="eastAsia"/>
                                <w:b/>
                                <w:color w:val="000099"/>
                              </w:rPr>
                              <w:t>常州文体中心</w:t>
                            </w:r>
                          </w:p>
                        </w:txbxContent>
                      </v:textbox>
                    </v:shape>
                  </w:pict>
                </mc:Fallback>
              </mc:AlternateContent>
            </w:r>
            <w:r>
              <w:rPr>
                <w:rFonts w:ascii="宋体" w:hAnsi="宋体"/>
                <w:color w:val="000000" w:themeColor="text1"/>
                <w:sz w:val="28"/>
                <w:szCs w:val="28"/>
                <w14:textFill>
                  <w14:solidFill>
                    <w14:schemeClr w14:val="tx1"/>
                  </w14:solidFill>
                </w14:textFill>
              </w:rPr>
              <w:drawing>
                <wp:inline distT="0" distB="0" distL="0" distR="0">
                  <wp:extent cx="2571750" cy="2667000"/>
                  <wp:effectExtent l="19050" t="0" r="0" b="0"/>
                  <wp:docPr id="3" name="图片 16"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图片4"/>
                          <pic:cNvPicPr>
                            <a:picLocks noChangeAspect="1" noChangeArrowheads="1"/>
                          </pic:cNvPicPr>
                        </pic:nvPicPr>
                        <pic:blipFill>
                          <a:blip r:embed="rId35" cstate="print"/>
                          <a:srcRect/>
                          <a:stretch>
                            <a:fillRect/>
                          </a:stretch>
                        </pic:blipFill>
                        <pic:spPr>
                          <a:xfrm>
                            <a:off x="0" y="0"/>
                            <a:ext cx="2571750" cy="2667000"/>
                          </a:xfrm>
                          <a:prstGeom prst="rect">
                            <a:avLst/>
                          </a:prstGeom>
                          <a:noFill/>
                          <a:ln w="9525">
                            <a:noFill/>
                            <a:miter lim="800000"/>
                            <a:headEnd/>
                            <a:tailEnd/>
                          </a:ln>
                        </pic:spPr>
                      </pic:pic>
                    </a:graphicData>
                  </a:graphic>
                </wp:inline>
              </w:drawing>
            </w:r>
          </w:p>
        </w:tc>
      </w:tr>
    </w:tbl>
    <w:p w14:paraId="2497D5B9">
      <w:pPr>
        <w:widowControl/>
        <w:jc w:val="left"/>
        <w:rPr>
          <w:rFonts w:ascii="宋体" w:hAnsi="宋体"/>
          <w:color w:val="000000" w:themeColor="text1"/>
          <w:sz w:val="28"/>
          <w:szCs w:val="28"/>
          <w14:textFill>
            <w14:solidFill>
              <w14:schemeClr w14:val="tx1"/>
            </w14:solidFill>
          </w14:textFill>
        </w:rPr>
      </w:pPr>
    </w:p>
    <w:p w14:paraId="2E19BADA">
      <w:pPr>
        <w:widowControl/>
        <w:jc w:val="left"/>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br w:type="page"/>
      </w:r>
    </w:p>
    <w:p w14:paraId="33B185C9">
      <w:pPr>
        <w:widowControl/>
        <w:jc w:val="left"/>
        <w:rPr>
          <w:rFonts w:ascii="宋体" w:hAnsi="宋体"/>
          <w:color w:val="000000" w:themeColor="text1"/>
          <w:sz w:val="28"/>
          <w:szCs w:val="28"/>
          <w14:textFill>
            <w14:solidFill>
              <w14:schemeClr w14:val="tx1"/>
            </w14:solidFill>
          </w14:textFill>
        </w:rPr>
      </w:pPr>
    </w:p>
    <w:p w14:paraId="2EF00073">
      <w:pPr>
        <w:widowControl/>
        <w:ind w:firstLine="1104" w:firstLineChars="250"/>
        <w:jc w:val="left"/>
        <w:rPr>
          <w:rFonts w:ascii="黑体" w:hAnsi="宋体" w:eastAsia="黑体"/>
          <w:b/>
          <w:color w:val="000000" w:themeColor="text1"/>
          <w:sz w:val="44"/>
          <w:szCs w:val="44"/>
          <w14:textFill>
            <w14:solidFill>
              <w14:schemeClr w14:val="tx1"/>
            </w14:solidFill>
          </w14:textFill>
        </w:rPr>
      </w:pPr>
      <w:r>
        <w:rPr>
          <w:rFonts w:hint="eastAsia" w:ascii="黑体" w:hAnsi="宋体" w:eastAsia="黑体"/>
          <w:b/>
          <w:color w:val="000000" w:themeColor="text1"/>
          <w:sz w:val="44"/>
          <w:szCs w:val="44"/>
          <w14:textFill>
            <w14:solidFill>
              <w14:schemeClr w14:val="tx1"/>
            </w14:solidFill>
          </w14:textFill>
        </w:rPr>
        <w:t>七、“十三五”期间空间发展研究</w:t>
      </w:r>
    </w:p>
    <w:p w14:paraId="13DB7FD3">
      <w:pPr>
        <w:rPr>
          <w:rFonts w:ascii="黑体" w:eastAsia="黑体"/>
          <w:b/>
          <w:bCs/>
          <w:color w:val="000000" w:themeColor="text1"/>
          <w:sz w:val="32"/>
          <w14:textFill>
            <w14:solidFill>
              <w14:schemeClr w14:val="tx1"/>
            </w14:solidFill>
          </w14:textFill>
        </w:rPr>
      </w:pPr>
    </w:p>
    <w:p w14:paraId="25895ED7">
      <w:pPr>
        <w:rPr>
          <w:rFonts w:ascii="黑体" w:eastAsia="黑体"/>
          <w:b/>
          <w:bCs/>
          <w:color w:val="000000" w:themeColor="text1"/>
          <w:sz w:val="32"/>
          <w14:textFill>
            <w14:solidFill>
              <w14:schemeClr w14:val="tx1"/>
            </w14:solidFill>
          </w14:textFill>
        </w:rPr>
      </w:pPr>
      <w:r>
        <w:rPr>
          <w:rFonts w:hint="eastAsia" w:ascii="黑体" w:eastAsia="黑体"/>
          <w:b/>
          <w:bCs/>
          <w:color w:val="000000" w:themeColor="text1"/>
          <w:sz w:val="32"/>
          <w14:textFill>
            <w14:solidFill>
              <w14:schemeClr w14:val="tx1"/>
            </w14:solidFill>
          </w14:textFill>
        </w:rPr>
        <w:t>（一）整体发展空间布局</w:t>
      </w:r>
    </w:p>
    <w:p w14:paraId="6F07DB03">
      <w:pPr>
        <w:pStyle w:val="4"/>
        <w:rPr>
          <w:rFonts w:ascii="宋体" w:hAnsi="宋体" w:eastAsia="宋体"/>
          <w:color w:val="000000" w:themeColor="text1"/>
          <w:spacing w:val="20"/>
          <w:sz w:val="24"/>
          <w:lang w:eastAsia="zh-TW"/>
          <w14:textFill>
            <w14:solidFill>
              <w14:schemeClr w14:val="tx1"/>
            </w14:solidFill>
          </w14:textFill>
        </w:rPr>
      </w:pPr>
      <w:r>
        <w:rPr>
          <w:rFonts w:hint="eastAsia" w:ascii="宋体" w:hAnsi="宋体" w:eastAsia="宋体" w:cs="仿宋_GB2312"/>
          <w:color w:val="000000" w:themeColor="text1"/>
          <w:szCs w:val="28"/>
          <w14:textFill>
            <w14:solidFill>
              <w14:schemeClr w14:val="tx1"/>
            </w14:solidFill>
          </w14:textFill>
        </w:rPr>
        <w:t>在土地利用上，“十三五”期间三井街道要按照减量化、再利用、资源化的原则推进经济转型、产业升级，节约集约利用土地资源，提高土地单位产出效率。</w:t>
      </w:r>
      <w:r>
        <w:rPr>
          <w:rFonts w:hint="eastAsia" w:ascii="宋体" w:hAnsi="宋体" w:eastAsia="宋体"/>
          <w:bCs/>
          <w:color w:val="000000" w:themeColor="text1"/>
          <w:szCs w:val="28"/>
          <w14:textFill>
            <w14:solidFill>
              <w14:schemeClr w14:val="tx1"/>
            </w14:solidFill>
          </w14:textFill>
        </w:rPr>
        <w:t>围绕三井街道功能定位，大力发展现代服务业，三井街道将形成“四区一带”的功能分区发展格局。其中，“四区”是指东部的创意产业区（含创意旅游区和创意产业园）、中部的中心政务与中心商务区、西北部的创新创业和先进制造业区、西南部的大型城区居住区，“一带”是指太湖路现代服务业发展带。</w:t>
      </w:r>
    </w:p>
    <w:p w14:paraId="409FF7BE">
      <w:pPr>
        <w:rPr>
          <w:rFonts w:ascii="宋体" w:hAnsi="宋体"/>
          <w:bCs/>
          <w:color w:val="000000" w:themeColor="text1"/>
          <w:sz w:val="28"/>
          <w:szCs w:val="28"/>
          <w14:textFill>
            <w14:solidFill>
              <w14:schemeClr w14:val="tx1"/>
            </w14:solidFill>
          </w14:textFill>
        </w:rPr>
      </w:pPr>
      <w:r>
        <w:rPr>
          <w:rFonts w:ascii="宋体" w:hAnsi="宋体"/>
          <w:bCs/>
          <w:color w:val="000000" w:themeColor="text1"/>
          <w:sz w:val="28"/>
          <w:szCs w:val="28"/>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4003040</wp:posOffset>
                </wp:positionH>
                <wp:positionV relativeFrom="paragraph">
                  <wp:posOffset>994410</wp:posOffset>
                </wp:positionV>
                <wp:extent cx="1266825" cy="1390650"/>
                <wp:effectExtent l="19050" t="19050" r="47625" b="38100"/>
                <wp:wrapNone/>
                <wp:docPr id="19" name="Oval 66"/>
                <wp:cNvGraphicFramePr/>
                <a:graphic xmlns:a="http://schemas.openxmlformats.org/drawingml/2006/main">
                  <a:graphicData uri="http://schemas.microsoft.com/office/word/2010/wordprocessingShape">
                    <wps:wsp>
                      <wps:cNvSpPr>
                        <a:spLocks noChangeArrowheads="1"/>
                      </wps:cNvSpPr>
                      <wps:spPr bwMode="auto">
                        <a:xfrm>
                          <a:off x="0" y="0"/>
                          <a:ext cx="1266825" cy="1390650"/>
                        </a:xfrm>
                        <a:prstGeom prst="ellipse">
                          <a:avLst/>
                        </a:prstGeom>
                        <a:noFill/>
                        <a:ln w="57150">
                          <a:solidFill>
                            <a:srgbClr val="0000FF"/>
                          </a:solidFill>
                          <a:prstDash val="sysDot"/>
                          <a:round/>
                        </a:ln>
                      </wps:spPr>
                      <wps:txbx>
                        <w:txbxContent>
                          <w:p w14:paraId="4D98EAB3">
                            <w:pPr>
                              <w:rPr>
                                <w:b/>
                                <w:color w:val="0000FF"/>
                              </w:rPr>
                            </w:pPr>
                          </w:p>
                          <w:p w14:paraId="552B3D23">
                            <w:pPr>
                              <w:rPr>
                                <w:b/>
                                <w:color w:val="0000FF"/>
                              </w:rPr>
                            </w:pPr>
                          </w:p>
                          <w:p w14:paraId="2671F709">
                            <w:pPr>
                              <w:rPr>
                                <w:b/>
                                <w:color w:val="0000FF"/>
                              </w:rPr>
                            </w:pPr>
                            <w:r>
                              <w:rPr>
                                <w:rFonts w:hint="eastAsia"/>
                                <w:b/>
                                <w:color w:val="0000FF"/>
                              </w:rPr>
                              <w:t>创意产业区</w:t>
                            </w:r>
                          </w:p>
                          <w:p w14:paraId="0F9C7AC6">
                            <w:pPr>
                              <w:rPr>
                                <w:b/>
                                <w:color w:val="0000FF"/>
                              </w:rPr>
                            </w:pPr>
                          </w:p>
                        </w:txbxContent>
                      </wps:txbx>
                      <wps:bodyPr rot="0" vert="horz" wrap="square" lIns="91440" tIns="45720" rIns="91440" bIns="45720" anchor="t" anchorCtr="0" upright="1">
                        <a:noAutofit/>
                      </wps:bodyPr>
                    </wps:wsp>
                  </a:graphicData>
                </a:graphic>
              </wp:anchor>
            </w:drawing>
          </mc:Choice>
          <mc:Fallback>
            <w:pict>
              <v:shape id="Oval 66" o:spid="_x0000_s1026" o:spt="3" type="#_x0000_t3" style="position:absolute;left:0pt;margin-left:315.2pt;margin-top:78.3pt;height:109.5pt;width:99.75pt;z-index:251661312;mso-width-relative:page;mso-height-relative:page;" filled="f" stroked="t" coordsize="21600,21600" o:gfxdata="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bBrdR3AAAAAsBAAAPAAAAAAAAAAEAIAAAACIAAABkcnMvZG93&#10;bnJldi54bWxQSwECFAAUAAAACACHTuJA6DVcfjUCAABjBAAADgAAAAAAAAABACAAAAArAQAAZHJz&#10;L2Uyb0RvYy54bWxQSwUGAAAAAAYABgBZAQAA0gUAAAAA&#10;">
                <v:fill on="f" focussize="0,0"/>
                <v:stroke weight="4.5pt" color="#0000FF" joinstyle="round" dashstyle="1 1"/>
                <v:imagedata o:title=""/>
                <o:lock v:ext="edit" aspectratio="f"/>
                <v:textbox>
                  <w:txbxContent>
                    <w:p w14:paraId="4D98EAB3">
                      <w:pPr>
                        <w:rPr>
                          <w:b/>
                          <w:color w:val="0000FF"/>
                        </w:rPr>
                      </w:pPr>
                    </w:p>
                    <w:p w14:paraId="552B3D23">
                      <w:pPr>
                        <w:rPr>
                          <w:b/>
                          <w:color w:val="0000FF"/>
                        </w:rPr>
                      </w:pPr>
                    </w:p>
                    <w:p w14:paraId="2671F709">
                      <w:pPr>
                        <w:rPr>
                          <w:b/>
                          <w:color w:val="0000FF"/>
                        </w:rPr>
                      </w:pPr>
                      <w:r>
                        <w:rPr>
                          <w:rFonts w:hint="eastAsia"/>
                          <w:b/>
                          <w:color w:val="0000FF"/>
                        </w:rPr>
                        <w:t>创意产业区</w:t>
                      </w:r>
                    </w:p>
                    <w:p w14:paraId="0F9C7AC6">
                      <w:pPr>
                        <w:rPr>
                          <w:b/>
                          <w:color w:val="0000FF"/>
                        </w:rPr>
                      </w:pPr>
                    </w:p>
                  </w:txbxContent>
                </v:textbox>
              </v:shape>
            </w:pict>
          </mc:Fallback>
        </mc:AlternateContent>
      </w:r>
      <w:r>
        <w:rPr>
          <w:rFonts w:ascii="宋体" w:hAnsi="宋体"/>
          <w:bCs/>
          <w:color w:val="000000" w:themeColor="text1"/>
          <w:sz w:val="28"/>
          <w:szCs w:val="28"/>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2042160</wp:posOffset>
                </wp:positionH>
                <wp:positionV relativeFrom="paragraph">
                  <wp:posOffset>1564005</wp:posOffset>
                </wp:positionV>
                <wp:extent cx="1960880" cy="1073150"/>
                <wp:effectExtent l="0" t="95250" r="0" b="88900"/>
                <wp:wrapNone/>
                <wp:docPr id="9" name="Oval 68"/>
                <wp:cNvGraphicFramePr/>
                <a:graphic xmlns:a="http://schemas.openxmlformats.org/drawingml/2006/main">
                  <a:graphicData uri="http://schemas.microsoft.com/office/word/2010/wordprocessingShape">
                    <wps:wsp>
                      <wps:cNvSpPr>
                        <a:spLocks noChangeArrowheads="1"/>
                      </wps:cNvSpPr>
                      <wps:spPr bwMode="auto">
                        <a:xfrm rot="1171494">
                          <a:off x="0" y="0"/>
                          <a:ext cx="1960880" cy="1073150"/>
                        </a:xfrm>
                        <a:prstGeom prst="ellipse">
                          <a:avLst/>
                        </a:prstGeom>
                        <a:noFill/>
                        <a:ln w="38100">
                          <a:solidFill>
                            <a:srgbClr val="0000FF"/>
                          </a:solidFill>
                          <a:prstDash val="sysDot"/>
                          <a:round/>
                        </a:ln>
                      </wps:spPr>
                      <wps:txbx>
                        <w:txbxContent>
                          <w:p w14:paraId="3AD42671">
                            <w:pPr>
                              <w:ind w:firstLine="118" w:firstLineChars="49"/>
                              <w:rPr>
                                <w:rFonts w:ascii="宋体" w:hAnsi="宋体"/>
                                <w:b/>
                                <w:color w:val="0000FF"/>
                                <w:sz w:val="24"/>
                              </w:rPr>
                            </w:pPr>
                          </w:p>
                          <w:p w14:paraId="71965E34">
                            <w:pPr>
                              <w:ind w:firstLine="118" w:firstLineChars="49"/>
                              <w:rPr>
                                <w:rFonts w:ascii="宋体" w:hAnsi="宋体"/>
                                <w:b/>
                                <w:color w:val="0000FF"/>
                                <w:sz w:val="24"/>
                              </w:rPr>
                            </w:pPr>
                            <w:r>
                              <w:rPr>
                                <w:rFonts w:hint="eastAsia" w:ascii="宋体" w:hAnsi="宋体"/>
                                <w:b/>
                                <w:color w:val="0000FF"/>
                                <w:sz w:val="24"/>
                              </w:rPr>
                              <w:t>中心政务区</w:t>
                            </w:r>
                          </w:p>
                          <w:p w14:paraId="6047F71B">
                            <w:pPr>
                              <w:ind w:firstLine="118" w:firstLineChars="49"/>
                              <w:rPr>
                                <w:rFonts w:ascii="宋体" w:hAnsi="宋体"/>
                                <w:b/>
                                <w:color w:val="0000FF"/>
                                <w:sz w:val="24"/>
                              </w:rPr>
                            </w:pPr>
                            <w:r>
                              <w:rPr>
                                <w:rFonts w:hint="eastAsia" w:ascii="宋体" w:hAnsi="宋体"/>
                                <w:b/>
                                <w:color w:val="0000FF"/>
                                <w:sz w:val="24"/>
                              </w:rPr>
                              <w:t>中心商务区</w:t>
                            </w:r>
                          </w:p>
                        </w:txbxContent>
                      </wps:txbx>
                      <wps:bodyPr rot="0" vert="horz" wrap="square" lIns="91440" tIns="45720" rIns="91440" bIns="45720" anchor="t" anchorCtr="0" upright="1">
                        <a:noAutofit/>
                      </wps:bodyPr>
                    </wps:wsp>
                  </a:graphicData>
                </a:graphic>
              </wp:anchor>
            </w:drawing>
          </mc:Choice>
          <mc:Fallback>
            <w:pict>
              <v:shape id="Oval 68" o:spid="_x0000_s1026" o:spt="3" type="#_x0000_t3" style="position:absolute;left:0pt;margin-left:160.8pt;margin-top:123.15pt;height:84.5pt;width:154.4pt;rotation:1279584f;z-index:251663360;mso-width-relative:page;mso-height-relative:page;" filled="f" stroked="t" coordsize="21600,21600" o:gfxdata="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F/QfzaAAAACwEAAA8AAAAAAAAAAQAgAAAAIgAA&#10;AGRycy9kb3ducmV2LnhtbFBLAQIUABQAAAAIAIdO4kCr93htPwIAAHAEAAAOAAAAAAAAAAEAIAAA&#10;ACkBAABkcnMvZTJvRG9jLnhtbFBLBQYAAAAABgAGAFkBAADaBQAAAAA=&#10;">
                <v:fill on="f" focussize="0,0"/>
                <v:stroke weight="3pt" color="#0000FF" joinstyle="round" dashstyle="1 1"/>
                <v:imagedata o:title=""/>
                <o:lock v:ext="edit" aspectratio="f"/>
                <v:textbox>
                  <w:txbxContent>
                    <w:p w14:paraId="3AD42671">
                      <w:pPr>
                        <w:ind w:firstLine="118" w:firstLineChars="49"/>
                        <w:rPr>
                          <w:rFonts w:ascii="宋体" w:hAnsi="宋体"/>
                          <w:b/>
                          <w:color w:val="0000FF"/>
                          <w:sz w:val="24"/>
                        </w:rPr>
                      </w:pPr>
                    </w:p>
                    <w:p w14:paraId="71965E34">
                      <w:pPr>
                        <w:ind w:firstLine="118" w:firstLineChars="49"/>
                        <w:rPr>
                          <w:rFonts w:ascii="宋体" w:hAnsi="宋体"/>
                          <w:b/>
                          <w:color w:val="0000FF"/>
                          <w:sz w:val="24"/>
                        </w:rPr>
                      </w:pPr>
                      <w:r>
                        <w:rPr>
                          <w:rFonts w:hint="eastAsia" w:ascii="宋体" w:hAnsi="宋体"/>
                          <w:b/>
                          <w:color w:val="0000FF"/>
                          <w:sz w:val="24"/>
                        </w:rPr>
                        <w:t>中心政务区</w:t>
                      </w:r>
                    </w:p>
                    <w:p w14:paraId="6047F71B">
                      <w:pPr>
                        <w:ind w:firstLine="118" w:firstLineChars="49"/>
                        <w:rPr>
                          <w:rFonts w:ascii="宋体" w:hAnsi="宋体"/>
                          <w:b/>
                          <w:color w:val="0000FF"/>
                          <w:sz w:val="24"/>
                        </w:rPr>
                      </w:pPr>
                      <w:r>
                        <w:rPr>
                          <w:rFonts w:hint="eastAsia" w:ascii="宋体" w:hAnsi="宋体"/>
                          <w:b/>
                          <w:color w:val="0000FF"/>
                          <w:sz w:val="24"/>
                        </w:rPr>
                        <w:t>中心商务区</w:t>
                      </w:r>
                    </w:p>
                  </w:txbxContent>
                </v:textbox>
              </v:shape>
            </w:pict>
          </mc:Fallback>
        </mc:AlternateContent>
      </w:r>
      <w:r>
        <w:rPr>
          <w:rFonts w:ascii="宋体" w:hAnsi="宋体"/>
          <w:bCs/>
          <w:color w:val="000000" w:themeColor="text1"/>
          <w:sz w:val="28"/>
          <w:szCs w:val="28"/>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80010</wp:posOffset>
                </wp:positionH>
                <wp:positionV relativeFrom="paragraph">
                  <wp:posOffset>1619250</wp:posOffset>
                </wp:positionV>
                <wp:extent cx="1724025" cy="847725"/>
                <wp:effectExtent l="0" t="95250" r="0" b="85725"/>
                <wp:wrapNone/>
                <wp:docPr id="8" name="Oval 71"/>
                <wp:cNvGraphicFramePr/>
                <a:graphic xmlns:a="http://schemas.openxmlformats.org/drawingml/2006/main">
                  <a:graphicData uri="http://schemas.microsoft.com/office/word/2010/wordprocessingShape">
                    <wps:wsp>
                      <wps:cNvSpPr>
                        <a:spLocks noChangeArrowheads="1"/>
                      </wps:cNvSpPr>
                      <wps:spPr bwMode="auto">
                        <a:xfrm rot="1081393">
                          <a:off x="0" y="0"/>
                          <a:ext cx="1724025" cy="847725"/>
                        </a:xfrm>
                        <a:prstGeom prst="ellipse">
                          <a:avLst/>
                        </a:prstGeom>
                        <a:noFill/>
                        <a:ln w="38100">
                          <a:solidFill>
                            <a:srgbClr val="0000FF"/>
                          </a:solidFill>
                          <a:prstDash val="sysDot"/>
                          <a:round/>
                        </a:ln>
                      </wps:spPr>
                      <wps:txbx>
                        <w:txbxContent>
                          <w:p w14:paraId="6976F984">
                            <w:pPr>
                              <w:rPr>
                                <w:b/>
                                <w:color w:val="0000FF"/>
                              </w:rPr>
                            </w:pPr>
                            <w:r>
                              <w:rPr>
                                <w:rFonts w:hint="eastAsia"/>
                                <w:b/>
                                <w:color w:val="0000FF"/>
                              </w:rPr>
                              <w:t>大型城区居住区</w:t>
                            </w:r>
                          </w:p>
                        </w:txbxContent>
                      </wps:txbx>
                      <wps:bodyPr rot="0" vert="horz" wrap="square" lIns="91440" tIns="45720" rIns="91440" bIns="45720" anchor="t" anchorCtr="0" upright="1">
                        <a:noAutofit/>
                      </wps:bodyPr>
                    </wps:wsp>
                  </a:graphicData>
                </a:graphic>
              </wp:anchor>
            </w:drawing>
          </mc:Choice>
          <mc:Fallback>
            <w:pict>
              <v:shape id="Oval 71" o:spid="_x0000_s1026" o:spt="3" type="#_x0000_t3" style="position:absolute;left:0pt;margin-left:6.3pt;margin-top:127.5pt;height:66.75pt;width:135.75pt;rotation:1181170f;z-index:251665408;mso-width-relative:page;mso-height-relative:page;" filled="f" stroked="t" coordsize="21600,21600" o:gfxdata="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&#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xJKw7aAAAACgEAAA8AAAAAAAAAAQAgAAAAIgAAAGRy&#10;cy9kb3ducmV2LnhtbFBLAQIUABQAAAAIAIdO4kC0tHz1PAIAAG8EAAAOAAAAAAAAAAEAIAAAACkB&#10;AABkcnMvZTJvRG9jLnhtbFBLBQYAAAAABgAGAFkBAADXBQAAAAA=&#10;">
                <v:fill on="f" focussize="0,0"/>
                <v:stroke weight="3pt" color="#0000FF" joinstyle="round" dashstyle="1 1"/>
                <v:imagedata o:title=""/>
                <o:lock v:ext="edit" aspectratio="f"/>
                <v:textbox>
                  <w:txbxContent>
                    <w:p w14:paraId="6976F984">
                      <w:pPr>
                        <w:rPr>
                          <w:b/>
                          <w:color w:val="0000FF"/>
                        </w:rPr>
                      </w:pPr>
                      <w:r>
                        <w:rPr>
                          <w:rFonts w:hint="eastAsia"/>
                          <w:b/>
                          <w:color w:val="0000FF"/>
                        </w:rPr>
                        <w:t>大型城区居住区</w:t>
                      </w:r>
                    </w:p>
                  </w:txbxContent>
                </v:textbox>
              </v:shape>
            </w:pict>
          </mc:Fallback>
        </mc:AlternateContent>
      </w:r>
      <w:r>
        <w:rPr>
          <w:rFonts w:ascii="宋体" w:hAnsi="宋体"/>
          <w:bCs/>
          <w:color w:val="000000" w:themeColor="text1"/>
          <w:sz w:val="28"/>
          <w:szCs w:val="28"/>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952500</wp:posOffset>
                </wp:positionH>
                <wp:positionV relativeFrom="paragraph">
                  <wp:posOffset>1289685</wp:posOffset>
                </wp:positionV>
                <wp:extent cx="3695700" cy="701040"/>
                <wp:effectExtent l="19050" t="38100" r="19050" b="41910"/>
                <wp:wrapNone/>
                <wp:docPr id="7" name="Freeform 70"/>
                <wp:cNvGraphicFramePr/>
                <a:graphic xmlns:a="http://schemas.openxmlformats.org/drawingml/2006/main">
                  <a:graphicData uri="http://schemas.microsoft.com/office/word/2010/wordprocessingShape">
                    <wps:wsp>
                      <wps:cNvSpPr/>
                      <wps:spPr bwMode="auto">
                        <a:xfrm>
                          <a:off x="0" y="0"/>
                          <a:ext cx="3695700" cy="701040"/>
                        </a:xfrm>
                        <a:custGeom>
                          <a:avLst/>
                          <a:gdLst>
                            <a:gd name="T0" fmla="*/ 0 w 5820"/>
                            <a:gd name="T1" fmla="*/ 0 h 1282"/>
                            <a:gd name="T2" fmla="*/ 540 w 5820"/>
                            <a:gd name="T3" fmla="*/ 255 h 1282"/>
                            <a:gd name="T4" fmla="*/ 1815 w 5820"/>
                            <a:gd name="T5" fmla="*/ 675 h 1282"/>
                            <a:gd name="T6" fmla="*/ 3450 w 5820"/>
                            <a:gd name="T7" fmla="*/ 960 h 1282"/>
                            <a:gd name="T8" fmla="*/ 3930 w 5820"/>
                            <a:gd name="T9" fmla="*/ 1050 h 1282"/>
                            <a:gd name="T10" fmla="*/ 4796 w 5820"/>
                            <a:gd name="T11" fmla="*/ 1200 h 1282"/>
                            <a:gd name="T12" fmla="*/ 5130 w 5820"/>
                            <a:gd name="T13" fmla="*/ 1125 h 1282"/>
                            <a:gd name="T14" fmla="*/ 5385 w 5820"/>
                            <a:gd name="T15" fmla="*/ 1260 h 1282"/>
                            <a:gd name="T16" fmla="*/ 5820 w 5820"/>
                            <a:gd name="T17" fmla="*/ 1260 h 1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820" h="1282">
                              <a:moveTo>
                                <a:pt x="0" y="0"/>
                              </a:moveTo>
                              <a:cubicBezTo>
                                <a:pt x="119" y="71"/>
                                <a:pt x="238" y="143"/>
                                <a:pt x="540" y="255"/>
                              </a:cubicBezTo>
                              <a:cubicBezTo>
                                <a:pt x="842" y="367"/>
                                <a:pt x="1330" y="558"/>
                                <a:pt x="1815" y="675"/>
                              </a:cubicBezTo>
                              <a:cubicBezTo>
                                <a:pt x="2300" y="792"/>
                                <a:pt x="3098" y="898"/>
                                <a:pt x="3450" y="960"/>
                              </a:cubicBezTo>
                              <a:cubicBezTo>
                                <a:pt x="3802" y="1022"/>
                                <a:pt x="3706" y="1010"/>
                                <a:pt x="3930" y="1050"/>
                              </a:cubicBezTo>
                              <a:cubicBezTo>
                                <a:pt x="4154" y="1090"/>
                                <a:pt x="4596" y="1188"/>
                                <a:pt x="4796" y="1200"/>
                              </a:cubicBezTo>
                              <a:cubicBezTo>
                                <a:pt x="4996" y="1212"/>
                                <a:pt x="5032" y="1115"/>
                                <a:pt x="5130" y="1125"/>
                              </a:cubicBezTo>
                              <a:cubicBezTo>
                                <a:pt x="5228" y="1135"/>
                                <a:pt x="5270" y="1238"/>
                                <a:pt x="5385" y="1260"/>
                              </a:cubicBezTo>
                              <a:cubicBezTo>
                                <a:pt x="5500" y="1282"/>
                                <a:pt x="5750" y="1262"/>
                                <a:pt x="5820" y="1260"/>
                              </a:cubicBezTo>
                            </a:path>
                          </a:pathLst>
                        </a:custGeom>
                        <a:noFill/>
                        <a:ln w="76200">
                          <a:solidFill>
                            <a:srgbClr val="0000FF"/>
                          </a:solidFill>
                          <a:prstDash val="dash"/>
                          <a:round/>
                        </a:ln>
                      </wps:spPr>
                      <wps:bodyPr rot="0" vert="horz" wrap="square" lIns="91440" tIns="45720" rIns="91440" bIns="45720" anchor="t" anchorCtr="0" upright="1">
                        <a:noAutofit/>
                      </wps:bodyPr>
                    </wps:wsp>
                  </a:graphicData>
                </a:graphic>
              </wp:anchor>
            </w:drawing>
          </mc:Choice>
          <mc:Fallback>
            <w:pict>
              <v:shape id="Freeform 70" o:spid="_x0000_s1026" o:spt="100" style="position:absolute;left:0pt;margin-left:75pt;margin-top:101.55pt;height:55.2pt;width:291pt;z-index:251664384;mso-width-relative:page;mso-height-relative:page;" filled="f" stroked="t" coordsize="5820,1282" o:gfxdata="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" path="m0,0c119,71,238,143,540,255c842,367,1330,558,1815,675c2300,792,3098,898,3450,960c3802,1022,3706,1010,3930,1050c4154,1090,4596,1188,4796,1200c4996,1212,5032,1115,5130,1125c5228,1135,5270,1238,5385,1260c5500,1282,5750,1262,5820,1260e">
                <v:path o:connectlocs="0,0;342900,139442;1152525,369112;2190750,524959;2495550,574174;3045460,656199;3257550,615187;3419475,689009;3695700,689009" o:connectangles="0,0,0,0,0,0,0,0,0"/>
                <v:fill on="f" focussize="0,0"/>
                <v:stroke weight="6pt" color="#0000FF" joinstyle="round" dashstyle="dash"/>
                <v:imagedata o:title=""/>
                <o:lock v:ext="edit" aspectratio="f"/>
              </v:shape>
            </w:pict>
          </mc:Fallback>
        </mc:AlternateContent>
      </w:r>
      <w:r>
        <w:rPr>
          <w:rFonts w:ascii="宋体" w:hAnsi="宋体"/>
          <w:bCs/>
          <w:color w:val="000000" w:themeColor="text1"/>
          <w:sz w:val="28"/>
          <w:szCs w:val="28"/>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857250</wp:posOffset>
                </wp:positionH>
                <wp:positionV relativeFrom="paragraph">
                  <wp:posOffset>440055</wp:posOffset>
                </wp:positionV>
                <wp:extent cx="1514475" cy="1377315"/>
                <wp:effectExtent l="19050" t="19050" r="28575" b="13335"/>
                <wp:wrapNone/>
                <wp:docPr id="6" name="Oval 67"/>
                <wp:cNvGraphicFramePr/>
                <a:graphic xmlns:a="http://schemas.openxmlformats.org/drawingml/2006/main">
                  <a:graphicData uri="http://schemas.microsoft.com/office/word/2010/wordprocessingShape">
                    <wps:wsp>
                      <wps:cNvSpPr>
                        <a:spLocks noChangeArrowheads="1"/>
                      </wps:cNvSpPr>
                      <wps:spPr bwMode="auto">
                        <a:xfrm>
                          <a:off x="0" y="0"/>
                          <a:ext cx="1514475" cy="1377315"/>
                        </a:xfrm>
                        <a:prstGeom prst="ellipse">
                          <a:avLst/>
                        </a:prstGeom>
                        <a:noFill/>
                        <a:ln w="38100">
                          <a:solidFill>
                            <a:srgbClr val="0000FF"/>
                          </a:solidFill>
                          <a:prstDash val="sysDot"/>
                          <a:round/>
                        </a:ln>
                      </wps:spPr>
                      <wps:txbx>
                        <w:txbxContent>
                          <w:p w14:paraId="609784CF">
                            <w:pPr>
                              <w:rPr>
                                <w:b/>
                                <w:color w:val="0000FF"/>
                              </w:rPr>
                            </w:pPr>
                          </w:p>
                          <w:p w14:paraId="26FE900A">
                            <w:pPr>
                              <w:rPr>
                                <w:b/>
                                <w:color w:val="0000FF"/>
                              </w:rPr>
                            </w:pPr>
                            <w:r>
                              <w:rPr>
                                <w:rFonts w:hint="eastAsia"/>
                                <w:b/>
                                <w:color w:val="0000FF"/>
                              </w:rPr>
                              <w:t>创新创业区</w:t>
                            </w:r>
                          </w:p>
                          <w:p w14:paraId="51491147">
                            <w:pPr>
                              <w:rPr>
                                <w:b/>
                                <w:color w:val="0000FF"/>
                              </w:rPr>
                            </w:pPr>
                            <w:r>
                              <w:rPr>
                                <w:rFonts w:hint="eastAsia"/>
                                <w:b/>
                                <w:color w:val="0000FF"/>
                              </w:rPr>
                              <w:t>先进制造业区</w:t>
                            </w:r>
                          </w:p>
                          <w:p w14:paraId="612E0FF9"/>
                        </w:txbxContent>
                      </wps:txbx>
                      <wps:bodyPr rot="0" vert="horz" wrap="square" lIns="91440" tIns="45720" rIns="91440" bIns="45720" anchor="t" anchorCtr="0" upright="1">
                        <a:noAutofit/>
                      </wps:bodyPr>
                    </wps:wsp>
                  </a:graphicData>
                </a:graphic>
              </wp:anchor>
            </w:drawing>
          </mc:Choice>
          <mc:Fallback>
            <w:pict>
              <v:shape id="Oval 67" o:spid="_x0000_s1026" o:spt="3" type="#_x0000_t3" style="position:absolute;left:0pt;margin-left:67.5pt;margin-top:34.65pt;height:108.45pt;width:119.25pt;z-index:251662336;mso-width-relative:page;mso-height-relative:page;" filled="f" stroked="t" coordsize="21600,21600" o:gfxdata="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EaXKQbZAAAACgEAAA8AAAAAAAAAAQAgAAAAIgAAAGRycy9kb3ducmV2&#10;LnhtbFBLAQIUABQAAAAIAIdO4kCI9ayFNAIAAGIEAAAOAAAAAAAAAAEAIAAAACgBAABkcnMvZTJv&#10;RG9jLnhtbFBLBQYAAAAABgAGAFkBAADOBQAAAAA=&#10;">
                <v:fill on="f" focussize="0,0"/>
                <v:stroke weight="3pt" color="#0000FF" joinstyle="round" dashstyle="1 1"/>
                <v:imagedata o:title=""/>
                <o:lock v:ext="edit" aspectratio="f"/>
                <v:textbox>
                  <w:txbxContent>
                    <w:p w14:paraId="609784CF">
                      <w:pPr>
                        <w:rPr>
                          <w:b/>
                          <w:color w:val="0000FF"/>
                        </w:rPr>
                      </w:pPr>
                    </w:p>
                    <w:p w14:paraId="26FE900A">
                      <w:pPr>
                        <w:rPr>
                          <w:b/>
                          <w:color w:val="0000FF"/>
                        </w:rPr>
                      </w:pPr>
                      <w:r>
                        <w:rPr>
                          <w:rFonts w:hint="eastAsia"/>
                          <w:b/>
                          <w:color w:val="0000FF"/>
                        </w:rPr>
                        <w:t>创新创业区</w:t>
                      </w:r>
                    </w:p>
                    <w:p w14:paraId="51491147">
                      <w:pPr>
                        <w:rPr>
                          <w:b/>
                          <w:color w:val="0000FF"/>
                        </w:rPr>
                      </w:pPr>
                      <w:r>
                        <w:rPr>
                          <w:rFonts w:hint="eastAsia"/>
                          <w:b/>
                          <w:color w:val="0000FF"/>
                        </w:rPr>
                        <w:t>先进制造业区</w:t>
                      </w:r>
                    </w:p>
                    <w:p w14:paraId="612E0FF9"/>
                  </w:txbxContent>
                </v:textbox>
              </v:shape>
            </w:pict>
          </mc:Fallback>
        </mc:AlternateContent>
      </w:r>
      <w:r>
        <w:rPr>
          <w:rFonts w:ascii="宋体" w:hAnsi="宋体"/>
          <w:bCs/>
          <w:color w:val="000000" w:themeColor="text1"/>
          <w:sz w:val="28"/>
          <w:szCs w:val="28"/>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1200150</wp:posOffset>
                </wp:positionH>
                <wp:positionV relativeFrom="paragraph">
                  <wp:posOffset>1562100</wp:posOffset>
                </wp:positionV>
                <wp:extent cx="1343025" cy="428625"/>
                <wp:effectExtent l="0" t="0" r="0" b="9525"/>
                <wp:wrapNone/>
                <wp:docPr id="5" name="Rectangle 72"/>
                <wp:cNvGraphicFramePr/>
                <a:graphic xmlns:a="http://schemas.openxmlformats.org/drawingml/2006/main">
                  <a:graphicData uri="http://schemas.microsoft.com/office/word/2010/wordprocessingShape">
                    <wps:wsp>
                      <wps:cNvSpPr>
                        <a:spLocks noChangeArrowheads="1"/>
                      </wps:cNvSpPr>
                      <wps:spPr bwMode="auto">
                        <a:xfrm>
                          <a:off x="0" y="0"/>
                          <a:ext cx="1343025" cy="428625"/>
                        </a:xfrm>
                        <a:prstGeom prst="rect">
                          <a:avLst/>
                        </a:prstGeom>
                        <a:noFill/>
                        <a:ln>
                          <a:noFill/>
                        </a:ln>
                      </wps:spPr>
                      <wps:txbx>
                        <w:txbxContent>
                          <w:p w14:paraId="76F57777">
                            <w:pPr>
                              <w:ind w:firstLine="620" w:firstLineChars="294"/>
                              <w:rPr>
                                <w:b/>
                                <w:color w:val="0000FF"/>
                              </w:rPr>
                            </w:pPr>
                            <w:r>
                              <w:rPr>
                                <w:rFonts w:hint="eastAsia"/>
                                <w:b/>
                                <w:color w:val="0000FF"/>
                              </w:rPr>
                              <w:t>太湖路</w:t>
                            </w:r>
                          </w:p>
                        </w:txbxContent>
                      </wps:txbx>
                      <wps:bodyPr rot="0" vert="horz" wrap="square" lIns="91440" tIns="45720" rIns="91440" bIns="45720" anchor="t" anchorCtr="0" upright="1">
                        <a:noAutofit/>
                      </wps:bodyPr>
                    </wps:wsp>
                  </a:graphicData>
                </a:graphic>
              </wp:anchor>
            </w:drawing>
          </mc:Choice>
          <mc:Fallback>
            <w:pict>
              <v:rect id="Rectangle 72" o:spid="_x0000_s1026" o:spt="1" style="position:absolute;left:0pt;margin-left:94.5pt;margin-top:123pt;height:33.75pt;width:105.75pt;z-index:251666432;mso-width-relative:page;mso-height-relative:page;" filled="f" stroked="f" coordsize="21600,21600" o:gfxdata="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&#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lH2wA2wAAAAsBAAAPAAAAAAAAAAEAIAAAACIAAABk&#10;cnMvZG93bnJldi54bWxQSwECFAAUAAAACACHTuJAlb78sgMCAAAMBAAADgAAAAAAAAABACAAAAAq&#10;AQAAZHJzL2Uyb0RvYy54bWxQSwUGAAAAAAYABgBZAQAAnwUAAAAA&#10;">
                <v:fill on="f" focussize="0,0"/>
                <v:stroke on="f"/>
                <v:imagedata o:title=""/>
                <o:lock v:ext="edit" aspectratio="f"/>
                <v:textbox>
                  <w:txbxContent>
                    <w:p w14:paraId="76F57777">
                      <w:pPr>
                        <w:ind w:firstLine="620" w:firstLineChars="294"/>
                        <w:rPr>
                          <w:b/>
                          <w:color w:val="0000FF"/>
                        </w:rPr>
                      </w:pPr>
                      <w:r>
                        <w:rPr>
                          <w:rFonts w:hint="eastAsia"/>
                          <w:b/>
                          <w:color w:val="0000FF"/>
                        </w:rPr>
                        <w:t>太湖路</w:t>
                      </w:r>
                    </w:p>
                  </w:txbxContent>
                </v:textbox>
              </v:rect>
            </w:pict>
          </mc:Fallback>
        </mc:AlternateContent>
      </w:r>
      <w:r>
        <w:rPr>
          <w:rFonts w:ascii="宋体" w:hAnsi="宋体"/>
          <w:color w:val="000000" w:themeColor="text1"/>
          <w:sz w:val="28"/>
          <w:szCs w:val="28"/>
          <w14:textFill>
            <w14:solidFill>
              <w14:schemeClr w14:val="tx1"/>
            </w14:solidFill>
          </w14:textFill>
        </w:rPr>
        <w:drawing>
          <wp:inline distT="0" distB="0" distL="0" distR="0">
            <wp:extent cx="5267325" cy="2819400"/>
            <wp:effectExtent l="19050" t="19050" r="28575" b="19050"/>
            <wp:docPr id="42" name="图片 8" descr="三井区域图终-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 descr="三井区域图终-Model"/>
                    <pic:cNvPicPr>
                      <a:picLocks noChangeAspect="1" noChangeArrowheads="1"/>
                    </pic:cNvPicPr>
                  </pic:nvPicPr>
                  <pic:blipFill>
                    <a:blip r:embed="rId36" cstate="print"/>
                    <a:srcRect/>
                    <a:stretch>
                      <a:fillRect/>
                    </a:stretch>
                  </pic:blipFill>
                  <pic:spPr>
                    <a:xfrm>
                      <a:off x="0" y="0"/>
                      <a:ext cx="5267325" cy="2819400"/>
                    </a:xfrm>
                    <a:prstGeom prst="rect">
                      <a:avLst/>
                    </a:prstGeom>
                    <a:noFill/>
                    <a:ln w="6350" cmpd="sng">
                      <a:solidFill>
                        <a:srgbClr val="000000"/>
                      </a:solidFill>
                      <a:miter lim="800000"/>
                      <a:headEnd/>
                      <a:tailEnd/>
                    </a:ln>
                    <a:effectLst/>
                  </pic:spPr>
                </pic:pic>
              </a:graphicData>
            </a:graphic>
          </wp:inline>
        </w:drawing>
      </w:r>
      <w:r>
        <w:rPr>
          <w:rFonts w:ascii="宋体" w:hAnsi="宋体"/>
          <w:bCs/>
          <w:color w:val="000000" w:themeColor="text1"/>
          <w:sz w:val="28"/>
          <w:szCs w:val="28"/>
          <w14:textFill>
            <w14:solidFill>
              <w14:schemeClr w14:val="tx1"/>
            </w14:solidFill>
          </w14:textFill>
        </w:rPr>
        <mc:AlternateContent>
          <mc:Choice Requires="wps">
            <w:drawing>
              <wp:anchor distT="0" distB="0" distL="113665" distR="113665" simplePos="0" relativeHeight="251660288" behindDoc="0" locked="0" layoutInCell="1" allowOverlap="1">
                <wp:simplePos x="0" y="0"/>
                <wp:positionH relativeFrom="column">
                  <wp:posOffset>3447415</wp:posOffset>
                </wp:positionH>
                <wp:positionV relativeFrom="paragraph">
                  <wp:posOffset>2112010</wp:posOffset>
                </wp:positionV>
                <wp:extent cx="0" cy="0"/>
                <wp:effectExtent l="0" t="0" r="0" b="0"/>
                <wp:wrapNone/>
                <wp:docPr id="4" name="AutoShape 23"/>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ln>
                      </wps:spPr>
                      <wps:bodyPr/>
                    </wps:wsp>
                  </a:graphicData>
                </a:graphic>
              </wp:anchor>
            </w:drawing>
          </mc:Choice>
          <mc:Fallback>
            <w:pict>
              <v:shape id="AutoShape 23" o:spid="_x0000_s1026" o:spt="32" type="#_x0000_t32" style="position:absolute;left:0pt;margin-left:271.45pt;margin-top:166.3pt;height:0pt;width:0pt;z-index:251660288;mso-width-relative:page;mso-height-relative:page;" filled="f" stroked="t" coordsize="21600,21600" o:gfxdata="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&#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JtjWXLWAAAACwEAAA8AAAAAAAAAAQAgAAAAIgAAAGRy&#10;cy9kb3ducmV2LnhtbFBLAQIUABQAAAAIAIdO4kDGXzLqzgEAAK0DAAAOAAAAAAAAAAEAIAAAACUB&#10;AABkcnMvZTJvRG9jLnhtbFBLBQYAAAAABgAGAFkBAABlBQAAAAA=&#10;">
                <v:fill on="f" focussize="0,0"/>
                <v:stroke color="#000000" joinstyle="round"/>
                <v:imagedata o:title=""/>
                <o:lock v:ext="edit" aspectratio="f"/>
              </v:shape>
            </w:pict>
          </mc:Fallback>
        </mc:AlternateContent>
      </w:r>
    </w:p>
    <w:p w14:paraId="45FCEC31">
      <w:pPr>
        <w:rPr>
          <w:rFonts w:ascii="黑体" w:hAnsi="宋体" w:eastAsia="黑体"/>
          <w:b/>
          <w:bCs/>
          <w:color w:val="000000" w:themeColor="text1"/>
          <w:sz w:val="24"/>
          <w14:textFill>
            <w14:solidFill>
              <w14:schemeClr w14:val="tx1"/>
            </w14:solidFill>
          </w14:textFill>
        </w:rPr>
      </w:pPr>
      <w:r>
        <w:rPr>
          <w:rFonts w:hint="eastAsia" w:ascii="宋体" w:hAnsi="宋体"/>
          <w:b/>
          <w:bCs/>
          <w:color w:val="000000" w:themeColor="text1"/>
          <w:sz w:val="32"/>
          <w14:textFill>
            <w14:solidFill>
              <w14:schemeClr w14:val="tx1"/>
            </w14:solidFill>
          </w14:textFill>
        </w:rPr>
        <w:t xml:space="preserve">            </w:t>
      </w:r>
      <w:r>
        <w:rPr>
          <w:rFonts w:hint="eastAsia" w:ascii="黑体" w:hAnsi="宋体" w:eastAsia="黑体"/>
          <w:b/>
          <w:bCs/>
          <w:color w:val="000000" w:themeColor="text1"/>
          <w:sz w:val="24"/>
          <w14:textFill>
            <w14:solidFill>
              <w14:schemeClr w14:val="tx1"/>
            </w14:solidFill>
          </w14:textFill>
        </w:rPr>
        <w:t xml:space="preserve">      图7：三井街道功能分区</w:t>
      </w:r>
    </w:p>
    <w:p w14:paraId="008A9F3C">
      <w:pPr>
        <w:rPr>
          <w:rFonts w:ascii="黑体" w:hAnsi="宋体" w:eastAsia="黑体"/>
          <w:b/>
          <w:bCs/>
          <w:color w:val="000000" w:themeColor="text1"/>
          <w:sz w:val="24"/>
          <w14:textFill>
            <w14:solidFill>
              <w14:schemeClr w14:val="tx1"/>
            </w14:solidFill>
          </w14:textFill>
        </w:rPr>
      </w:pPr>
    </w:p>
    <w:p w14:paraId="11F4358F">
      <w:pPr>
        <w:rPr>
          <w:rFonts w:ascii="黑体" w:hAnsi="宋体" w:eastAsia="黑体"/>
          <w:b/>
          <w:bCs/>
          <w:color w:val="000000" w:themeColor="text1"/>
          <w:sz w:val="24"/>
          <w14:textFill>
            <w14:solidFill>
              <w14:schemeClr w14:val="tx1"/>
            </w14:solidFill>
          </w14:textFill>
        </w:rPr>
      </w:pPr>
      <w:r>
        <w:rPr>
          <w:rFonts w:hint="eastAsia" w:ascii="黑体" w:hAnsi="宋体" w:eastAsia="黑体"/>
          <w:b/>
          <w:bCs/>
          <w:color w:val="000000" w:themeColor="text1"/>
          <w:sz w:val="32"/>
          <w14:textFill>
            <w14:solidFill>
              <w14:schemeClr w14:val="tx1"/>
            </w14:solidFill>
          </w14:textFill>
        </w:rPr>
        <w:t>（二）创意产业区</w:t>
      </w:r>
    </w:p>
    <w:p w14:paraId="3E8D3B02">
      <w:pPr>
        <w:ind w:firstLine="560" w:firstLineChars="200"/>
        <w:rPr>
          <w:rFonts w:ascii="宋体" w:hAnsi="宋体" w:cs="Arial"/>
          <w:color w:val="000000" w:themeColor="text1"/>
          <w:sz w:val="28"/>
          <w14:textFill>
            <w14:solidFill>
              <w14:schemeClr w14:val="tx1"/>
            </w14:solidFill>
          </w14:textFill>
        </w:rPr>
      </w:pPr>
      <w:r>
        <w:rPr>
          <w:rFonts w:hint="eastAsia" w:ascii="宋体" w:hAnsi="宋体" w:cs="Arial"/>
          <w:color w:val="000000" w:themeColor="text1"/>
          <w:sz w:val="28"/>
          <w14:textFill>
            <w14:solidFill>
              <w14:schemeClr w14:val="tx1"/>
            </w14:solidFill>
          </w14:textFill>
        </w:rPr>
        <w:t>创意产业区土地隶属于三井街道洪福社区，包括了环球恐龙园、迪诺水镇、创意产业园、广告产业园，由常州龙城控股集团公司负责功能区域开发；洪福社区其余土地分为香树湾福园、时代上院、龙湖原山雅居、世茂香槟湖四个居住小区，由不同开发主体分别开发，其中龙湖原山雅居、世茂香槟湖还处于开发之中，没有完全交付。</w:t>
      </w:r>
    </w:p>
    <w:p w14:paraId="07EF5DED">
      <w:pPr>
        <w:ind w:firstLine="560" w:firstLineChars="200"/>
        <w:rPr>
          <w:rFonts w:ascii="宋体" w:hAnsi="宋体" w:cs="Arial"/>
          <w:color w:val="000000" w:themeColor="text1"/>
          <w:sz w:val="28"/>
          <w14:textFill>
            <w14:solidFill>
              <w14:schemeClr w14:val="tx1"/>
            </w14:solidFill>
          </w14:textFill>
        </w:rPr>
      </w:pPr>
      <w:r>
        <w:rPr>
          <w:rFonts w:hint="eastAsia" w:ascii="宋体" w:hAnsi="宋体" w:cs="Arial"/>
          <w:color w:val="000000" w:themeColor="text1"/>
          <w:sz w:val="28"/>
          <w14:textFill>
            <w14:solidFill>
              <w14:schemeClr w14:val="tx1"/>
            </w14:solidFill>
          </w14:textFill>
        </w:rPr>
        <w:t>在商业项目开发上，“十三五”期间还有迪诺水镇二期、世茂商业广场、龙湖商业街三个项目需要开发。但就投入运营的迪诺水镇一期项目而言，目前存在的问题在于：一是由于动线设计有问题，主街招商和运营情况较好，次街招商和运营情况较差；二是楼层独立经营，底层、二层、三层分属不同经营主体，导致底商招商和运营情况较好，二层、三层招商和运营情况较差；三是经营体量偏大，以环球恐龙园客流为目标客户，但毕竟游客≠顾客，节假日顾客有数万人，平时顾客仅几千人，更何况随着上海迪斯尼乐园和无锡万达城开业，存在游客增量不确定性问题，由于迪诺水镇一期经营情况不理想，一定程度也影响了龙湖商业街和世茂商业广场开发节奏；四是受电子商务冲击，目前零售购物均呈下滑态势，同时，常州市高档酒店业由于存在供大于求情况，也存在普遍经营不善问题，唯一保持正常状态是体验消费；五是环球恐龙园周边停车场车位超过了1万个，但这是按照客流高峰时设计的车位，全年满负荷时间两周左右，其余时间均处于闲置状态。</w:t>
      </w:r>
    </w:p>
    <w:p w14:paraId="36C84A83">
      <w:pPr>
        <w:ind w:firstLine="560" w:firstLineChars="200"/>
        <w:rPr>
          <w:rFonts w:ascii="宋体" w:hAnsi="宋体" w:cs="Arial"/>
          <w:color w:val="000000" w:themeColor="text1"/>
          <w:sz w:val="28"/>
          <w:szCs w:val="28"/>
          <w14:textFill>
            <w14:solidFill>
              <w14:schemeClr w14:val="tx1"/>
            </w14:solidFill>
          </w14:textFill>
        </w:rPr>
      </w:pPr>
      <w:r>
        <w:rPr>
          <w:rFonts w:hint="eastAsia" w:ascii="宋体" w:hAnsi="宋体" w:cs="Arial"/>
          <w:color w:val="000000" w:themeColor="text1"/>
          <w:sz w:val="28"/>
          <w14:textFill>
            <w14:solidFill>
              <w14:schemeClr w14:val="tx1"/>
            </w14:solidFill>
          </w14:textFill>
        </w:rPr>
        <w:t>从城区发展角度看，截止2014年3月底，</w:t>
      </w:r>
      <w:r>
        <w:rPr>
          <w:rFonts w:hint="eastAsia" w:ascii="宋体" w:hAnsi="宋体"/>
          <w:bCs/>
          <w:color w:val="000000" w:themeColor="text1"/>
          <w:sz w:val="28"/>
          <w:szCs w:val="28"/>
          <w14:textFill>
            <w14:solidFill>
              <w14:schemeClr w14:val="tx1"/>
            </w14:solidFill>
          </w14:textFill>
        </w:rPr>
        <w:t>三井街道创意产业区四个小区交付户数已达7842户，按照平均每个家庭（户）3.2人计算，完全居住人口可达2.5万人，目前存在的主要问题是公共服务不能满足需求，尤其教育和卫生医疗满足不了居民需求，仅有1家公助民办幼儿园——银河香槟湖幼儿园。</w:t>
      </w:r>
    </w:p>
    <w:p w14:paraId="46C806A8">
      <w:pPr>
        <w:rPr>
          <w:rFonts w:ascii="黑体" w:hAnsi="宋体" w:eastAsia="黑体" w:cs="Arial"/>
          <w:b/>
          <w:color w:val="000000" w:themeColor="text1"/>
          <w:sz w:val="24"/>
          <w14:textFill>
            <w14:solidFill>
              <w14:schemeClr w14:val="tx1"/>
            </w14:solidFill>
          </w14:textFill>
        </w:rPr>
      </w:pPr>
      <w:r>
        <w:rPr>
          <w:rFonts w:hint="eastAsia" w:ascii="宋体" w:hAnsi="宋体" w:cs="Arial"/>
          <w:color w:val="000000" w:themeColor="text1"/>
          <w:sz w:val="28"/>
          <w14:textFill>
            <w14:solidFill>
              <w14:schemeClr w14:val="tx1"/>
            </w14:solidFill>
          </w14:textFill>
        </w:rPr>
        <w:t xml:space="preserve">        </w:t>
      </w:r>
      <w:r>
        <w:rPr>
          <w:rFonts w:hint="eastAsia" w:ascii="黑体" w:hAnsi="宋体" w:eastAsia="黑体" w:cs="Arial"/>
          <w:b/>
          <w:color w:val="000000" w:themeColor="text1"/>
          <w:sz w:val="24"/>
          <w14:textFill>
            <w14:solidFill>
              <w14:schemeClr w14:val="tx1"/>
            </w14:solidFill>
          </w14:textFill>
        </w:rPr>
        <w:t xml:space="preserve">         表12：洪福社区小区情况（截止2015年3月）</w:t>
      </w:r>
    </w:p>
    <w:tbl>
      <w:tblPr>
        <w:tblStyle w:val="1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68"/>
        <w:gridCol w:w="2642"/>
        <w:gridCol w:w="2156"/>
        <w:gridCol w:w="2156"/>
      </w:tblGrid>
      <w:tr w14:paraId="561BBD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68" w:type="dxa"/>
          </w:tcPr>
          <w:p w14:paraId="004974D4">
            <w:pPr>
              <w:spacing w:line="0" w:lineRule="atLeast"/>
              <w:rPr>
                <w:rFonts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小区名称</w:t>
            </w:r>
          </w:p>
        </w:tc>
        <w:tc>
          <w:tcPr>
            <w:tcW w:w="2642" w:type="dxa"/>
          </w:tcPr>
          <w:p w14:paraId="59B0FAEE">
            <w:pPr>
              <w:spacing w:line="0" w:lineRule="atLeast"/>
              <w:rPr>
                <w:rFonts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开发主体</w:t>
            </w:r>
          </w:p>
        </w:tc>
        <w:tc>
          <w:tcPr>
            <w:tcW w:w="2156" w:type="dxa"/>
          </w:tcPr>
          <w:p w14:paraId="10174DAC">
            <w:pPr>
              <w:spacing w:line="0" w:lineRule="atLeast"/>
              <w:rPr>
                <w:rFonts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户数</w:t>
            </w:r>
          </w:p>
        </w:tc>
        <w:tc>
          <w:tcPr>
            <w:tcW w:w="2156" w:type="dxa"/>
          </w:tcPr>
          <w:p w14:paraId="2E6816B1">
            <w:pPr>
              <w:spacing w:line="0" w:lineRule="atLeast"/>
              <w:rPr>
                <w:rFonts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性质</w:t>
            </w:r>
          </w:p>
        </w:tc>
      </w:tr>
      <w:tr w14:paraId="42FDA9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68" w:type="dxa"/>
          </w:tcPr>
          <w:p w14:paraId="2885A50C">
            <w:pPr>
              <w:spacing w:line="0" w:lineRule="atLeast"/>
              <w:rPr>
                <w:rFonts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香树湾福园</w:t>
            </w:r>
          </w:p>
        </w:tc>
        <w:tc>
          <w:tcPr>
            <w:tcW w:w="2642" w:type="dxa"/>
          </w:tcPr>
          <w:p w14:paraId="616FA1BA">
            <w:pPr>
              <w:spacing w:line="0" w:lineRule="atLeast"/>
              <w:rPr>
                <w:rFonts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常州九洲投资集团</w:t>
            </w:r>
          </w:p>
        </w:tc>
        <w:tc>
          <w:tcPr>
            <w:tcW w:w="2156" w:type="dxa"/>
          </w:tcPr>
          <w:p w14:paraId="79470621">
            <w:pPr>
              <w:spacing w:line="0" w:lineRule="atLeast"/>
              <w:rPr>
                <w:rFonts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889</w:t>
            </w:r>
          </w:p>
        </w:tc>
        <w:tc>
          <w:tcPr>
            <w:tcW w:w="2156" w:type="dxa"/>
          </w:tcPr>
          <w:p w14:paraId="50AB4A74">
            <w:pPr>
              <w:spacing w:line="0" w:lineRule="atLeast"/>
              <w:rPr>
                <w:rFonts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纯商品房小区</w:t>
            </w:r>
          </w:p>
        </w:tc>
      </w:tr>
      <w:tr w14:paraId="4EB1C5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68" w:type="dxa"/>
          </w:tcPr>
          <w:p w14:paraId="1FE01F9E">
            <w:pPr>
              <w:spacing w:line="0" w:lineRule="atLeast"/>
              <w:rPr>
                <w:rFonts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世茂香槟湖</w:t>
            </w:r>
          </w:p>
        </w:tc>
        <w:tc>
          <w:tcPr>
            <w:tcW w:w="2642" w:type="dxa"/>
          </w:tcPr>
          <w:p w14:paraId="195F4401">
            <w:pPr>
              <w:spacing w:line="0" w:lineRule="atLeast"/>
              <w:rPr>
                <w:rFonts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世茂集团</w:t>
            </w:r>
          </w:p>
        </w:tc>
        <w:tc>
          <w:tcPr>
            <w:tcW w:w="2156" w:type="dxa"/>
          </w:tcPr>
          <w:p w14:paraId="758825F0">
            <w:pPr>
              <w:spacing w:line="0" w:lineRule="atLeast"/>
              <w:rPr>
                <w:rFonts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3767</w:t>
            </w:r>
          </w:p>
        </w:tc>
        <w:tc>
          <w:tcPr>
            <w:tcW w:w="2156" w:type="dxa"/>
          </w:tcPr>
          <w:p w14:paraId="5495AF06">
            <w:pPr>
              <w:spacing w:line="0" w:lineRule="atLeast"/>
              <w:rPr>
                <w:rFonts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纯商品房小区</w:t>
            </w:r>
          </w:p>
        </w:tc>
      </w:tr>
      <w:tr w14:paraId="2F7EAF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68" w:type="dxa"/>
          </w:tcPr>
          <w:p w14:paraId="721892EB">
            <w:pPr>
              <w:spacing w:line="0" w:lineRule="atLeast"/>
              <w:rPr>
                <w:rFonts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时代上院</w:t>
            </w:r>
          </w:p>
        </w:tc>
        <w:tc>
          <w:tcPr>
            <w:tcW w:w="2642" w:type="dxa"/>
          </w:tcPr>
          <w:p w14:paraId="588530C3">
            <w:pPr>
              <w:spacing w:line="0" w:lineRule="atLeast"/>
              <w:rPr>
                <w:rFonts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香港九龙仓集团</w:t>
            </w:r>
          </w:p>
        </w:tc>
        <w:tc>
          <w:tcPr>
            <w:tcW w:w="2156" w:type="dxa"/>
          </w:tcPr>
          <w:p w14:paraId="07E4E177">
            <w:pPr>
              <w:spacing w:line="0" w:lineRule="atLeast"/>
              <w:rPr>
                <w:rFonts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1970</w:t>
            </w:r>
          </w:p>
        </w:tc>
        <w:tc>
          <w:tcPr>
            <w:tcW w:w="2156" w:type="dxa"/>
          </w:tcPr>
          <w:p w14:paraId="3B7E2047">
            <w:pPr>
              <w:spacing w:line="0" w:lineRule="atLeast"/>
              <w:rPr>
                <w:rFonts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纯商品房小区</w:t>
            </w:r>
          </w:p>
        </w:tc>
      </w:tr>
      <w:tr w14:paraId="6B61BA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68" w:type="dxa"/>
          </w:tcPr>
          <w:p w14:paraId="1B5D9B2C">
            <w:pPr>
              <w:spacing w:line="0" w:lineRule="atLeast"/>
              <w:rPr>
                <w:rFonts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龙湖原山雅居</w:t>
            </w:r>
          </w:p>
        </w:tc>
        <w:tc>
          <w:tcPr>
            <w:tcW w:w="2642" w:type="dxa"/>
          </w:tcPr>
          <w:p w14:paraId="7BABC8AD">
            <w:pPr>
              <w:spacing w:line="0" w:lineRule="atLeast"/>
              <w:rPr>
                <w:rFonts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龙湖地产集团</w:t>
            </w:r>
          </w:p>
        </w:tc>
        <w:tc>
          <w:tcPr>
            <w:tcW w:w="2156" w:type="dxa"/>
          </w:tcPr>
          <w:p w14:paraId="5E94BCCF">
            <w:pPr>
              <w:spacing w:line="0" w:lineRule="atLeast"/>
              <w:rPr>
                <w:rFonts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1216</w:t>
            </w:r>
          </w:p>
        </w:tc>
        <w:tc>
          <w:tcPr>
            <w:tcW w:w="2156" w:type="dxa"/>
          </w:tcPr>
          <w:p w14:paraId="18D0AAD7">
            <w:pPr>
              <w:spacing w:line="0" w:lineRule="atLeast"/>
              <w:rPr>
                <w:rFonts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纯商品房小区</w:t>
            </w:r>
          </w:p>
        </w:tc>
      </w:tr>
    </w:tbl>
    <w:p w14:paraId="65EA60B8">
      <w:pPr>
        <w:ind w:firstLine="570"/>
        <w:rPr>
          <w:rFonts w:ascii="宋体" w:hAnsi="宋体" w:cs="Arial"/>
          <w:color w:val="000000" w:themeColor="text1"/>
          <w:sz w:val="28"/>
          <w14:textFill>
            <w14:solidFill>
              <w14:schemeClr w14:val="tx1"/>
            </w14:solidFill>
          </w14:textFill>
        </w:rPr>
      </w:pPr>
      <w:r>
        <w:rPr>
          <w:rFonts w:hint="eastAsia" w:ascii="宋体" w:hAnsi="宋体" w:cs="Arial"/>
          <w:color w:val="000000" w:themeColor="text1"/>
          <w:sz w:val="28"/>
          <w14:textFill>
            <w14:solidFill>
              <w14:schemeClr w14:val="tx1"/>
            </w14:solidFill>
          </w14:textFill>
        </w:rPr>
        <w:t>“十三五”期间如何提升发展创意产业区？一方面，对于商业项目，要精准定位，以商业项目可持续发展为目的，以业内标杆企业为发展目标，扩大影响力和市场占有率，创新项目吸引点，不断完善服务功能，提高服务档次；另一方面，人才作为创意产业核心发展要素，要以满足人的物质生活和精神生活需求为出发点，完善居住小区配套设施，包括社区教育设施、社区医疗设施、社区商业设施和出勤交通设施。</w:t>
      </w:r>
    </w:p>
    <w:p w14:paraId="5F7AC50D">
      <w:pPr>
        <w:ind w:firstLine="570"/>
        <w:rPr>
          <w:rFonts w:ascii="宋体" w:hAnsi="宋体" w:cs="Arial"/>
          <w:color w:val="000000" w:themeColor="text1"/>
          <w:sz w:val="28"/>
          <w14:textFill>
            <w14:solidFill>
              <w14:schemeClr w14:val="tx1"/>
            </w14:solidFill>
          </w14:textFill>
        </w:rPr>
      </w:pPr>
    </w:p>
    <w:p w14:paraId="7391A176">
      <w:pPr>
        <w:rPr>
          <w:rFonts w:ascii="黑体" w:hAnsi="宋体" w:eastAsia="黑体" w:cs="Arial"/>
          <w:b/>
          <w:color w:val="000000" w:themeColor="text1"/>
          <w:sz w:val="32"/>
          <w:szCs w:val="32"/>
          <w14:textFill>
            <w14:solidFill>
              <w14:schemeClr w14:val="tx1"/>
            </w14:solidFill>
          </w14:textFill>
        </w:rPr>
      </w:pPr>
      <w:r>
        <w:rPr>
          <w:rFonts w:hint="eastAsia" w:ascii="黑体" w:hAnsi="宋体" w:eastAsia="黑体" w:cs="Arial"/>
          <w:b/>
          <w:color w:val="000000" w:themeColor="text1"/>
          <w:sz w:val="32"/>
          <w:szCs w:val="32"/>
          <w14:textFill>
            <w14:solidFill>
              <w14:schemeClr w14:val="tx1"/>
            </w14:solidFill>
          </w14:textFill>
        </w:rPr>
        <w:t>（三）中心政务和中心商务区</w:t>
      </w:r>
    </w:p>
    <w:p w14:paraId="60DD7EDC">
      <w:pPr>
        <w:ind w:firstLine="570"/>
        <w:rPr>
          <w:rFonts w:ascii="宋体" w:hAnsi="宋体" w:cs="Arial"/>
          <w:color w:val="000000" w:themeColor="text1"/>
          <w:sz w:val="28"/>
          <w14:textFill>
            <w14:solidFill>
              <w14:schemeClr w14:val="tx1"/>
            </w14:solidFill>
          </w14:textFill>
        </w:rPr>
      </w:pPr>
      <w:r>
        <w:rPr>
          <w:rFonts w:hint="eastAsia" w:ascii="宋体" w:hAnsi="宋体" w:cs="Arial"/>
          <w:color w:val="000000" w:themeColor="text1"/>
          <w:sz w:val="28"/>
          <w14:textFill>
            <w14:solidFill>
              <w14:schemeClr w14:val="tx1"/>
            </w14:solidFill>
          </w14:textFill>
        </w:rPr>
        <w:t>中心政务和中心商务区包括了府成社区、府田社区、三井社区和藻江社区所辖范围。在功能分区上，中心政务和中心商务区，一是集中了常州市主要一级行政机构，成为了常州中心政务区；二是集中了常州奥林匹克中心、常州大剧院、常州市博物馆、常州市规划馆，成为了常州重大活动主要场所；三是集中了万达商业广场、常发商业广场、典雅商业广场等城市综合体和传媒大厦、锦湖大厦、府琛广场等商务楼宇；四是集中了三井街道乃至常州市新北区最优质的幼儿园、小学等教育资源；五是随着贯通常州南北且连接常州北站（京沪高速铁路常州站）、沪宁城际铁路常州站、常州客运中心的地铁1号线开通，位于三井街道的奥林匹克中心站（晋陵路—龙锦路道口）、市民广场站（晋陵路—龙城路道口）将成为常州中心城区重要换乘站，有利于常州市域级重要商圈形成。</w:t>
      </w:r>
    </w:p>
    <w:p w14:paraId="7645BACB">
      <w:pPr>
        <w:ind w:firstLine="570"/>
        <w:rPr>
          <w:rFonts w:ascii="宋体" w:hAnsi="宋体" w:cs="Arial"/>
          <w:color w:val="000000" w:themeColor="text1"/>
          <w:sz w:val="28"/>
          <w14:textFill>
            <w14:solidFill>
              <w14:schemeClr w14:val="tx1"/>
            </w14:solidFill>
          </w14:textFill>
        </w:rPr>
      </w:pPr>
      <w:r>
        <w:rPr>
          <w:rFonts w:hint="eastAsia" w:ascii="宋体" w:hAnsi="宋体" w:cs="Arial"/>
          <w:color w:val="000000" w:themeColor="text1"/>
          <w:sz w:val="28"/>
          <w14:textFill>
            <w14:solidFill>
              <w14:schemeClr w14:val="tx1"/>
            </w14:solidFill>
          </w14:textFill>
        </w:rPr>
        <w:t>中心政务区和中心商务区存在最大问题主要源自规划缺乏前瞻性，主要表现在四个方面：一是政府机关与文化体育中心布局在一起，使得体育赛事、演出活动进一步增加了政府机关附近的交通拥堵；二是政府机关与文化体育中心周边布局大型居住小区，居住小区居民出行交通与政府机关公务出行交通叠加，使得交通拥堵成为常态；三是政府机关与文化体育中心周边布局大型居住小区，不仅商业商务地产项目规划布局受限，而且存在住宅地产项目与商业商务地产项目功能上的冲突，“静”与“动”难于协调；四是居住小区“多而散、散而小、小而乱”，小区性质复杂、住户来源多样、物业管理困难。</w:t>
      </w:r>
    </w:p>
    <w:p w14:paraId="5F1F2263">
      <w:pPr>
        <w:ind w:firstLine="570"/>
        <w:rPr>
          <w:rFonts w:ascii="宋体" w:hAnsi="宋体" w:cs="Arial"/>
          <w:color w:val="000000" w:themeColor="text1"/>
          <w:sz w:val="28"/>
          <w14:textFill>
            <w14:solidFill>
              <w14:schemeClr w14:val="tx1"/>
            </w14:solidFill>
          </w14:textFill>
        </w:rPr>
      </w:pPr>
      <w:r>
        <w:rPr>
          <w:rFonts w:hint="eastAsia" w:ascii="宋体" w:hAnsi="宋体" w:cs="Arial"/>
          <w:color w:val="000000" w:themeColor="text1"/>
          <w:sz w:val="28"/>
          <w14:textFill>
            <w14:solidFill>
              <w14:schemeClr w14:val="tx1"/>
            </w14:solidFill>
          </w14:textFill>
        </w:rPr>
        <w:t>常州许多商业商务项目（城市综合体）通常作为住宅地产的配套项目，但事实上许多商业商务项目(城市综合体)定位则是区域性项目甚至广域性项目，并不是社区项目，这就势必产生一个问题：选址是按照住宅地产项目选址原则，但商业商务地产项目（城市综合体）是按照区域或广域项目定位，且定位雷同、规模求大，必然导致商业商务地产项目（城市综合体）重复投资和供过于求结果。这也就成为常州或者说整个中国，只有万达商业广场等少数商业地产项目能够获得成功，而其他商业商务地产项目鲜有成功原因所在。</w:t>
      </w:r>
    </w:p>
    <w:p w14:paraId="518A9F37">
      <w:pPr>
        <w:ind w:firstLine="570"/>
        <w:rPr>
          <w:rFonts w:hint="eastAsia" w:ascii="宋体" w:hAnsi="宋体" w:cs="Arial"/>
          <w:color w:val="000000"/>
          <w:sz w:val="28"/>
        </w:rPr>
      </w:pPr>
      <w:r>
        <w:rPr>
          <w:rFonts w:hint="eastAsia" w:ascii="宋体" w:hAnsi="宋体" w:cs="Arial"/>
          <w:color w:val="000000" w:themeColor="text1"/>
          <w:sz w:val="28"/>
          <w14:textFill>
            <w14:solidFill>
              <w14:schemeClr w14:val="tx1"/>
            </w14:solidFill>
          </w14:textFill>
        </w:rPr>
        <w:t>随着快速公交在通江路的开通，通江路沿线集中了常州市新北区主要商业商务项目；“十三五”期间随着地铁1号线的建成，常州中心城区南北向人流将逐渐向地铁1号线（晋陵路）汇聚。</w:t>
      </w:r>
      <w:r>
        <w:rPr>
          <w:rFonts w:hint="eastAsia" w:ascii="宋体" w:hAnsi="宋体" w:cs="Arial"/>
          <w:color w:val="000000"/>
          <w:sz w:val="28"/>
        </w:rPr>
        <w:t>街道地铁</w:t>
      </w:r>
      <w:r>
        <w:rPr>
          <w:rFonts w:ascii="宋体" w:hAnsi="宋体" w:cs="Arial"/>
          <w:color w:val="000000"/>
          <w:sz w:val="28"/>
        </w:rPr>
        <w:t>1</w:t>
      </w:r>
      <w:r>
        <w:rPr>
          <w:rFonts w:hint="eastAsia" w:ascii="宋体" w:hAnsi="宋体" w:cs="Arial"/>
          <w:color w:val="000000"/>
          <w:sz w:val="28"/>
        </w:rPr>
        <w:t>号线共有奥林匹克体育中心站（晋陵路</w:t>
      </w:r>
      <w:r>
        <w:rPr>
          <w:rFonts w:ascii="宋体" w:hAnsi="宋体" w:cs="Arial"/>
          <w:color w:val="000000"/>
          <w:sz w:val="28"/>
        </w:rPr>
        <w:t>—</w:t>
      </w:r>
      <w:r>
        <w:rPr>
          <w:rFonts w:hint="eastAsia" w:ascii="宋体" w:hAnsi="宋体" w:cs="Arial"/>
          <w:color w:val="000000"/>
          <w:sz w:val="28"/>
        </w:rPr>
        <w:t>龙锦路道口）、市民广场站（晋陵路</w:t>
      </w:r>
      <w:r>
        <w:rPr>
          <w:rFonts w:ascii="宋体" w:hAnsi="宋体" w:cs="Arial"/>
          <w:color w:val="000000"/>
          <w:sz w:val="28"/>
        </w:rPr>
        <w:t>—</w:t>
      </w:r>
      <w:r>
        <w:rPr>
          <w:rFonts w:hint="eastAsia" w:ascii="宋体" w:hAnsi="宋体" w:cs="Arial"/>
          <w:color w:val="000000"/>
          <w:sz w:val="28"/>
        </w:rPr>
        <w:t>锦绣路道口）两个站点，这将在街道形成两个具有市域影响力商圈。奥林匹克体育中心站（晋陵路</w:t>
      </w:r>
      <w:r>
        <w:rPr>
          <w:rFonts w:ascii="宋体" w:hAnsi="宋体" w:cs="Arial"/>
          <w:color w:val="000000"/>
          <w:sz w:val="28"/>
        </w:rPr>
        <w:t>—</w:t>
      </w:r>
      <w:r>
        <w:rPr>
          <w:rFonts w:hint="eastAsia" w:ascii="宋体" w:hAnsi="宋体" w:cs="Arial"/>
          <w:color w:val="000000"/>
          <w:sz w:val="28"/>
        </w:rPr>
        <w:t>龙锦路道口）主要辐射范围为行政中心、奥林匹克中心、大剧院等，集中了常州主要政务机构和大型活动场所，最具有形成大型商圈的有利条件；目前在地铁站东侧有华美达、奥体明都、晋苑、半岛等三星、四星级酒店和一些街面专业店、餐饮店，另外，离地铁站最近的还有常发商业广场和太湖路商业一条街，就总体而言，地铁站周边现有商业设施定位雷同、同质经营、内耗竞争，无法支撑整个常州市域商圈功能；从未来发展看，由于地铁站西侧为常发豪庭小区和新北区实验学校，无任何商业发展空间，东侧集中了一些商业用房，且原国际学校搬迁后距地铁站东北侧不远处还留下一片没有开发建设用地，未来不管已有还是规划发展的商业载体都需要找准定位，差别化发展，顺应城市功能提升。市民广场站（晋陵路</w:t>
      </w:r>
      <w:r>
        <w:rPr>
          <w:rFonts w:ascii="宋体" w:hAnsi="宋体" w:cs="Arial"/>
          <w:color w:val="000000"/>
          <w:sz w:val="28"/>
        </w:rPr>
        <w:t>—</w:t>
      </w:r>
      <w:r>
        <w:rPr>
          <w:rFonts w:hint="eastAsia" w:ascii="宋体" w:hAnsi="宋体" w:cs="Arial"/>
          <w:color w:val="000000"/>
          <w:sz w:val="28"/>
        </w:rPr>
        <w:t>锦绣路道口）最有利条件在于靠近龙城快速通道，另外，地铁站西侧为常州文化广场，有利于以地铁站为核心形成颇具常州市域乃至长三角广域范围的有影响力文化服务业商圈；目前在地铁站西南侧仅仅分布了一些经济型连锁酒店，如锦江之星、如家快捷等，以及比较低端办公写字楼，地铁东侧为中央花园小区临街商铺和加油站，缺乏商业发展空间，除非加油站搬迁才能腾出商业发展空间。</w:t>
      </w:r>
    </w:p>
    <w:p w14:paraId="63494D98">
      <w:pPr>
        <w:spacing w:line="360" w:lineRule="auto"/>
        <w:ind w:firstLine="560"/>
        <w:rPr>
          <w:rFonts w:ascii="宋体" w:hAnsi="宋体" w:cs="Arial"/>
          <w:color w:val="000000"/>
          <w:sz w:val="28"/>
        </w:rPr>
      </w:pPr>
      <w:r>
        <w:rPr>
          <w:rFonts w:hint="eastAsia" w:ascii="宋体" w:hAnsi="宋体" w:cs="Arial"/>
          <w:color w:val="000000"/>
          <w:sz w:val="28"/>
        </w:rPr>
        <w:t>“十三五”期间中心政务和中心商务区提升发展路径：一是提升发展服务业存量，优化商业业态，规范临街商铺管理，打造特色商业街区，包括太湖路商业商务一条街、龙锦路政务一条街；二是对现有商业项目，引导差异发展、精准定位，打造特色品牌；三是对增量项目，尤其晋陵路地铁站商业项目，一方面对现有发展载体要重新定位，差异化发展，另一方面对于增量发展载体要通过高起点规划，引进高起点项目，带动高起点发展，从而形成与万达商业广场互为呼应的市域乃至广域层面商圈。</w:t>
      </w:r>
    </w:p>
    <w:p w14:paraId="43ADEBDE">
      <w:pPr>
        <w:ind w:firstLine="570"/>
        <w:rPr>
          <w:rFonts w:ascii="宋体" w:hAnsi="宋体" w:cs="Arial"/>
          <w:color w:val="000000" w:themeColor="text1"/>
          <w:sz w:val="28"/>
          <w14:textFill>
            <w14:solidFill>
              <w14:schemeClr w14:val="tx1"/>
            </w14:solidFill>
          </w14:textFill>
        </w:rPr>
      </w:pPr>
    </w:p>
    <w:p w14:paraId="3E0C04B0">
      <w:pPr>
        <w:spacing w:line="360" w:lineRule="auto"/>
        <w:rPr>
          <w:rFonts w:ascii="黑体" w:hAnsi="宋体" w:eastAsia="黑体" w:cs="Arial"/>
          <w:b/>
          <w:color w:val="000000" w:themeColor="text1"/>
          <w:sz w:val="28"/>
          <w:szCs w:val="28"/>
          <w14:textFill>
            <w14:solidFill>
              <w14:schemeClr w14:val="tx1"/>
            </w14:solidFill>
          </w14:textFill>
        </w:rPr>
      </w:pPr>
      <w:r>
        <w:rPr>
          <w:rFonts w:hint="eastAsia" w:ascii="黑体" w:hAnsi="宋体" w:eastAsia="黑体" w:cs="Arial"/>
          <w:b/>
          <w:color w:val="000000" w:themeColor="text1"/>
          <w:sz w:val="28"/>
          <w:szCs w:val="28"/>
          <w14:textFill>
            <w14:solidFill>
              <w14:schemeClr w14:val="tx1"/>
            </w14:solidFill>
          </w14:textFill>
        </w:rPr>
        <w:t>附一：城市综合体</w:t>
      </w:r>
    </w:p>
    <w:p w14:paraId="0602A9CE">
      <w:pPr>
        <w:spacing w:line="360" w:lineRule="auto"/>
        <w:ind w:firstLine="470" w:firstLineChars="196"/>
        <w:rPr>
          <w:rFonts w:ascii="楷体_GB2312" w:hAnsi="宋体" w:eastAsia="楷体_GB2312" w:cs="Arial"/>
          <w:color w:val="000000" w:themeColor="text1"/>
          <w:sz w:val="24"/>
          <w14:textFill>
            <w14:solidFill>
              <w14:schemeClr w14:val="tx1"/>
            </w14:solidFill>
          </w14:textFill>
        </w:rPr>
      </w:pPr>
      <w:r>
        <w:rPr>
          <w:rFonts w:hint="eastAsia" w:ascii="楷体_GB2312" w:hAnsi="宋体" w:eastAsia="楷体_GB2312" w:cs="Arial"/>
          <w:color w:val="000000" w:themeColor="text1"/>
          <w:sz w:val="24"/>
          <w14:textFill>
            <w14:solidFill>
              <w14:schemeClr w14:val="tx1"/>
            </w14:solidFill>
          </w14:textFill>
        </w:rPr>
        <w:t>面对土地资源短缺和土地资源浪费双重挑战，为了改变生活与生产分离、生活与消费分离的被动城市格局，城市综合体越来越成为城市发展过程中必选项目。20世纪初美国纽约洛克菲勒中心开启了城市综合体时代。城市综合体最大优势或特点就是整合各种资源：1.整合土地资源。针对商业、酒店、办公、居住、交通等对土地和空间资源需求不同，借助用地性质复合化和增加开发容积率等土地政策，城市综合体的开发使一地多用、分层叠加变成现实，土地资源的综合利用可使需要水平发展的设施与适合垂直发展功能相互结合达成互补，并使更多的城市空间得以保留并回馈社会，如用作绿化等。2.整合功能资源。从提高设施效能看，不同的功能设施有其特有的高峰使用时段，办公功能在白天与夜晚、周日与周末有明显差别，居住功能则有与办公相反的时段差别，零售、餐饮、娱乐则在傍晚和周末出现使用高峰，城市综合体通过功能资源有机整合，充分利用各功能部分不同的高峰时段，均衡整体使用节奏，使其成为7/24生机永成的活力社区；从消费者角度看，整合功能资源还为社区内外的用户提供完善的一站式服务需求，增加单次出行效益，减少出行次数，缓解城市交通压力；从提升物业价值看，整合功能资源还加强了各功能互动效益，办公因住宅和商业支撑提升租金，住宅因有办公和商业而提高单位售价，商业因有办公和居住消费资源而更具吸引力。3.整合消费资源。所有功能设施的终端用户及其服务对象都是城市综合体的利润来源，合理配置办公、居住和酒店等主体功能设施，可以充分拥有最理想消费资源；合理配置超市、餐饮、娱乐、健身等日常所需配套服务，可充分拉动零售类随机消费的巨大潜能。4.整合体系资源。功能高度集约化为共享设施体系创造巨大潜在空间，各功能组成可通过适当管理手段共用停车及其附属进出口，功能之间不同使用高峰时段的互补还极大提高了停车使用效率；大量建筑配套体系也因功能集约而在不同程度上得到共享同时衍生出可再生能源回收利用的潜在效益，合理设置货场可充分综合城市综合体的物流体系达到最优，公共垂直交通体系和后勤服务垂直交通体系通过科学规划和设计可在不同程度上得以分享。5.整合管理资源。运营管理是城市综合体成功的关键，高度集约促使原为分散的管理团队充分集中合并，避免不必要的叠加，高度提升运营效益；复合功能的运营管理体系可在不同功能组合范围内充分调节相互间的利益关系，统筹整体效益，极大限度地减少功能间的负面影响，积极加强互动效益。</w:t>
      </w:r>
    </w:p>
    <w:p w14:paraId="6F708F40">
      <w:pPr>
        <w:spacing w:line="360" w:lineRule="auto"/>
        <w:ind w:firstLine="470" w:firstLineChars="196"/>
        <w:rPr>
          <w:rFonts w:ascii="楷体_GB2312" w:hAnsi="宋体" w:eastAsia="楷体_GB2312" w:cs="Arial"/>
          <w:color w:val="000000" w:themeColor="text1"/>
          <w:sz w:val="24"/>
          <w14:textFill>
            <w14:solidFill>
              <w14:schemeClr w14:val="tx1"/>
            </w14:solidFill>
          </w14:textFill>
        </w:rPr>
      </w:pPr>
      <w:r>
        <w:rPr>
          <w:rFonts w:hint="eastAsia" w:ascii="楷体_GB2312" w:hAnsi="宋体" w:eastAsia="楷体_GB2312" w:cs="Arial"/>
          <w:color w:val="000000" w:themeColor="text1"/>
          <w:sz w:val="24"/>
          <w14:textFill>
            <w14:solidFill>
              <w14:schemeClr w14:val="tx1"/>
            </w14:solidFill>
          </w14:textFill>
        </w:rPr>
        <w:t>城市综合体（HOPSCA</w:t>
      </w:r>
      <w:r>
        <w:rPr>
          <w:rFonts w:ascii="楷体_GB2312" w:hAnsi="宋体" w:eastAsia="楷体_GB2312" w:cs="Arial"/>
          <w:color w:val="000000" w:themeColor="text1"/>
          <w:sz w:val="24"/>
          <w14:textFill>
            <w14:solidFill>
              <w14:schemeClr w14:val="tx1"/>
            </w14:solidFill>
          </w14:textFill>
        </w:rPr>
        <w:t>）</w:t>
      </w:r>
      <w:r>
        <w:rPr>
          <w:rFonts w:hint="eastAsia" w:ascii="楷体_GB2312" w:hAnsi="宋体" w:eastAsia="楷体_GB2312" w:cs="Arial"/>
          <w:color w:val="000000" w:themeColor="text1"/>
          <w:sz w:val="24"/>
          <w14:textFill>
            <w14:solidFill>
              <w14:schemeClr w14:val="tx1"/>
            </w14:solidFill>
          </w14:textFill>
        </w:rPr>
        <w:t>通常包括了H（Hotel酒店</w:t>
      </w:r>
      <w:r>
        <w:rPr>
          <w:rFonts w:ascii="楷体_GB2312" w:hAnsi="宋体" w:eastAsia="楷体_GB2312" w:cs="Arial"/>
          <w:color w:val="000000" w:themeColor="text1"/>
          <w:sz w:val="24"/>
          <w14:textFill>
            <w14:solidFill>
              <w14:schemeClr w14:val="tx1"/>
            </w14:solidFill>
          </w14:textFill>
        </w:rPr>
        <w:t>）</w:t>
      </w:r>
      <w:r>
        <w:rPr>
          <w:rFonts w:hint="eastAsia" w:ascii="楷体_GB2312" w:hAnsi="宋体" w:eastAsia="楷体_GB2312" w:cs="Arial"/>
          <w:color w:val="000000" w:themeColor="text1"/>
          <w:sz w:val="24"/>
          <w14:textFill>
            <w14:solidFill>
              <w14:schemeClr w14:val="tx1"/>
            </w14:solidFill>
          </w14:textFill>
        </w:rPr>
        <w:t>、O(Office-Building写字楼)、P(Park公园)、S(Shopping mall购物中心)、C(Convention会议中心)、A(Apartment公寓)六大要素。在区位要求上，城市综合体通常位于：1.交通枢纽地区，2.在城市CBD（Central Business District中央商务区)商业活动地，3.在开发区域或新的城市中心，4.大型新型交通设施地区，5.城市商业街区和商业集群地区，6.休闲设施、会展设施与大型商业集会设施地区，7.旅游风景区。</w:t>
      </w:r>
    </w:p>
    <w:p w14:paraId="03DAC77D">
      <w:pPr>
        <w:spacing w:line="360" w:lineRule="auto"/>
        <w:ind w:firstLine="480"/>
        <w:rPr>
          <w:rFonts w:ascii="楷体_GB2312" w:hAnsi="宋体" w:eastAsia="楷体_GB2312" w:cs="Arial"/>
          <w:color w:val="000000" w:themeColor="text1"/>
          <w:sz w:val="24"/>
          <w14:textFill>
            <w14:solidFill>
              <w14:schemeClr w14:val="tx1"/>
            </w14:solidFill>
          </w14:textFill>
        </w:rPr>
      </w:pPr>
      <w:r>
        <w:rPr>
          <w:rFonts w:hint="eastAsia" w:ascii="楷体_GB2312" w:hAnsi="宋体" w:eastAsia="楷体_GB2312" w:cs="Arial"/>
          <w:color w:val="000000" w:themeColor="text1"/>
          <w:sz w:val="24"/>
          <w14:textFill>
            <w14:solidFill>
              <w14:schemeClr w14:val="tx1"/>
            </w14:solidFill>
          </w14:textFill>
        </w:rPr>
        <w:t>2014年美国国内地区生产总值（GDP）增长率为2.4%，达到了17万亿美元，其中以城市综合体为主的第三产业增加值比重高达64.4%、就业比重达到了81.2%。美国城市综合体地产及其产业超过了农业、文化产业、采矿业。2014年美国城市综合体三种主要类型经营情况：社区型城市综合体零售额为8035亿美元，都市型城市综合体零售额为6345亿美元，区域城市综合体零售额为4832亿美元。可见，美国城市综合体以满足本地需求的社区型城市综合体为主，其次是以整个城市需求为定位的都市型城市综合体，再次是以大区域需求为定位的区域型城市综合体。</w:t>
      </w:r>
    </w:p>
    <w:p w14:paraId="57C30D47">
      <w:pPr>
        <w:spacing w:line="360" w:lineRule="auto"/>
        <w:rPr>
          <w:rFonts w:ascii="楷体_GB2312" w:hAnsi="宋体" w:eastAsia="楷体_GB2312" w:cs="Arial"/>
          <w:color w:val="000000" w:themeColor="text1"/>
          <w:sz w:val="24"/>
          <w14:textFill>
            <w14:solidFill>
              <w14:schemeClr w14:val="tx1"/>
            </w14:solidFill>
          </w14:textFill>
        </w:rPr>
      </w:pPr>
    </w:p>
    <w:p w14:paraId="67E03C3E">
      <w:pPr>
        <w:spacing w:line="360" w:lineRule="auto"/>
        <w:rPr>
          <w:rFonts w:ascii="黑体" w:hAnsi="宋体" w:eastAsia="黑体" w:cs="Arial"/>
          <w:b/>
          <w:color w:val="000000" w:themeColor="text1"/>
          <w:sz w:val="28"/>
          <w:szCs w:val="28"/>
          <w14:textFill>
            <w14:solidFill>
              <w14:schemeClr w14:val="tx1"/>
            </w14:solidFill>
          </w14:textFill>
        </w:rPr>
      </w:pPr>
      <w:r>
        <w:rPr>
          <w:rFonts w:hint="eastAsia" w:ascii="黑体" w:hAnsi="宋体" w:eastAsia="黑体" w:cs="Arial"/>
          <w:b/>
          <w:color w:val="000000" w:themeColor="text1"/>
          <w:sz w:val="28"/>
          <w:szCs w:val="28"/>
          <w14:textFill>
            <w14:solidFill>
              <w14:schemeClr w14:val="tx1"/>
            </w14:solidFill>
          </w14:textFill>
        </w:rPr>
        <w:t>附二：楼宇经济</w:t>
      </w:r>
    </w:p>
    <w:p w14:paraId="1883E4FC">
      <w:pPr>
        <w:spacing w:line="360" w:lineRule="auto"/>
        <w:ind w:firstLine="480"/>
        <w:rPr>
          <w:rFonts w:ascii="楷体_GB2312" w:hAnsi="宋体" w:eastAsia="楷体_GB2312"/>
          <w:color w:val="000000" w:themeColor="text1"/>
          <w:sz w:val="24"/>
          <w14:textFill>
            <w14:solidFill>
              <w14:schemeClr w14:val="tx1"/>
            </w14:solidFill>
          </w14:textFill>
        </w:rPr>
      </w:pPr>
      <w:r>
        <w:rPr>
          <w:rFonts w:hint="eastAsia" w:ascii="楷体_GB2312" w:hAnsi="宋体" w:eastAsia="楷体_GB2312"/>
          <w:color w:val="000000" w:themeColor="text1"/>
          <w:sz w:val="24"/>
          <w14:textFill>
            <w14:solidFill>
              <w14:schemeClr w14:val="tx1"/>
            </w14:solidFill>
          </w14:textFill>
        </w:rPr>
        <w:t>建筑学上把高度24m-100m的楼宇统称为高层建筑，高度100m以上楼宇则统称为超高层建筑。一般超高层建筑不宜人居住，因此，高度100m以上超高层建筑多为商务楼。</w:t>
      </w:r>
    </w:p>
    <w:p w14:paraId="502EDBDC">
      <w:pPr>
        <w:spacing w:line="360" w:lineRule="auto"/>
        <w:ind w:firstLine="480"/>
        <w:rPr>
          <w:rFonts w:ascii="楷体_GB2312" w:hAnsi="宋体" w:eastAsia="楷体_GB2312"/>
          <w:color w:val="000000" w:themeColor="text1"/>
          <w:sz w:val="24"/>
          <w14:textFill>
            <w14:solidFill>
              <w14:schemeClr w14:val="tx1"/>
            </w14:solidFill>
          </w14:textFill>
        </w:rPr>
      </w:pPr>
      <w:r>
        <w:rPr>
          <w:rFonts w:hint="eastAsia" w:ascii="楷体_GB2312" w:hAnsi="宋体" w:eastAsia="楷体_GB2312"/>
          <w:color w:val="000000" w:themeColor="text1"/>
          <w:sz w:val="24"/>
          <w14:textFill>
            <w14:solidFill>
              <w14:schemeClr w14:val="tx1"/>
            </w14:solidFill>
          </w14:textFill>
        </w:rPr>
        <w:t>超高层建筑通常是衡量一个地区现代化程度、经济实力、城市形象、科技建筑水平的第一标识，同时也是考量楼宇经济规模的风向标。商务楼适宜发展业态：①企业总部；②金融、保险、律师等高端服务业，集中了高级设计师、理财师、会计师、税务师、律师等；③创意产业，如软件开发、新闻出版、影视传媒、动漫网游等。</w:t>
      </w:r>
    </w:p>
    <w:p w14:paraId="6D190406">
      <w:pPr>
        <w:spacing w:line="360" w:lineRule="auto"/>
        <w:ind w:firstLine="480"/>
        <w:rPr>
          <w:rFonts w:ascii="楷体_GB2312" w:hAnsi="宋体" w:eastAsia="楷体_GB2312"/>
          <w:color w:val="000000" w:themeColor="text1"/>
          <w:sz w:val="24"/>
          <w14:textFill>
            <w14:solidFill>
              <w14:schemeClr w14:val="tx1"/>
            </w14:solidFill>
          </w14:textFill>
        </w:rPr>
      </w:pPr>
      <w:r>
        <w:rPr>
          <w:rFonts w:hint="eastAsia" w:ascii="楷体_GB2312" w:hAnsi="宋体" w:eastAsia="楷体_GB2312"/>
          <w:color w:val="000000" w:themeColor="text1"/>
          <w:sz w:val="24"/>
          <w14:textFill>
            <w14:solidFill>
              <w14:schemeClr w14:val="tx1"/>
            </w14:solidFill>
          </w14:textFill>
        </w:rPr>
        <w:t>现代服务业是楼宇经济主要支撑。按照国际经济发展经验，当人均GDP达到6000美元时，工业不再是区域经济发展的绝对主导，区域产业结构将是工业与服务业并驾齐驱或服务业为主。</w:t>
      </w:r>
    </w:p>
    <w:p w14:paraId="7CAC0B7F">
      <w:pPr>
        <w:spacing w:line="360" w:lineRule="auto"/>
        <w:ind w:firstLine="480"/>
        <w:rPr>
          <w:rFonts w:ascii="楷体_GB2312" w:hAnsi="宋体" w:eastAsia="楷体_GB2312"/>
          <w:color w:val="000000" w:themeColor="text1"/>
          <w:sz w:val="24"/>
          <w14:textFill>
            <w14:solidFill>
              <w14:schemeClr w14:val="tx1"/>
            </w14:solidFill>
          </w14:textFill>
        </w:rPr>
      </w:pPr>
    </w:p>
    <w:p w14:paraId="131E89DC">
      <w:pPr>
        <w:spacing w:line="360" w:lineRule="auto"/>
        <w:rPr>
          <w:rFonts w:ascii="宋体" w:hAnsi="宋体"/>
          <w:b/>
          <w:color w:val="000000" w:themeColor="text1"/>
          <w:sz w:val="32"/>
          <w:szCs w:val="32"/>
          <w14:textFill>
            <w14:solidFill>
              <w14:schemeClr w14:val="tx1"/>
            </w14:solidFill>
          </w14:textFill>
        </w:rPr>
      </w:pPr>
      <w:r>
        <w:rPr>
          <w:rFonts w:hint="eastAsia" w:ascii="宋体" w:hAnsi="宋体"/>
          <w:b/>
          <w:color w:val="000000" w:themeColor="text1"/>
          <w:sz w:val="32"/>
          <w:szCs w:val="32"/>
          <w14:textFill>
            <w14:solidFill>
              <w14:schemeClr w14:val="tx1"/>
            </w14:solidFill>
          </w14:textFill>
        </w:rPr>
        <w:t>（四）</w:t>
      </w:r>
      <w:r>
        <w:rPr>
          <w:rFonts w:hint="eastAsia" w:ascii="黑体" w:hAnsi="宋体" w:eastAsia="黑体"/>
          <w:b/>
          <w:color w:val="000000" w:themeColor="text1"/>
          <w:sz w:val="32"/>
          <w:szCs w:val="32"/>
          <w14:textFill>
            <w14:solidFill>
              <w14:schemeClr w14:val="tx1"/>
            </w14:solidFill>
          </w14:textFill>
        </w:rPr>
        <w:t>创新创业和先进制造业区</w:t>
      </w:r>
    </w:p>
    <w:p w14:paraId="71B4A176">
      <w:pPr>
        <w:widowControl/>
        <w:ind w:firstLine="700" w:firstLineChars="25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井街道创新创业区和先进制造业区地处藻江河——龙城路——龙江路——黄河路包围区域，为相对独立的工业区。目前，三井街道收储了一些停业厂区和厂房，规划建设了一些新型功能区，包括占地157亩的三晶信息技术孵化器、占地45亩的海博生物医疗器械科技园、占地47亩的常州广告产业园三井基地、占地100亩的物流园、电子商务园等，既优化了产业结构，又增强了三井街道“造血”功能。</w:t>
      </w:r>
    </w:p>
    <w:p w14:paraId="17A3BA58">
      <w:pPr>
        <w:widowControl/>
        <w:ind w:firstLine="560" w:firstLineChars="20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目前，三井街道创新创业和先进制造业区存在主要问题表现在四个方面：一是原有工业行业门类多，涉及了19个行业，许多行业性质与三井街道功能定位不符，存在功能上冲突；二是多数工业企业以生产制造为主，对周边环境干扰大，且许多城区路段已不适宜大型货车通行；三是一些规划建设新型功能区缺乏前瞻性，如物流园定位于服务于本地企业的工业物流还是服务于城区消费品物流不够清晰，且由于物流园与常州对外交通连接存在“梗阻”路段，物流园及其物流业依然属于过程产业，而不是三井街道最终发展产业；四是创新创业链不完整，链条两端环节薄弱，不仅创新创业源头薄弱，而且科技成果产业化缺乏专业工业园区落地。</w:t>
      </w:r>
    </w:p>
    <w:p w14:paraId="55DDBA65">
      <w:pPr>
        <w:spacing w:line="360" w:lineRule="auto"/>
        <w:ind w:firstLine="420" w:firstLineChars="150"/>
        <w:rPr>
          <w:rFonts w:asciiTheme="minorEastAsia" w:hAnsiTheme="minorEastAsia" w:eastAsiaTheme="minorEastAsia"/>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“十三五”后期</w:t>
      </w:r>
      <w:r>
        <w:rPr>
          <w:rFonts w:hint="eastAsia" w:ascii="宋体" w:hAnsi="宋体" w:cs="Arial"/>
          <w:color w:val="000000" w:themeColor="text1"/>
          <w:sz w:val="28"/>
          <w14:textFill>
            <w14:solidFill>
              <w14:schemeClr w14:val="tx1"/>
            </w14:solidFill>
          </w14:textFill>
        </w:rPr>
        <w:t>贯通常州南北、连接常州北站（京沪高速铁路常州站）与武进高新区的</w:t>
      </w:r>
      <w:r>
        <w:rPr>
          <w:rFonts w:hint="eastAsia" w:ascii="宋体" w:hAnsi="宋体"/>
          <w:color w:val="000000" w:themeColor="text1"/>
          <w:sz w:val="28"/>
          <w:szCs w:val="28"/>
          <w14:textFill>
            <w14:solidFill>
              <w14:schemeClr w14:val="tx1"/>
            </w14:solidFill>
          </w14:textFill>
        </w:rPr>
        <w:t>地铁3号线将谋划开工建设，位于长江路和太湖路交汇的前桥站设立，将有利于规划建设以地铁前桥站为核心的高端产业服务区，从而实现其与三井工业园区、三晶信息技术孵化器、常州广告产业园三井基地等产城高度融合发展格局。前桥产业服务社区以服务产业园区创业者、就业者为目的，建有各种类型公寓住宅，包括居家式公寓、套间式公寓和连廊式公寓，配套商业服务设施有食堂、超市、小餐厅、咖啡吧、面包房、饭店、连锁商务酒店、网吧、银行、美容美发店、连锁移动通讯店、水果超市、休闲服装店、干洗店、健身房、游泳池、电信局分理处、邮政所、派出所等。</w:t>
      </w:r>
    </w:p>
    <w:p w14:paraId="6F5CF7AD">
      <w:pPr>
        <w:widowControl/>
        <w:spacing w:line="360" w:lineRule="auto"/>
        <w:ind w:firstLine="560"/>
        <w:jc w:val="left"/>
        <w:rPr>
          <w:rFonts w:ascii="宋体" w:hAnsi="宋体"/>
          <w:color w:val="000000"/>
          <w:sz w:val="28"/>
          <w:szCs w:val="28"/>
        </w:rPr>
      </w:pPr>
      <w:r>
        <w:rPr>
          <w:rFonts w:hint="eastAsia" w:ascii="宋体" w:hAnsi="宋体"/>
          <w:color w:val="000000"/>
          <w:sz w:val="28"/>
          <w:szCs w:val="28"/>
        </w:rPr>
        <w:t>“十三五”期间创新创业和先进制造业区发展路径：一是优选产业门类，引导优势行业尤其新一代信息技术产业、医疗器械产业、机电一体化等加快发展；二是推进企业转型升级，由生产制造向服务制造发展；三是强化创新创业源头建设，加强创新创业源头外部合作，创建江苏产业技术研究院专业研究所，并以合作共赢为目的，通过创新合作体制机制，与外部专业工业园区建立合作平台，完善“苗圃</w:t>
      </w:r>
      <w:r>
        <w:rPr>
          <w:rFonts w:ascii="宋体" w:hAnsi="宋体"/>
          <w:color w:val="000000"/>
          <w:sz w:val="28"/>
          <w:szCs w:val="28"/>
        </w:rPr>
        <w:t>—</w:t>
      </w:r>
      <w:r>
        <w:rPr>
          <w:rFonts w:hint="eastAsia" w:ascii="宋体" w:hAnsi="宋体"/>
          <w:color w:val="000000"/>
          <w:sz w:val="28"/>
          <w:szCs w:val="28"/>
        </w:rPr>
        <w:t>孵化器</w:t>
      </w:r>
      <w:r>
        <w:rPr>
          <w:rFonts w:ascii="宋体" w:hAnsi="宋体"/>
          <w:color w:val="000000"/>
          <w:sz w:val="28"/>
          <w:szCs w:val="28"/>
        </w:rPr>
        <w:t>—</w:t>
      </w:r>
      <w:r>
        <w:rPr>
          <w:rFonts w:hint="eastAsia" w:ascii="宋体" w:hAnsi="宋体"/>
          <w:color w:val="000000"/>
          <w:sz w:val="28"/>
          <w:szCs w:val="28"/>
        </w:rPr>
        <w:t>加速器</w:t>
      </w:r>
      <w:r>
        <w:rPr>
          <w:rFonts w:ascii="宋体" w:hAnsi="宋体"/>
          <w:color w:val="000000"/>
          <w:sz w:val="28"/>
          <w:szCs w:val="28"/>
        </w:rPr>
        <w:t>—</w:t>
      </w:r>
      <w:r>
        <w:rPr>
          <w:rFonts w:hint="eastAsia" w:ascii="宋体" w:hAnsi="宋体"/>
          <w:color w:val="000000"/>
          <w:sz w:val="28"/>
          <w:szCs w:val="28"/>
        </w:rPr>
        <w:t>产业园”创新创业链；四是营造创新创业氛围，利用互联网</w:t>
      </w:r>
      <w:r>
        <w:rPr>
          <w:rFonts w:ascii="宋体" w:hAnsi="宋体"/>
          <w:color w:val="000000"/>
          <w:sz w:val="28"/>
          <w:szCs w:val="28"/>
        </w:rPr>
        <w:t>+</w:t>
      </w:r>
      <w:r>
        <w:rPr>
          <w:rFonts w:hint="eastAsia" w:ascii="宋体" w:hAnsi="宋体"/>
          <w:color w:val="000000"/>
          <w:sz w:val="28"/>
          <w:szCs w:val="28"/>
        </w:rPr>
        <w:t>、云计算、大数据技术等，搭建各种众创空间和众创平台；五是以地铁</w:t>
      </w:r>
      <w:r>
        <w:rPr>
          <w:rFonts w:ascii="宋体" w:hAnsi="宋体"/>
          <w:color w:val="000000"/>
          <w:sz w:val="28"/>
          <w:szCs w:val="28"/>
        </w:rPr>
        <w:t>3</w:t>
      </w:r>
      <w:r>
        <w:rPr>
          <w:rFonts w:hint="eastAsia" w:ascii="宋体" w:hAnsi="宋体"/>
          <w:color w:val="000000"/>
          <w:sz w:val="28"/>
          <w:szCs w:val="28"/>
        </w:rPr>
        <w:t>号线开工和前桥站建设为契机，建设高端产业服务社区，谋求产城高度融合发展。</w:t>
      </w:r>
    </w:p>
    <w:p w14:paraId="410E304F">
      <w:pPr>
        <w:widowControl/>
        <w:ind w:firstLine="560" w:firstLineChars="200"/>
        <w:jc w:val="left"/>
        <w:rPr>
          <w:rFonts w:ascii="宋体" w:hAnsi="宋体"/>
          <w:color w:val="000000" w:themeColor="text1"/>
          <w:sz w:val="28"/>
          <w:szCs w:val="28"/>
          <w14:textFill>
            <w14:solidFill>
              <w14:schemeClr w14:val="tx1"/>
            </w14:solidFill>
          </w14:textFill>
        </w:rPr>
      </w:pPr>
      <w:r>
        <w:rPr>
          <w:rFonts w:hint="eastAsia" w:asciiTheme="minorEastAsia" w:hAnsiTheme="minorEastAsia" w:eastAsiaTheme="minorEastAsia"/>
          <w:color w:val="000000" w:themeColor="text1"/>
          <w:sz w:val="28"/>
          <w:szCs w:val="28"/>
          <w14:textFill>
            <w14:solidFill>
              <w14:schemeClr w14:val="tx1"/>
            </w14:solidFill>
          </w14:textFill>
        </w:rPr>
        <w:t xml:space="preserve"> </w:t>
      </w:r>
    </w:p>
    <w:p w14:paraId="1A6D18B0">
      <w:pPr>
        <w:spacing w:line="360" w:lineRule="auto"/>
        <w:rPr>
          <w:rFonts w:ascii="宋体" w:hAnsi="宋体"/>
          <w:b/>
          <w:color w:val="000000" w:themeColor="text1"/>
          <w:sz w:val="32"/>
          <w:szCs w:val="32"/>
          <w14:textFill>
            <w14:solidFill>
              <w14:schemeClr w14:val="tx1"/>
            </w14:solidFill>
          </w14:textFill>
        </w:rPr>
      </w:pPr>
    </w:p>
    <w:p w14:paraId="2D05D1D0">
      <w:pPr>
        <w:spacing w:line="360" w:lineRule="auto"/>
        <w:rPr>
          <w:rFonts w:ascii="宋体" w:hAnsi="宋体"/>
          <w:b/>
          <w:color w:val="000000" w:themeColor="text1"/>
          <w:sz w:val="32"/>
          <w:szCs w:val="32"/>
          <w14:textFill>
            <w14:solidFill>
              <w14:schemeClr w14:val="tx1"/>
            </w14:solidFill>
          </w14:textFill>
        </w:rPr>
      </w:pPr>
      <w:r>
        <w:rPr>
          <w:rFonts w:hint="eastAsia" w:ascii="宋体" w:hAnsi="宋体"/>
          <w:b/>
          <w:color w:val="000000" w:themeColor="text1"/>
          <w:sz w:val="32"/>
          <w:szCs w:val="32"/>
          <w14:textFill>
            <w14:solidFill>
              <w14:schemeClr w14:val="tx1"/>
            </w14:solidFill>
          </w14:textFill>
        </w:rPr>
        <w:t>（五）大型城区居住区</w:t>
      </w:r>
    </w:p>
    <w:p w14:paraId="3A5DDD36">
      <w:pPr>
        <w:spacing w:line="360" w:lineRule="auto"/>
        <w:ind w:firstLine="560"/>
        <w:rPr>
          <w:rFonts w:ascii="宋体" w:hAnsi="宋体"/>
          <w:bCs/>
          <w:color w:val="000000"/>
          <w:sz w:val="28"/>
          <w:szCs w:val="28"/>
        </w:rPr>
      </w:pPr>
      <w:r>
        <w:rPr>
          <w:rFonts w:hint="eastAsia" w:ascii="宋体" w:hAnsi="宋体" w:cs="Arial"/>
          <w:color w:val="000000"/>
          <w:sz w:val="28"/>
        </w:rPr>
        <w:t>街道</w:t>
      </w:r>
      <w:r>
        <w:rPr>
          <w:rFonts w:hint="eastAsia" w:ascii="宋体" w:hAnsi="宋体"/>
          <w:color w:val="000000"/>
          <w:sz w:val="28"/>
          <w:szCs w:val="28"/>
        </w:rPr>
        <w:t>大型城区居住区</w:t>
      </w:r>
      <w:r>
        <w:rPr>
          <w:rFonts w:hint="eastAsia" w:ascii="宋体" w:hAnsi="宋体" w:cs="Arial"/>
          <w:color w:val="000000"/>
          <w:sz w:val="28"/>
        </w:rPr>
        <w:t>土地隶属于飞龙社区，</w:t>
      </w:r>
      <w:r>
        <w:rPr>
          <w:rFonts w:hint="eastAsia" w:ascii="宋体" w:hAnsi="宋体"/>
          <w:color w:val="000000"/>
          <w:sz w:val="28"/>
          <w:szCs w:val="28"/>
        </w:rPr>
        <w:t>地处新藻江河</w:t>
      </w:r>
      <w:r>
        <w:rPr>
          <w:rFonts w:ascii="宋体" w:hAnsi="宋体"/>
          <w:color w:val="000000"/>
          <w:sz w:val="28"/>
          <w:szCs w:val="28"/>
        </w:rPr>
        <w:t>——</w:t>
      </w:r>
      <w:r>
        <w:rPr>
          <w:rFonts w:hint="eastAsia" w:ascii="宋体" w:hAnsi="宋体"/>
          <w:color w:val="000000"/>
          <w:sz w:val="28"/>
          <w:szCs w:val="28"/>
        </w:rPr>
        <w:t>龙城大道</w:t>
      </w:r>
      <w:r>
        <w:rPr>
          <w:rFonts w:ascii="宋体" w:hAnsi="宋体"/>
          <w:color w:val="000000"/>
          <w:sz w:val="28"/>
          <w:szCs w:val="28"/>
        </w:rPr>
        <w:t>——</w:t>
      </w:r>
      <w:r>
        <w:rPr>
          <w:rFonts w:hint="eastAsia" w:ascii="宋体" w:hAnsi="宋体"/>
          <w:color w:val="000000"/>
          <w:sz w:val="28"/>
          <w:szCs w:val="28"/>
        </w:rPr>
        <w:t>毛龙河</w:t>
      </w:r>
      <w:r>
        <w:rPr>
          <w:rFonts w:ascii="宋体" w:hAnsi="宋体"/>
          <w:color w:val="000000"/>
          <w:sz w:val="28"/>
          <w:szCs w:val="28"/>
        </w:rPr>
        <w:t>——</w:t>
      </w:r>
      <w:r>
        <w:rPr>
          <w:rFonts w:hint="eastAsia" w:ascii="宋体" w:hAnsi="宋体"/>
          <w:color w:val="000000"/>
          <w:sz w:val="28"/>
          <w:szCs w:val="28"/>
        </w:rPr>
        <w:t>沪宁城际铁路包围区域，面积</w:t>
      </w:r>
      <w:r>
        <w:rPr>
          <w:rFonts w:ascii="宋体" w:hAnsi="宋体"/>
          <w:color w:val="000000"/>
          <w:sz w:val="28"/>
          <w:szCs w:val="28"/>
        </w:rPr>
        <w:t>4.71</w:t>
      </w:r>
      <w:r>
        <w:rPr>
          <w:rFonts w:hint="eastAsia" w:ascii="宋体" w:hAnsi="宋体"/>
          <w:color w:val="000000"/>
          <w:sz w:val="28"/>
          <w:szCs w:val="28"/>
        </w:rPr>
        <w:t>平方公里，共有绿都万和城、大名城、银河湾第一城、玉龙湾花园、飞龙新苑、天山花园、金地天际雅居等多个小区。</w:t>
      </w:r>
      <w:r>
        <w:rPr>
          <w:rFonts w:hint="eastAsia" w:ascii="宋体" w:hAnsi="宋体" w:cs="Arial"/>
          <w:color w:val="000000"/>
          <w:sz w:val="28"/>
        </w:rPr>
        <w:t>截止</w:t>
      </w:r>
      <w:r>
        <w:rPr>
          <w:rFonts w:ascii="宋体" w:hAnsi="宋体" w:cs="Arial"/>
          <w:color w:val="000000"/>
          <w:sz w:val="28"/>
        </w:rPr>
        <w:t>201</w:t>
      </w:r>
      <w:r>
        <w:rPr>
          <w:rFonts w:hint="eastAsia" w:ascii="宋体" w:hAnsi="宋体" w:cs="Arial"/>
          <w:color w:val="000000"/>
          <w:sz w:val="28"/>
        </w:rPr>
        <w:t>5年</w:t>
      </w:r>
      <w:r>
        <w:rPr>
          <w:rFonts w:ascii="宋体" w:hAnsi="宋体" w:cs="Arial"/>
          <w:color w:val="000000"/>
          <w:sz w:val="28"/>
        </w:rPr>
        <w:t>3</w:t>
      </w:r>
      <w:r>
        <w:rPr>
          <w:rFonts w:hint="eastAsia" w:ascii="宋体" w:hAnsi="宋体" w:cs="Arial"/>
          <w:color w:val="000000"/>
          <w:sz w:val="28"/>
        </w:rPr>
        <w:t>月底，</w:t>
      </w:r>
      <w:r>
        <w:rPr>
          <w:rFonts w:hint="eastAsia" w:ascii="宋体" w:hAnsi="宋体"/>
          <w:bCs/>
          <w:color w:val="000000"/>
          <w:sz w:val="28"/>
          <w:szCs w:val="28"/>
        </w:rPr>
        <w:t>街道大型城区居住区（飞龙社区）已交付户数已达</w:t>
      </w:r>
      <w:r>
        <w:rPr>
          <w:rFonts w:ascii="宋体" w:hAnsi="宋体"/>
          <w:bCs/>
          <w:color w:val="000000"/>
          <w:sz w:val="28"/>
          <w:szCs w:val="28"/>
        </w:rPr>
        <w:t>15708</w:t>
      </w:r>
      <w:r>
        <w:rPr>
          <w:rFonts w:hint="eastAsia" w:ascii="宋体" w:hAnsi="宋体"/>
          <w:bCs/>
          <w:color w:val="000000"/>
          <w:sz w:val="28"/>
          <w:szCs w:val="28"/>
        </w:rPr>
        <w:t>户，按照平均每个家庭（户）</w:t>
      </w:r>
      <w:r>
        <w:rPr>
          <w:rFonts w:ascii="宋体" w:hAnsi="宋体"/>
          <w:bCs/>
          <w:color w:val="000000"/>
          <w:sz w:val="28"/>
          <w:szCs w:val="28"/>
        </w:rPr>
        <w:t>3.2</w:t>
      </w:r>
      <w:r>
        <w:rPr>
          <w:rFonts w:hint="eastAsia" w:ascii="宋体" w:hAnsi="宋体"/>
          <w:bCs/>
          <w:color w:val="000000"/>
          <w:sz w:val="28"/>
          <w:szCs w:val="28"/>
        </w:rPr>
        <w:t>人计算，完全居住人口可达</w:t>
      </w:r>
      <w:r>
        <w:rPr>
          <w:rFonts w:ascii="宋体" w:hAnsi="宋体"/>
          <w:bCs/>
          <w:color w:val="000000"/>
          <w:sz w:val="28"/>
          <w:szCs w:val="28"/>
        </w:rPr>
        <w:t xml:space="preserve">5 </w:t>
      </w:r>
      <w:r>
        <w:rPr>
          <w:rFonts w:hint="eastAsia" w:ascii="宋体" w:hAnsi="宋体"/>
          <w:bCs/>
          <w:color w:val="000000"/>
          <w:sz w:val="28"/>
          <w:szCs w:val="28"/>
        </w:rPr>
        <w:t>万人以上，如包括没有交付户数和小区，完全居住人口将达到</w:t>
      </w:r>
      <w:r>
        <w:rPr>
          <w:rFonts w:ascii="宋体" w:hAnsi="宋体"/>
          <w:bCs/>
          <w:color w:val="000000"/>
          <w:sz w:val="28"/>
          <w:szCs w:val="28"/>
        </w:rPr>
        <w:t>7</w:t>
      </w:r>
      <w:r>
        <w:rPr>
          <w:rFonts w:hint="eastAsia" w:ascii="宋体" w:hAnsi="宋体"/>
          <w:bCs/>
          <w:color w:val="000000"/>
          <w:sz w:val="28"/>
          <w:szCs w:val="28"/>
        </w:rPr>
        <w:t>万人以上。</w:t>
      </w:r>
    </w:p>
    <w:p w14:paraId="27268624">
      <w:pPr>
        <w:spacing w:line="360" w:lineRule="auto"/>
        <w:ind w:firstLine="560"/>
        <w:rPr>
          <w:rFonts w:ascii="宋体" w:hAnsi="宋体"/>
          <w:bCs/>
          <w:color w:val="000000"/>
          <w:sz w:val="28"/>
          <w:szCs w:val="28"/>
        </w:rPr>
      </w:pPr>
      <w:r>
        <w:rPr>
          <w:rFonts w:hint="eastAsia" w:ascii="宋体" w:hAnsi="宋体"/>
          <w:bCs/>
          <w:color w:val="000000"/>
          <w:sz w:val="28"/>
          <w:szCs w:val="28"/>
        </w:rPr>
        <w:t>目前</w:t>
      </w:r>
      <w:r>
        <w:rPr>
          <w:rFonts w:hint="eastAsia" w:ascii="宋体" w:hAnsi="宋体" w:cs="Arial"/>
          <w:color w:val="000000"/>
          <w:sz w:val="28"/>
        </w:rPr>
        <w:t>街道</w:t>
      </w:r>
      <w:r>
        <w:rPr>
          <w:rFonts w:hint="eastAsia" w:ascii="宋体" w:hAnsi="宋体"/>
          <w:color w:val="000000"/>
          <w:sz w:val="28"/>
          <w:szCs w:val="28"/>
        </w:rPr>
        <w:t>大型城区</w:t>
      </w:r>
      <w:r>
        <w:rPr>
          <w:rFonts w:hint="eastAsia" w:ascii="宋体" w:hAnsi="宋体"/>
          <w:bCs/>
          <w:color w:val="000000"/>
          <w:sz w:val="28"/>
          <w:szCs w:val="28"/>
        </w:rPr>
        <w:t>存在的主要问题：一是公共服务、商业服务不能满足需求，尤其教育和卫生医疗满足不了居民需求，仅有</w:t>
      </w:r>
      <w:r>
        <w:rPr>
          <w:rFonts w:ascii="宋体" w:hAnsi="宋体"/>
          <w:bCs/>
          <w:color w:val="000000"/>
          <w:sz w:val="28"/>
          <w:szCs w:val="28"/>
        </w:rPr>
        <w:t>2</w:t>
      </w:r>
      <w:r>
        <w:rPr>
          <w:rFonts w:hint="eastAsia" w:ascii="宋体" w:hAnsi="宋体"/>
          <w:bCs/>
          <w:color w:val="000000"/>
          <w:sz w:val="28"/>
          <w:szCs w:val="28"/>
        </w:rPr>
        <w:t>家纯民办幼儿园</w:t>
      </w:r>
      <w:r>
        <w:rPr>
          <w:rFonts w:ascii="宋体" w:hAnsi="宋体"/>
          <w:bCs/>
          <w:color w:val="000000"/>
          <w:sz w:val="28"/>
          <w:szCs w:val="28"/>
        </w:rPr>
        <w:t>——</w:t>
      </w:r>
      <w:r>
        <w:rPr>
          <w:rFonts w:hint="eastAsia" w:ascii="宋体" w:hAnsi="宋体"/>
          <w:bCs/>
          <w:color w:val="000000"/>
          <w:sz w:val="28"/>
          <w:szCs w:val="28"/>
        </w:rPr>
        <w:t>耶鲁绿都万和城双语幼儿园和阿兰贝尔国际幼儿园；二是小区类型多样，居住人口复杂，社区管理困难，居住小区既有混合型又有纯商品房型，居住人口既有飞龙社区原籍居民、常州市新北区其他镇失地农民，又有常州市安置居住的经济特困户、购买商品房的“新市民”和外来人口租房户；三是由于商品房集中“扎堆”销售，在一定阶段出现了供大于求情况，使得开发商资金回笼困难，配套商业项目开发缓慢或处于停滞状态；四是出勤交通不便。</w:t>
      </w:r>
    </w:p>
    <w:p w14:paraId="2ED29FAE">
      <w:pPr>
        <w:spacing w:line="360" w:lineRule="auto"/>
        <w:ind w:firstLine="560"/>
        <w:rPr>
          <w:rFonts w:ascii="宋体" w:hAnsi="宋体"/>
          <w:bCs/>
          <w:color w:val="000000"/>
          <w:sz w:val="28"/>
          <w:szCs w:val="28"/>
        </w:rPr>
      </w:pPr>
      <w:r>
        <w:rPr>
          <w:rFonts w:hint="eastAsia" w:ascii="宋体" w:hAnsi="宋体"/>
          <w:bCs/>
          <w:color w:val="000000"/>
          <w:sz w:val="28"/>
          <w:szCs w:val="28"/>
        </w:rPr>
        <w:t>随着中国人口政策放宽，二胎子女家庭的增加，大面积改善型住房和具有良好教育（尤其幼儿园、小学）设施、社区医疗设施配套的小区受到了市场青睐。大型城区居住区（飞龙社区）成为常州乃至长三角宜居区主要路径：一是借助国家人口政策放宽和货币政策放宽，政府大力引导和配合房地产开发商加快“去库存化”步伐，飞龙社区已成为常州市新北区售房“热点”；二是积极规划建设公立幼儿园、公立小学，满足不断日益增长家庭需要；三是</w:t>
      </w:r>
      <w:r>
        <w:rPr>
          <w:rFonts w:hint="eastAsia" w:ascii="宋体" w:hAnsi="宋体"/>
          <w:color w:val="000000"/>
          <w:sz w:val="28"/>
          <w:szCs w:val="28"/>
        </w:rPr>
        <w:t>以“十三五”后期地铁</w:t>
      </w:r>
      <w:r>
        <w:rPr>
          <w:rFonts w:ascii="宋体" w:hAnsi="宋体"/>
          <w:color w:val="000000"/>
          <w:sz w:val="28"/>
          <w:szCs w:val="28"/>
        </w:rPr>
        <w:t>3</w:t>
      </w:r>
      <w:r>
        <w:rPr>
          <w:rFonts w:hint="eastAsia" w:ascii="宋体" w:hAnsi="宋体"/>
          <w:color w:val="000000"/>
          <w:sz w:val="28"/>
          <w:szCs w:val="28"/>
        </w:rPr>
        <w:t>号线开工和飞龙站建设为契机，以地铁飞龙站为核心，尽早配套规划建设商业综合体，以大项目带动飞龙社区商业服务业发展；四是随着人口不断增加，以大型小区（如万和城、大名城等）为单位，分设</w:t>
      </w:r>
      <w:r>
        <w:rPr>
          <w:rFonts w:ascii="宋体" w:hAnsi="宋体"/>
          <w:color w:val="000000"/>
          <w:sz w:val="28"/>
          <w:szCs w:val="28"/>
        </w:rPr>
        <w:t>2-3</w:t>
      </w:r>
      <w:r>
        <w:rPr>
          <w:rFonts w:hint="eastAsia" w:ascii="宋体" w:hAnsi="宋体"/>
          <w:color w:val="000000"/>
          <w:sz w:val="28"/>
          <w:szCs w:val="28"/>
        </w:rPr>
        <w:t>个社区居民委员会，强化社区服务和管理。</w:t>
      </w:r>
    </w:p>
    <w:p w14:paraId="7B09FF12">
      <w:pPr>
        <w:ind w:firstLine="1072" w:firstLineChars="445"/>
        <w:rPr>
          <w:rFonts w:ascii="宋体" w:hAnsi="宋体" w:cs="Arial"/>
          <w:color w:val="000000" w:themeColor="text1"/>
          <w:sz w:val="28"/>
          <w:szCs w:val="28"/>
          <w14:textFill>
            <w14:solidFill>
              <w14:schemeClr w14:val="tx1"/>
            </w14:solidFill>
          </w14:textFill>
        </w:rPr>
      </w:pPr>
      <w:r>
        <w:rPr>
          <w:rFonts w:hint="eastAsia" w:ascii="黑体" w:hAnsi="宋体" w:eastAsia="黑体" w:cs="Arial"/>
          <w:b/>
          <w:color w:val="000000" w:themeColor="text1"/>
          <w:sz w:val="24"/>
          <w14:textFill>
            <w14:solidFill>
              <w14:schemeClr w14:val="tx1"/>
            </w14:solidFill>
          </w14:textFill>
        </w:rPr>
        <w:t>表13：飞龙社区（大型城区居住区）小区情况（截止2015年3月）</w:t>
      </w:r>
    </w:p>
    <w:tbl>
      <w:tblPr>
        <w:tblStyle w:val="1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809"/>
        <w:gridCol w:w="1276"/>
        <w:gridCol w:w="1800"/>
        <w:gridCol w:w="1035"/>
        <w:gridCol w:w="2702"/>
      </w:tblGrid>
      <w:tr w14:paraId="7E1F8A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 w:hRule="atLeast"/>
        </w:trPr>
        <w:tc>
          <w:tcPr>
            <w:tcW w:w="3085" w:type="dxa"/>
            <w:gridSpan w:val="2"/>
            <w:tcBorders>
              <w:bottom w:val="single" w:color="auto" w:sz="4" w:space="0"/>
            </w:tcBorders>
          </w:tcPr>
          <w:p w14:paraId="1F7E6FB9">
            <w:pPr>
              <w:spacing w:line="0" w:lineRule="atLeas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居住小区名称</w:t>
            </w:r>
          </w:p>
        </w:tc>
        <w:tc>
          <w:tcPr>
            <w:tcW w:w="2835" w:type="dxa"/>
            <w:gridSpan w:val="2"/>
            <w:tcBorders>
              <w:bottom w:val="single" w:color="auto" w:sz="4" w:space="0"/>
            </w:tcBorders>
          </w:tcPr>
          <w:p w14:paraId="247241CE">
            <w:pPr>
              <w:spacing w:line="0" w:lineRule="atLeas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已交付户数</w:t>
            </w:r>
          </w:p>
        </w:tc>
        <w:tc>
          <w:tcPr>
            <w:tcW w:w="2702" w:type="dxa"/>
            <w:tcBorders>
              <w:bottom w:val="single" w:color="auto" w:sz="4" w:space="0"/>
            </w:tcBorders>
          </w:tcPr>
          <w:p w14:paraId="5DFF66BD">
            <w:pPr>
              <w:spacing w:line="0" w:lineRule="atLeas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小区性质</w:t>
            </w:r>
          </w:p>
        </w:tc>
      </w:tr>
      <w:tr w14:paraId="66A04F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 w:hRule="atLeast"/>
        </w:trPr>
        <w:tc>
          <w:tcPr>
            <w:tcW w:w="3085" w:type="dxa"/>
            <w:gridSpan w:val="2"/>
            <w:tcBorders>
              <w:top w:val="single" w:color="auto" w:sz="4" w:space="0"/>
            </w:tcBorders>
          </w:tcPr>
          <w:p w14:paraId="1A80D223">
            <w:pPr>
              <w:spacing w:line="0" w:lineRule="atLeas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玉龙湾小区</w:t>
            </w:r>
          </w:p>
        </w:tc>
        <w:tc>
          <w:tcPr>
            <w:tcW w:w="2835" w:type="dxa"/>
            <w:gridSpan w:val="2"/>
            <w:tcBorders>
              <w:top w:val="single" w:color="auto" w:sz="4" w:space="0"/>
            </w:tcBorders>
          </w:tcPr>
          <w:p w14:paraId="7A7D5F7E">
            <w:pPr>
              <w:spacing w:line="0" w:lineRule="atLeas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2388</w:t>
            </w:r>
          </w:p>
        </w:tc>
        <w:tc>
          <w:tcPr>
            <w:tcW w:w="2702" w:type="dxa"/>
            <w:tcBorders>
              <w:top w:val="single" w:color="auto" w:sz="4" w:space="0"/>
            </w:tcBorders>
          </w:tcPr>
          <w:p w14:paraId="282DC943">
            <w:pPr>
              <w:spacing w:line="0" w:lineRule="atLeas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混合型</w:t>
            </w:r>
          </w:p>
        </w:tc>
      </w:tr>
      <w:tr w14:paraId="4A1653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gridSpan w:val="2"/>
          </w:tcPr>
          <w:p w14:paraId="6EF7B22F">
            <w:pPr>
              <w:spacing w:line="0" w:lineRule="atLeas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天山花园</w:t>
            </w:r>
          </w:p>
        </w:tc>
        <w:tc>
          <w:tcPr>
            <w:tcW w:w="2835" w:type="dxa"/>
            <w:gridSpan w:val="2"/>
          </w:tcPr>
          <w:p w14:paraId="4524911A">
            <w:pPr>
              <w:spacing w:line="0" w:lineRule="atLeas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2804</w:t>
            </w:r>
          </w:p>
        </w:tc>
        <w:tc>
          <w:tcPr>
            <w:tcW w:w="2702" w:type="dxa"/>
          </w:tcPr>
          <w:p w14:paraId="2E7E12EE">
            <w:pPr>
              <w:spacing w:line="0" w:lineRule="atLeas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混合型</w:t>
            </w:r>
          </w:p>
        </w:tc>
      </w:tr>
      <w:tr w14:paraId="61507F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gridSpan w:val="2"/>
          </w:tcPr>
          <w:p w14:paraId="5CCCE1F8">
            <w:pPr>
              <w:spacing w:line="0" w:lineRule="atLeas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银河湾第一城</w:t>
            </w:r>
          </w:p>
        </w:tc>
        <w:tc>
          <w:tcPr>
            <w:tcW w:w="2835" w:type="dxa"/>
            <w:gridSpan w:val="2"/>
          </w:tcPr>
          <w:p w14:paraId="6C378CE8">
            <w:pPr>
              <w:spacing w:line="0" w:lineRule="atLeas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1745（注：未全部交付）</w:t>
            </w:r>
          </w:p>
        </w:tc>
        <w:tc>
          <w:tcPr>
            <w:tcW w:w="2702" w:type="dxa"/>
          </w:tcPr>
          <w:p w14:paraId="766BA6BC">
            <w:pPr>
              <w:spacing w:line="0" w:lineRule="atLeas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混合型</w:t>
            </w:r>
          </w:p>
        </w:tc>
      </w:tr>
      <w:tr w14:paraId="71F1D0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gridSpan w:val="2"/>
          </w:tcPr>
          <w:p w14:paraId="79BDF868">
            <w:pPr>
              <w:spacing w:line="0" w:lineRule="atLeas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飞龙新苑</w:t>
            </w:r>
          </w:p>
        </w:tc>
        <w:tc>
          <w:tcPr>
            <w:tcW w:w="2835" w:type="dxa"/>
            <w:gridSpan w:val="2"/>
          </w:tcPr>
          <w:p w14:paraId="64CE1CCA">
            <w:pPr>
              <w:spacing w:line="0" w:lineRule="atLeas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2016</w:t>
            </w:r>
          </w:p>
        </w:tc>
        <w:tc>
          <w:tcPr>
            <w:tcW w:w="2702" w:type="dxa"/>
          </w:tcPr>
          <w:p w14:paraId="32848EC9">
            <w:pPr>
              <w:spacing w:line="0" w:lineRule="atLeas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混合型</w:t>
            </w:r>
          </w:p>
        </w:tc>
      </w:tr>
      <w:tr w14:paraId="20966E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7" w:hRule="atLeast"/>
        </w:trPr>
        <w:tc>
          <w:tcPr>
            <w:tcW w:w="1809" w:type="dxa"/>
            <w:vMerge w:val="restart"/>
            <w:tcBorders>
              <w:right w:val="single" w:color="auto" w:sz="4" w:space="0"/>
            </w:tcBorders>
          </w:tcPr>
          <w:p w14:paraId="73C7C242">
            <w:pPr>
              <w:spacing w:line="0" w:lineRule="atLeas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绿都万和城</w:t>
            </w:r>
          </w:p>
          <w:p w14:paraId="5F4E502A">
            <w:pPr>
              <w:spacing w:line="0" w:lineRule="atLeas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(注：部分交付)</w:t>
            </w:r>
          </w:p>
        </w:tc>
        <w:tc>
          <w:tcPr>
            <w:tcW w:w="1276" w:type="dxa"/>
            <w:tcBorders>
              <w:left w:val="single" w:color="auto" w:sz="4" w:space="0"/>
              <w:bottom w:val="single" w:color="auto" w:sz="4" w:space="0"/>
            </w:tcBorders>
          </w:tcPr>
          <w:p w14:paraId="05610227">
            <w:pPr>
              <w:spacing w:line="0" w:lineRule="atLeas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二区</w:t>
            </w:r>
          </w:p>
        </w:tc>
        <w:tc>
          <w:tcPr>
            <w:tcW w:w="1800" w:type="dxa"/>
            <w:tcBorders>
              <w:bottom w:val="single" w:color="auto" w:sz="4" w:space="0"/>
              <w:right w:val="single" w:color="auto" w:sz="4" w:space="0"/>
            </w:tcBorders>
          </w:tcPr>
          <w:p w14:paraId="0797D425">
            <w:pPr>
              <w:spacing w:line="0" w:lineRule="atLeas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1352</w:t>
            </w:r>
          </w:p>
        </w:tc>
        <w:tc>
          <w:tcPr>
            <w:tcW w:w="1035" w:type="dxa"/>
            <w:vMerge w:val="restart"/>
            <w:tcBorders>
              <w:left w:val="single" w:color="auto" w:sz="4" w:space="0"/>
            </w:tcBorders>
          </w:tcPr>
          <w:p w14:paraId="37E52B96">
            <w:pPr>
              <w:spacing w:line="0" w:lineRule="atLeas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4484</w:t>
            </w:r>
          </w:p>
        </w:tc>
        <w:tc>
          <w:tcPr>
            <w:tcW w:w="2702" w:type="dxa"/>
            <w:vMerge w:val="restart"/>
          </w:tcPr>
          <w:p w14:paraId="7E46F5F1">
            <w:pPr>
              <w:spacing w:line="0" w:lineRule="atLeas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纯商品房</w:t>
            </w:r>
          </w:p>
        </w:tc>
      </w:tr>
      <w:tr w14:paraId="2EF956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1" w:hRule="atLeast"/>
        </w:trPr>
        <w:tc>
          <w:tcPr>
            <w:tcW w:w="1809" w:type="dxa"/>
            <w:vMerge w:val="continue"/>
            <w:tcBorders>
              <w:right w:val="single" w:color="auto" w:sz="4" w:space="0"/>
            </w:tcBorders>
          </w:tcPr>
          <w:p w14:paraId="186F395C">
            <w:pPr>
              <w:spacing w:line="0" w:lineRule="atLeast"/>
              <w:rPr>
                <w:rFonts w:ascii="宋体" w:hAnsi="宋体"/>
                <w:color w:val="000000" w:themeColor="text1"/>
                <w:szCs w:val="21"/>
                <w14:textFill>
                  <w14:solidFill>
                    <w14:schemeClr w14:val="tx1"/>
                  </w14:solidFill>
                </w14:textFill>
              </w:rPr>
            </w:pPr>
          </w:p>
        </w:tc>
        <w:tc>
          <w:tcPr>
            <w:tcW w:w="1276" w:type="dxa"/>
            <w:tcBorders>
              <w:top w:val="single" w:color="auto" w:sz="4" w:space="0"/>
              <w:left w:val="single" w:color="auto" w:sz="4" w:space="0"/>
              <w:bottom w:val="single" w:color="auto" w:sz="4" w:space="0"/>
            </w:tcBorders>
          </w:tcPr>
          <w:p w14:paraId="720DA7C5">
            <w:pPr>
              <w:spacing w:line="0" w:lineRule="atLeas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三区</w:t>
            </w:r>
          </w:p>
        </w:tc>
        <w:tc>
          <w:tcPr>
            <w:tcW w:w="1800" w:type="dxa"/>
            <w:tcBorders>
              <w:top w:val="single" w:color="auto" w:sz="4" w:space="0"/>
              <w:bottom w:val="single" w:color="auto" w:sz="4" w:space="0"/>
              <w:right w:val="single" w:color="auto" w:sz="4" w:space="0"/>
            </w:tcBorders>
          </w:tcPr>
          <w:p w14:paraId="5AB13447">
            <w:pPr>
              <w:spacing w:line="0" w:lineRule="atLeas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1229</w:t>
            </w:r>
          </w:p>
        </w:tc>
        <w:tc>
          <w:tcPr>
            <w:tcW w:w="1035" w:type="dxa"/>
            <w:vMerge w:val="continue"/>
            <w:tcBorders>
              <w:left w:val="single" w:color="auto" w:sz="4" w:space="0"/>
            </w:tcBorders>
          </w:tcPr>
          <w:p w14:paraId="0FB20FD1">
            <w:pPr>
              <w:spacing w:line="0" w:lineRule="atLeast"/>
              <w:rPr>
                <w:rFonts w:ascii="宋体" w:hAnsi="宋体"/>
                <w:color w:val="000000" w:themeColor="text1"/>
                <w:szCs w:val="21"/>
                <w14:textFill>
                  <w14:solidFill>
                    <w14:schemeClr w14:val="tx1"/>
                  </w14:solidFill>
                </w14:textFill>
              </w:rPr>
            </w:pPr>
          </w:p>
        </w:tc>
        <w:tc>
          <w:tcPr>
            <w:tcW w:w="2702" w:type="dxa"/>
            <w:vMerge w:val="continue"/>
          </w:tcPr>
          <w:p w14:paraId="1FBBA891">
            <w:pPr>
              <w:spacing w:line="0" w:lineRule="atLeast"/>
              <w:rPr>
                <w:rFonts w:ascii="宋体" w:hAnsi="宋体"/>
                <w:color w:val="000000" w:themeColor="text1"/>
                <w:szCs w:val="21"/>
                <w14:textFill>
                  <w14:solidFill>
                    <w14:schemeClr w14:val="tx1"/>
                  </w14:solidFill>
                </w14:textFill>
              </w:rPr>
            </w:pPr>
          </w:p>
        </w:tc>
      </w:tr>
      <w:tr w14:paraId="60E87D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809" w:type="dxa"/>
            <w:vMerge w:val="continue"/>
            <w:tcBorders>
              <w:right w:val="single" w:color="auto" w:sz="4" w:space="0"/>
            </w:tcBorders>
          </w:tcPr>
          <w:p w14:paraId="4DB48C77">
            <w:pPr>
              <w:spacing w:line="0" w:lineRule="atLeast"/>
              <w:rPr>
                <w:rFonts w:ascii="宋体" w:hAnsi="宋体"/>
                <w:color w:val="000000" w:themeColor="text1"/>
                <w:szCs w:val="21"/>
                <w14:textFill>
                  <w14:solidFill>
                    <w14:schemeClr w14:val="tx1"/>
                  </w14:solidFill>
                </w14:textFill>
              </w:rPr>
            </w:pPr>
          </w:p>
        </w:tc>
        <w:tc>
          <w:tcPr>
            <w:tcW w:w="1276" w:type="dxa"/>
            <w:tcBorders>
              <w:top w:val="single" w:color="auto" w:sz="4" w:space="0"/>
              <w:left w:val="single" w:color="auto" w:sz="4" w:space="0"/>
            </w:tcBorders>
          </w:tcPr>
          <w:p w14:paraId="2FC2A2AD">
            <w:pPr>
              <w:spacing w:line="0" w:lineRule="atLeas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五区</w:t>
            </w:r>
          </w:p>
        </w:tc>
        <w:tc>
          <w:tcPr>
            <w:tcW w:w="1800" w:type="dxa"/>
            <w:tcBorders>
              <w:top w:val="single" w:color="auto" w:sz="4" w:space="0"/>
              <w:right w:val="single" w:color="auto" w:sz="4" w:space="0"/>
            </w:tcBorders>
          </w:tcPr>
          <w:p w14:paraId="4B032E0B">
            <w:pPr>
              <w:spacing w:line="0" w:lineRule="atLeas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1903</w:t>
            </w:r>
          </w:p>
        </w:tc>
        <w:tc>
          <w:tcPr>
            <w:tcW w:w="1035" w:type="dxa"/>
            <w:vMerge w:val="continue"/>
            <w:tcBorders>
              <w:left w:val="single" w:color="auto" w:sz="4" w:space="0"/>
            </w:tcBorders>
          </w:tcPr>
          <w:p w14:paraId="4E2D3867">
            <w:pPr>
              <w:spacing w:line="0" w:lineRule="atLeast"/>
              <w:rPr>
                <w:rFonts w:ascii="宋体" w:hAnsi="宋体"/>
                <w:color w:val="000000" w:themeColor="text1"/>
                <w:szCs w:val="21"/>
                <w14:textFill>
                  <w14:solidFill>
                    <w14:schemeClr w14:val="tx1"/>
                  </w14:solidFill>
                </w14:textFill>
              </w:rPr>
            </w:pPr>
          </w:p>
        </w:tc>
        <w:tc>
          <w:tcPr>
            <w:tcW w:w="2702" w:type="dxa"/>
            <w:vMerge w:val="continue"/>
          </w:tcPr>
          <w:p w14:paraId="2A2BD4B2">
            <w:pPr>
              <w:spacing w:line="0" w:lineRule="atLeast"/>
              <w:rPr>
                <w:rFonts w:ascii="宋体" w:hAnsi="宋体"/>
                <w:color w:val="000000" w:themeColor="text1"/>
                <w:szCs w:val="21"/>
                <w14:textFill>
                  <w14:solidFill>
                    <w14:schemeClr w14:val="tx1"/>
                  </w14:solidFill>
                </w14:textFill>
              </w:rPr>
            </w:pPr>
          </w:p>
        </w:tc>
      </w:tr>
      <w:tr w14:paraId="25B2A5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gridSpan w:val="2"/>
          </w:tcPr>
          <w:p w14:paraId="5B540F4C">
            <w:pPr>
              <w:spacing w:line="0" w:lineRule="atLeas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大名城东区</w:t>
            </w:r>
          </w:p>
        </w:tc>
        <w:tc>
          <w:tcPr>
            <w:tcW w:w="2835" w:type="dxa"/>
            <w:gridSpan w:val="2"/>
          </w:tcPr>
          <w:p w14:paraId="57FD0EFC">
            <w:pPr>
              <w:spacing w:line="0" w:lineRule="atLeas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1669</w:t>
            </w:r>
          </w:p>
        </w:tc>
        <w:tc>
          <w:tcPr>
            <w:tcW w:w="2702" w:type="dxa"/>
          </w:tcPr>
          <w:p w14:paraId="7EDCB69F">
            <w:pPr>
              <w:spacing w:line="0" w:lineRule="atLeas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纯商品房</w:t>
            </w:r>
          </w:p>
        </w:tc>
      </w:tr>
      <w:tr w14:paraId="530CD5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9" w:hRule="atLeast"/>
        </w:trPr>
        <w:tc>
          <w:tcPr>
            <w:tcW w:w="3085" w:type="dxa"/>
            <w:gridSpan w:val="2"/>
            <w:tcBorders>
              <w:bottom w:val="single" w:color="auto" w:sz="4" w:space="0"/>
            </w:tcBorders>
          </w:tcPr>
          <w:p w14:paraId="4674E69E">
            <w:pPr>
              <w:spacing w:line="0" w:lineRule="atLeas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金地天际雅居</w:t>
            </w:r>
          </w:p>
        </w:tc>
        <w:tc>
          <w:tcPr>
            <w:tcW w:w="2835" w:type="dxa"/>
            <w:gridSpan w:val="2"/>
            <w:tcBorders>
              <w:bottom w:val="single" w:color="auto" w:sz="4" w:space="0"/>
            </w:tcBorders>
          </w:tcPr>
          <w:p w14:paraId="22C11114">
            <w:pPr>
              <w:spacing w:line="0" w:lineRule="atLeas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602（注：未全部交付）</w:t>
            </w:r>
          </w:p>
        </w:tc>
        <w:tc>
          <w:tcPr>
            <w:tcW w:w="2702" w:type="dxa"/>
            <w:tcBorders>
              <w:bottom w:val="single" w:color="auto" w:sz="4" w:space="0"/>
            </w:tcBorders>
          </w:tcPr>
          <w:p w14:paraId="3829645E">
            <w:pPr>
              <w:spacing w:line="0" w:lineRule="atLeas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纯商品房</w:t>
            </w:r>
          </w:p>
        </w:tc>
      </w:tr>
      <w:tr w14:paraId="50A4B9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gridSpan w:val="2"/>
          </w:tcPr>
          <w:p w14:paraId="5B83434F">
            <w:pPr>
              <w:spacing w:line="0" w:lineRule="atLeas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合计</w:t>
            </w:r>
          </w:p>
        </w:tc>
        <w:tc>
          <w:tcPr>
            <w:tcW w:w="2835" w:type="dxa"/>
            <w:gridSpan w:val="2"/>
          </w:tcPr>
          <w:p w14:paraId="6C11AC2C">
            <w:pPr>
              <w:spacing w:line="0" w:lineRule="atLeas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15708</w:t>
            </w:r>
          </w:p>
        </w:tc>
        <w:tc>
          <w:tcPr>
            <w:tcW w:w="2702" w:type="dxa"/>
          </w:tcPr>
          <w:p w14:paraId="0E36B238">
            <w:pPr>
              <w:spacing w:line="0" w:lineRule="atLeast"/>
              <w:rPr>
                <w:rFonts w:ascii="宋体" w:hAnsi="宋体"/>
                <w:color w:val="000000" w:themeColor="text1"/>
                <w:szCs w:val="21"/>
                <w14:textFill>
                  <w14:solidFill>
                    <w14:schemeClr w14:val="tx1"/>
                  </w14:solidFill>
                </w14:textFill>
              </w:rPr>
            </w:pPr>
          </w:p>
        </w:tc>
      </w:tr>
    </w:tbl>
    <w:p w14:paraId="3919698C">
      <w:pPr>
        <w:spacing w:line="360" w:lineRule="auto"/>
        <w:ind w:firstLine="1299" w:firstLineChars="539"/>
        <w:rPr>
          <w:rFonts w:ascii="黑体" w:hAnsi="宋体" w:eastAsia="黑体" w:cs="Arial"/>
          <w:b/>
          <w:color w:val="000000" w:themeColor="text1"/>
          <w:sz w:val="24"/>
          <w14:textFill>
            <w14:solidFill>
              <w14:schemeClr w14:val="tx1"/>
            </w14:solidFill>
          </w14:textFill>
        </w:rPr>
      </w:pPr>
    </w:p>
    <w:p w14:paraId="6836E211">
      <w:pPr>
        <w:spacing w:line="360" w:lineRule="auto"/>
        <w:ind w:firstLine="1299" w:firstLineChars="539"/>
        <w:rPr>
          <w:rFonts w:ascii="黑体" w:hAnsi="宋体" w:eastAsia="黑体"/>
          <w:b/>
          <w:color w:val="000000" w:themeColor="text1"/>
          <w:sz w:val="44"/>
          <w:szCs w:val="44"/>
          <w14:textFill>
            <w14:solidFill>
              <w14:schemeClr w14:val="tx1"/>
            </w14:solidFill>
          </w14:textFill>
        </w:rPr>
      </w:pPr>
      <w:r>
        <w:rPr>
          <w:rFonts w:hint="eastAsia" w:ascii="黑体" w:hAnsi="宋体" w:eastAsia="黑体" w:cs="Arial"/>
          <w:b/>
          <w:color w:val="000000" w:themeColor="text1"/>
          <w:sz w:val="24"/>
          <w14:textFill>
            <w14:solidFill>
              <w14:schemeClr w14:val="tx1"/>
            </w14:solidFill>
          </w14:textFill>
        </w:rPr>
        <w:t>表14：2015年1-5月常州市新北区销量最佳楼盘</w:t>
      </w:r>
    </w:p>
    <w:tbl>
      <w:tblPr>
        <w:tblStyle w:val="1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68"/>
        <w:gridCol w:w="2126"/>
        <w:gridCol w:w="4828"/>
      </w:tblGrid>
      <w:tr w14:paraId="3A193B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68" w:type="dxa"/>
          </w:tcPr>
          <w:p w14:paraId="22DD7F0C">
            <w:pPr>
              <w:spacing w:line="0" w:lineRule="atLeast"/>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月</w:t>
            </w:r>
          </w:p>
        </w:tc>
        <w:tc>
          <w:tcPr>
            <w:tcW w:w="2126" w:type="dxa"/>
          </w:tcPr>
          <w:p w14:paraId="24017DEE">
            <w:pPr>
              <w:spacing w:line="0" w:lineRule="atLeast"/>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区域</w:t>
            </w:r>
          </w:p>
        </w:tc>
        <w:tc>
          <w:tcPr>
            <w:tcW w:w="4828" w:type="dxa"/>
          </w:tcPr>
          <w:p w14:paraId="670DF22A">
            <w:pPr>
              <w:spacing w:line="0" w:lineRule="atLeast"/>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楼盘</w:t>
            </w:r>
          </w:p>
        </w:tc>
      </w:tr>
      <w:tr w14:paraId="2EBD84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68" w:type="dxa"/>
          </w:tcPr>
          <w:p w14:paraId="0C1EDBEA">
            <w:pPr>
              <w:spacing w:line="0" w:lineRule="atLeast"/>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2015年1月</w:t>
            </w:r>
          </w:p>
        </w:tc>
        <w:tc>
          <w:tcPr>
            <w:tcW w:w="2126" w:type="dxa"/>
          </w:tcPr>
          <w:p w14:paraId="0AB6C803">
            <w:pPr>
              <w:spacing w:line="0" w:lineRule="atLeast"/>
              <w:rPr>
                <w:rFonts w:asciiTheme="minorEastAsia" w:hAnsiTheme="minorEastAsia" w:eastAsiaTheme="minorEastAsia"/>
                <w:b/>
                <w:color w:val="000000" w:themeColor="text1"/>
                <w:szCs w:val="21"/>
                <w14:textFill>
                  <w14:solidFill>
                    <w14:schemeClr w14:val="tx1"/>
                  </w14:solidFill>
                </w14:textFill>
              </w:rPr>
            </w:pPr>
            <w:r>
              <w:rPr>
                <w:rFonts w:hint="eastAsia" w:asciiTheme="minorEastAsia" w:hAnsiTheme="minorEastAsia" w:eastAsiaTheme="minorEastAsia"/>
                <w:b/>
                <w:color w:val="000000" w:themeColor="text1"/>
                <w:szCs w:val="21"/>
                <w14:textFill>
                  <w14:solidFill>
                    <w14:schemeClr w14:val="tx1"/>
                  </w14:solidFill>
                </w14:textFill>
              </w:rPr>
              <w:t>飞龙板块</w:t>
            </w:r>
          </w:p>
        </w:tc>
        <w:tc>
          <w:tcPr>
            <w:tcW w:w="4828" w:type="dxa"/>
          </w:tcPr>
          <w:p w14:paraId="46A4E277">
            <w:pPr>
              <w:spacing w:line="0" w:lineRule="atLeast"/>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绿都万和城</w:t>
            </w:r>
          </w:p>
        </w:tc>
      </w:tr>
      <w:tr w14:paraId="160C7A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trPr>
        <w:tc>
          <w:tcPr>
            <w:tcW w:w="1668" w:type="dxa"/>
            <w:vMerge w:val="restart"/>
          </w:tcPr>
          <w:p w14:paraId="74ED0633">
            <w:pPr>
              <w:spacing w:line="0" w:lineRule="atLeast"/>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2015年2月</w:t>
            </w:r>
          </w:p>
        </w:tc>
        <w:tc>
          <w:tcPr>
            <w:tcW w:w="2126" w:type="dxa"/>
            <w:tcBorders>
              <w:bottom w:val="single" w:color="auto" w:sz="4" w:space="0"/>
            </w:tcBorders>
          </w:tcPr>
          <w:p w14:paraId="50224EE2">
            <w:pPr>
              <w:spacing w:line="0" w:lineRule="atLeast"/>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新龙国际商务城板块</w:t>
            </w:r>
          </w:p>
        </w:tc>
        <w:tc>
          <w:tcPr>
            <w:tcW w:w="4828" w:type="dxa"/>
            <w:tcBorders>
              <w:bottom w:val="single" w:color="auto" w:sz="4" w:space="0"/>
            </w:tcBorders>
          </w:tcPr>
          <w:p w14:paraId="4D0E2BC6">
            <w:pPr>
              <w:spacing w:line="0" w:lineRule="atLeast"/>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滨江明珠城</w:t>
            </w:r>
          </w:p>
        </w:tc>
      </w:tr>
      <w:tr w14:paraId="255E96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5" w:hRule="atLeast"/>
        </w:trPr>
        <w:tc>
          <w:tcPr>
            <w:tcW w:w="1668" w:type="dxa"/>
            <w:vMerge w:val="continue"/>
          </w:tcPr>
          <w:p w14:paraId="7111A5DB">
            <w:pPr>
              <w:spacing w:line="0" w:lineRule="atLeast"/>
              <w:rPr>
                <w:rFonts w:asciiTheme="minorEastAsia" w:hAnsiTheme="minorEastAsia" w:eastAsiaTheme="minorEastAsia"/>
                <w:color w:val="000000" w:themeColor="text1"/>
                <w:szCs w:val="21"/>
                <w14:textFill>
                  <w14:solidFill>
                    <w14:schemeClr w14:val="tx1"/>
                  </w14:solidFill>
                </w14:textFill>
              </w:rPr>
            </w:pPr>
          </w:p>
        </w:tc>
        <w:tc>
          <w:tcPr>
            <w:tcW w:w="2126" w:type="dxa"/>
            <w:vMerge w:val="restart"/>
            <w:tcBorders>
              <w:top w:val="single" w:color="auto" w:sz="4" w:space="0"/>
            </w:tcBorders>
          </w:tcPr>
          <w:p w14:paraId="11016DEF">
            <w:pPr>
              <w:spacing w:line="0" w:lineRule="atLeast"/>
              <w:rPr>
                <w:rFonts w:asciiTheme="minorEastAsia" w:hAnsiTheme="minorEastAsia" w:eastAsiaTheme="minorEastAsia"/>
                <w:b/>
                <w:color w:val="000000" w:themeColor="text1"/>
                <w:szCs w:val="21"/>
                <w14:textFill>
                  <w14:solidFill>
                    <w14:schemeClr w14:val="tx1"/>
                  </w14:solidFill>
                </w14:textFill>
              </w:rPr>
            </w:pPr>
            <w:r>
              <w:rPr>
                <w:rFonts w:hint="eastAsia" w:asciiTheme="minorEastAsia" w:hAnsiTheme="minorEastAsia" w:eastAsiaTheme="minorEastAsia"/>
                <w:b/>
                <w:color w:val="000000" w:themeColor="text1"/>
                <w:szCs w:val="21"/>
                <w14:textFill>
                  <w14:solidFill>
                    <w14:schemeClr w14:val="tx1"/>
                  </w14:solidFill>
                </w14:textFill>
              </w:rPr>
              <w:t>飞龙板块</w:t>
            </w:r>
          </w:p>
        </w:tc>
        <w:tc>
          <w:tcPr>
            <w:tcW w:w="4828" w:type="dxa"/>
            <w:tcBorders>
              <w:top w:val="single" w:color="auto" w:sz="4" w:space="0"/>
              <w:bottom w:val="single" w:color="auto" w:sz="4" w:space="0"/>
            </w:tcBorders>
          </w:tcPr>
          <w:p w14:paraId="774E429A">
            <w:pPr>
              <w:spacing w:line="0" w:lineRule="atLeast"/>
              <w:rPr>
                <w:rFonts w:asciiTheme="minorEastAsia" w:hAnsiTheme="minorEastAsia" w:eastAsiaTheme="minorEastAsia"/>
                <w:b/>
                <w:color w:val="000000" w:themeColor="text1"/>
                <w:szCs w:val="21"/>
                <w14:textFill>
                  <w14:solidFill>
                    <w14:schemeClr w14:val="tx1"/>
                  </w14:solidFill>
                </w14:textFill>
              </w:rPr>
            </w:pPr>
            <w:r>
              <w:rPr>
                <w:rFonts w:hint="eastAsia" w:asciiTheme="minorEastAsia" w:hAnsiTheme="minorEastAsia" w:eastAsiaTheme="minorEastAsia"/>
                <w:b/>
                <w:color w:val="000000" w:themeColor="text1"/>
                <w:szCs w:val="21"/>
                <w14:textFill>
                  <w14:solidFill>
                    <w14:schemeClr w14:val="tx1"/>
                  </w14:solidFill>
                </w14:textFill>
              </w:rPr>
              <w:t>大名城</w:t>
            </w:r>
          </w:p>
        </w:tc>
      </w:tr>
      <w:tr w14:paraId="66D524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 w:hRule="atLeast"/>
        </w:trPr>
        <w:tc>
          <w:tcPr>
            <w:tcW w:w="1668" w:type="dxa"/>
            <w:vMerge w:val="continue"/>
          </w:tcPr>
          <w:p w14:paraId="60C8D88D">
            <w:pPr>
              <w:spacing w:line="0" w:lineRule="atLeast"/>
              <w:rPr>
                <w:rFonts w:asciiTheme="minorEastAsia" w:hAnsiTheme="minorEastAsia" w:eastAsiaTheme="minorEastAsia"/>
                <w:color w:val="000000" w:themeColor="text1"/>
                <w:szCs w:val="21"/>
                <w14:textFill>
                  <w14:solidFill>
                    <w14:schemeClr w14:val="tx1"/>
                  </w14:solidFill>
                </w14:textFill>
              </w:rPr>
            </w:pPr>
          </w:p>
        </w:tc>
        <w:tc>
          <w:tcPr>
            <w:tcW w:w="2126" w:type="dxa"/>
            <w:vMerge w:val="continue"/>
          </w:tcPr>
          <w:p w14:paraId="1BA71379">
            <w:pPr>
              <w:spacing w:line="0" w:lineRule="atLeast"/>
              <w:rPr>
                <w:rFonts w:asciiTheme="minorEastAsia" w:hAnsiTheme="minorEastAsia" w:eastAsiaTheme="minorEastAsia"/>
                <w:b/>
                <w:color w:val="000000" w:themeColor="text1"/>
                <w:szCs w:val="21"/>
                <w14:textFill>
                  <w14:solidFill>
                    <w14:schemeClr w14:val="tx1"/>
                  </w14:solidFill>
                </w14:textFill>
              </w:rPr>
            </w:pPr>
          </w:p>
        </w:tc>
        <w:tc>
          <w:tcPr>
            <w:tcW w:w="4828" w:type="dxa"/>
            <w:tcBorders>
              <w:top w:val="single" w:color="auto" w:sz="4" w:space="0"/>
            </w:tcBorders>
          </w:tcPr>
          <w:p w14:paraId="0C27C851">
            <w:pPr>
              <w:spacing w:line="0" w:lineRule="atLeast"/>
              <w:rPr>
                <w:rFonts w:asciiTheme="minorEastAsia" w:hAnsiTheme="minorEastAsia" w:eastAsiaTheme="minorEastAsia"/>
                <w:b/>
                <w:color w:val="000000" w:themeColor="text1"/>
                <w:szCs w:val="21"/>
                <w14:textFill>
                  <w14:solidFill>
                    <w14:schemeClr w14:val="tx1"/>
                  </w14:solidFill>
                </w14:textFill>
              </w:rPr>
            </w:pPr>
            <w:r>
              <w:rPr>
                <w:rFonts w:hint="eastAsia" w:asciiTheme="minorEastAsia" w:hAnsiTheme="minorEastAsia" w:eastAsiaTheme="minorEastAsia"/>
                <w:b/>
                <w:color w:val="000000" w:themeColor="text1"/>
                <w:szCs w:val="21"/>
                <w14:textFill>
                  <w14:solidFill>
                    <w14:schemeClr w14:val="tx1"/>
                  </w14:solidFill>
                </w14:textFill>
              </w:rPr>
              <w:t>银河湾第一城</w:t>
            </w:r>
          </w:p>
        </w:tc>
      </w:tr>
      <w:tr w14:paraId="302CEF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5" w:hRule="atLeast"/>
        </w:trPr>
        <w:tc>
          <w:tcPr>
            <w:tcW w:w="1668" w:type="dxa"/>
            <w:vMerge w:val="restart"/>
          </w:tcPr>
          <w:p w14:paraId="06E83047">
            <w:pPr>
              <w:spacing w:line="0" w:lineRule="atLeast"/>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2015年3月</w:t>
            </w:r>
          </w:p>
        </w:tc>
        <w:tc>
          <w:tcPr>
            <w:tcW w:w="2126" w:type="dxa"/>
            <w:tcBorders>
              <w:bottom w:val="single" w:color="auto" w:sz="4" w:space="0"/>
            </w:tcBorders>
          </w:tcPr>
          <w:p w14:paraId="0DFF6F81">
            <w:pPr>
              <w:spacing w:line="0" w:lineRule="atLeast"/>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环球恐龙城板块</w:t>
            </w:r>
          </w:p>
        </w:tc>
        <w:tc>
          <w:tcPr>
            <w:tcW w:w="4828" w:type="dxa"/>
            <w:tcBorders>
              <w:bottom w:val="single" w:color="auto" w:sz="4" w:space="0"/>
            </w:tcBorders>
          </w:tcPr>
          <w:p w14:paraId="046B3D5A">
            <w:pPr>
              <w:spacing w:line="0" w:lineRule="atLeast"/>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世茂香槟湖</w:t>
            </w:r>
          </w:p>
        </w:tc>
      </w:tr>
      <w:tr w14:paraId="4CD5E3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7" w:hRule="atLeast"/>
        </w:trPr>
        <w:tc>
          <w:tcPr>
            <w:tcW w:w="1668" w:type="dxa"/>
            <w:vMerge w:val="continue"/>
          </w:tcPr>
          <w:p w14:paraId="1BC10646">
            <w:pPr>
              <w:spacing w:line="0" w:lineRule="atLeast"/>
              <w:rPr>
                <w:rFonts w:asciiTheme="minorEastAsia" w:hAnsiTheme="minorEastAsia" w:eastAsiaTheme="minorEastAsia"/>
                <w:color w:val="000000" w:themeColor="text1"/>
                <w:szCs w:val="21"/>
                <w14:textFill>
                  <w14:solidFill>
                    <w14:schemeClr w14:val="tx1"/>
                  </w14:solidFill>
                </w14:textFill>
              </w:rPr>
            </w:pPr>
          </w:p>
        </w:tc>
        <w:tc>
          <w:tcPr>
            <w:tcW w:w="2126" w:type="dxa"/>
            <w:tcBorders>
              <w:top w:val="single" w:color="auto" w:sz="4" w:space="0"/>
              <w:bottom w:val="single" w:color="auto" w:sz="4" w:space="0"/>
            </w:tcBorders>
          </w:tcPr>
          <w:p w14:paraId="47FCB9FB">
            <w:pPr>
              <w:spacing w:line="0" w:lineRule="atLeast"/>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新龙国际商务城板块</w:t>
            </w:r>
          </w:p>
        </w:tc>
        <w:tc>
          <w:tcPr>
            <w:tcW w:w="4828" w:type="dxa"/>
            <w:tcBorders>
              <w:top w:val="single" w:color="auto" w:sz="4" w:space="0"/>
              <w:bottom w:val="single" w:color="auto" w:sz="4" w:space="0"/>
            </w:tcBorders>
          </w:tcPr>
          <w:p w14:paraId="53E8B46C">
            <w:pPr>
              <w:spacing w:line="0" w:lineRule="atLeast"/>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滨江明珠城</w:t>
            </w:r>
          </w:p>
        </w:tc>
      </w:tr>
      <w:tr w14:paraId="352A2E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 w:hRule="atLeast"/>
        </w:trPr>
        <w:tc>
          <w:tcPr>
            <w:tcW w:w="1668" w:type="dxa"/>
            <w:vMerge w:val="continue"/>
          </w:tcPr>
          <w:p w14:paraId="2F236E79">
            <w:pPr>
              <w:spacing w:line="0" w:lineRule="atLeast"/>
              <w:rPr>
                <w:rFonts w:asciiTheme="minorEastAsia" w:hAnsiTheme="minorEastAsia" w:eastAsiaTheme="minorEastAsia"/>
                <w:color w:val="000000" w:themeColor="text1"/>
                <w:szCs w:val="21"/>
                <w14:textFill>
                  <w14:solidFill>
                    <w14:schemeClr w14:val="tx1"/>
                  </w14:solidFill>
                </w14:textFill>
              </w:rPr>
            </w:pPr>
          </w:p>
        </w:tc>
        <w:tc>
          <w:tcPr>
            <w:tcW w:w="2126" w:type="dxa"/>
            <w:tcBorders>
              <w:top w:val="single" w:color="auto" w:sz="4" w:space="0"/>
            </w:tcBorders>
          </w:tcPr>
          <w:p w14:paraId="5C9CD819">
            <w:pPr>
              <w:spacing w:line="0" w:lineRule="atLeast"/>
              <w:rPr>
                <w:rFonts w:asciiTheme="minorEastAsia" w:hAnsiTheme="minorEastAsia" w:eastAsiaTheme="minorEastAsia"/>
                <w:b/>
                <w:color w:val="000000" w:themeColor="text1"/>
                <w:szCs w:val="21"/>
                <w14:textFill>
                  <w14:solidFill>
                    <w14:schemeClr w14:val="tx1"/>
                  </w14:solidFill>
                </w14:textFill>
              </w:rPr>
            </w:pPr>
            <w:r>
              <w:rPr>
                <w:rFonts w:hint="eastAsia" w:asciiTheme="minorEastAsia" w:hAnsiTheme="minorEastAsia" w:eastAsiaTheme="minorEastAsia"/>
                <w:b/>
                <w:color w:val="000000" w:themeColor="text1"/>
                <w:szCs w:val="21"/>
                <w14:textFill>
                  <w14:solidFill>
                    <w14:schemeClr w14:val="tx1"/>
                  </w14:solidFill>
                </w14:textFill>
              </w:rPr>
              <w:t>飞龙板块</w:t>
            </w:r>
          </w:p>
        </w:tc>
        <w:tc>
          <w:tcPr>
            <w:tcW w:w="4828" w:type="dxa"/>
            <w:tcBorders>
              <w:top w:val="single" w:color="auto" w:sz="4" w:space="0"/>
            </w:tcBorders>
          </w:tcPr>
          <w:p w14:paraId="2718F9CA">
            <w:pPr>
              <w:spacing w:line="0" w:lineRule="atLeast"/>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绿都万和城</w:t>
            </w:r>
          </w:p>
        </w:tc>
      </w:tr>
      <w:tr w14:paraId="4F1004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1" w:hRule="atLeast"/>
        </w:trPr>
        <w:tc>
          <w:tcPr>
            <w:tcW w:w="1668" w:type="dxa"/>
            <w:vMerge w:val="restart"/>
          </w:tcPr>
          <w:p w14:paraId="658F9D50">
            <w:pPr>
              <w:spacing w:line="0" w:lineRule="atLeast"/>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2015年4月</w:t>
            </w:r>
          </w:p>
        </w:tc>
        <w:tc>
          <w:tcPr>
            <w:tcW w:w="2126" w:type="dxa"/>
            <w:tcBorders>
              <w:bottom w:val="single" w:color="auto" w:sz="4" w:space="0"/>
            </w:tcBorders>
          </w:tcPr>
          <w:p w14:paraId="28CE12D1">
            <w:pPr>
              <w:spacing w:line="0" w:lineRule="atLeast"/>
              <w:rPr>
                <w:rFonts w:asciiTheme="minorEastAsia" w:hAnsiTheme="minorEastAsia" w:eastAsiaTheme="minorEastAsia"/>
                <w:b/>
                <w:color w:val="000000" w:themeColor="text1"/>
                <w:szCs w:val="21"/>
                <w14:textFill>
                  <w14:solidFill>
                    <w14:schemeClr w14:val="tx1"/>
                  </w14:solidFill>
                </w14:textFill>
              </w:rPr>
            </w:pPr>
            <w:r>
              <w:rPr>
                <w:rFonts w:hint="eastAsia" w:asciiTheme="minorEastAsia" w:hAnsiTheme="minorEastAsia" w:eastAsiaTheme="minorEastAsia"/>
                <w:b/>
                <w:color w:val="000000" w:themeColor="text1"/>
                <w:szCs w:val="21"/>
                <w14:textFill>
                  <w14:solidFill>
                    <w14:schemeClr w14:val="tx1"/>
                  </w14:solidFill>
                </w14:textFill>
              </w:rPr>
              <w:t>飞龙板块</w:t>
            </w:r>
          </w:p>
        </w:tc>
        <w:tc>
          <w:tcPr>
            <w:tcW w:w="4828" w:type="dxa"/>
            <w:tcBorders>
              <w:bottom w:val="single" w:color="auto" w:sz="4" w:space="0"/>
            </w:tcBorders>
          </w:tcPr>
          <w:p w14:paraId="45461381">
            <w:pPr>
              <w:spacing w:line="0" w:lineRule="atLeast"/>
              <w:rPr>
                <w:rFonts w:asciiTheme="minorEastAsia" w:hAnsiTheme="minorEastAsia" w:eastAsiaTheme="minorEastAsia"/>
                <w:b/>
                <w:color w:val="000000" w:themeColor="text1"/>
                <w:szCs w:val="21"/>
                <w14:textFill>
                  <w14:solidFill>
                    <w14:schemeClr w14:val="tx1"/>
                  </w14:solidFill>
                </w14:textFill>
              </w:rPr>
            </w:pPr>
            <w:r>
              <w:rPr>
                <w:rFonts w:hint="eastAsia" w:asciiTheme="minorEastAsia" w:hAnsiTheme="minorEastAsia" w:eastAsiaTheme="minorEastAsia"/>
                <w:b/>
                <w:color w:val="000000" w:themeColor="text1"/>
                <w:szCs w:val="21"/>
                <w14:textFill>
                  <w14:solidFill>
                    <w14:schemeClr w14:val="tx1"/>
                  </w14:solidFill>
                </w14:textFill>
              </w:rPr>
              <w:t>大名城</w:t>
            </w:r>
          </w:p>
        </w:tc>
      </w:tr>
      <w:tr w14:paraId="00CB78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668" w:type="dxa"/>
            <w:vMerge w:val="continue"/>
          </w:tcPr>
          <w:p w14:paraId="1227951C">
            <w:pPr>
              <w:spacing w:line="0" w:lineRule="atLeast"/>
              <w:rPr>
                <w:rFonts w:asciiTheme="minorEastAsia" w:hAnsiTheme="minorEastAsia" w:eastAsiaTheme="minorEastAsia"/>
                <w:color w:val="000000" w:themeColor="text1"/>
                <w:szCs w:val="21"/>
                <w14:textFill>
                  <w14:solidFill>
                    <w14:schemeClr w14:val="tx1"/>
                  </w14:solidFill>
                </w14:textFill>
              </w:rPr>
            </w:pPr>
          </w:p>
        </w:tc>
        <w:tc>
          <w:tcPr>
            <w:tcW w:w="2126" w:type="dxa"/>
            <w:tcBorders>
              <w:top w:val="single" w:color="auto" w:sz="4" w:space="0"/>
            </w:tcBorders>
          </w:tcPr>
          <w:p w14:paraId="38C15700">
            <w:pPr>
              <w:spacing w:line="0" w:lineRule="atLeast"/>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环球恐龙城板块</w:t>
            </w:r>
          </w:p>
        </w:tc>
        <w:tc>
          <w:tcPr>
            <w:tcW w:w="4828" w:type="dxa"/>
            <w:tcBorders>
              <w:top w:val="single" w:color="auto" w:sz="4" w:space="0"/>
            </w:tcBorders>
          </w:tcPr>
          <w:p w14:paraId="5882350E">
            <w:pPr>
              <w:spacing w:line="0" w:lineRule="atLeast"/>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世茂香槟湖</w:t>
            </w:r>
          </w:p>
        </w:tc>
      </w:tr>
      <w:tr w14:paraId="48997C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68" w:type="dxa"/>
          </w:tcPr>
          <w:p w14:paraId="6433746A">
            <w:pPr>
              <w:spacing w:line="0" w:lineRule="atLeast"/>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2015年5月</w:t>
            </w:r>
          </w:p>
        </w:tc>
        <w:tc>
          <w:tcPr>
            <w:tcW w:w="2126" w:type="dxa"/>
          </w:tcPr>
          <w:p w14:paraId="5BB0609D">
            <w:pPr>
              <w:spacing w:line="0" w:lineRule="atLeast"/>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新龙国际商务城板块</w:t>
            </w:r>
          </w:p>
        </w:tc>
        <w:tc>
          <w:tcPr>
            <w:tcW w:w="4828" w:type="dxa"/>
          </w:tcPr>
          <w:p w14:paraId="7444AE7E">
            <w:pPr>
              <w:spacing w:line="0" w:lineRule="atLeast"/>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滨江明珠城</w:t>
            </w:r>
          </w:p>
        </w:tc>
      </w:tr>
    </w:tbl>
    <w:p w14:paraId="21822F7C">
      <w:pPr>
        <w:widowControl/>
        <w:jc w:val="left"/>
        <w:rPr>
          <w:rFonts w:asciiTheme="minorEastAsia" w:hAnsiTheme="minorEastAsia" w:eastAsiaTheme="minorEastAsia"/>
          <w:color w:val="000000" w:themeColor="text1"/>
          <w:sz w:val="28"/>
          <w:szCs w:val="28"/>
          <w14:textFill>
            <w14:solidFill>
              <w14:schemeClr w14:val="tx1"/>
            </w14:solidFill>
          </w14:textFill>
        </w:rPr>
      </w:pPr>
      <w:r>
        <w:rPr>
          <w:rFonts w:asciiTheme="minorEastAsia" w:hAnsiTheme="minorEastAsia" w:eastAsiaTheme="minorEastAsia"/>
          <w:color w:val="000000" w:themeColor="text1"/>
          <w:sz w:val="28"/>
          <w:szCs w:val="28"/>
          <w14:textFill>
            <w14:solidFill>
              <w14:schemeClr w14:val="tx1"/>
            </w14:solidFill>
          </w14:textFill>
        </w:rPr>
        <w:br w:type="page"/>
      </w:r>
    </w:p>
    <w:p w14:paraId="254AAD1E">
      <w:pPr>
        <w:widowControl/>
        <w:jc w:val="left"/>
        <w:rPr>
          <w:rFonts w:ascii="黑体" w:hAnsi="宋体" w:eastAsia="黑体"/>
          <w:b/>
          <w:color w:val="000000" w:themeColor="text1"/>
          <w:sz w:val="72"/>
          <w:szCs w:val="72"/>
          <w14:textFill>
            <w14:solidFill>
              <w14:schemeClr w14:val="tx1"/>
            </w14:solidFill>
          </w14:textFill>
        </w:rPr>
      </w:pPr>
    </w:p>
    <w:p w14:paraId="7D7E607C">
      <w:pPr>
        <w:spacing w:line="360" w:lineRule="auto"/>
        <w:ind w:firstLine="883" w:firstLineChars="200"/>
        <w:rPr>
          <w:rFonts w:ascii="黑体" w:hAnsi="宋体" w:eastAsia="黑体"/>
          <w:b/>
          <w:color w:val="000000" w:themeColor="text1"/>
          <w:sz w:val="44"/>
          <w:szCs w:val="44"/>
          <w14:textFill>
            <w14:solidFill>
              <w14:schemeClr w14:val="tx1"/>
            </w14:solidFill>
          </w14:textFill>
        </w:rPr>
      </w:pPr>
      <w:r>
        <w:rPr>
          <w:rFonts w:hint="eastAsia" w:ascii="黑体" w:hAnsi="宋体" w:eastAsia="黑体"/>
          <w:b/>
          <w:color w:val="000000" w:themeColor="text1"/>
          <w:sz w:val="44"/>
          <w:szCs w:val="44"/>
          <w14:textFill>
            <w14:solidFill>
              <w14:schemeClr w14:val="tx1"/>
            </w14:solidFill>
          </w14:textFill>
        </w:rPr>
        <w:t>八、“十三五”期间社区发展研究</w:t>
      </w:r>
    </w:p>
    <w:p w14:paraId="0F701BBB">
      <w:pPr>
        <w:spacing w:line="560" w:lineRule="exact"/>
        <w:rPr>
          <w:color w:val="000000" w:themeColor="text1"/>
          <w:sz w:val="36"/>
          <w:szCs w:val="36"/>
          <w14:textFill>
            <w14:solidFill>
              <w14:schemeClr w14:val="tx1"/>
            </w14:solidFill>
          </w14:textFill>
        </w:rPr>
      </w:pPr>
      <w:r>
        <w:rPr>
          <w:rFonts w:hint="eastAsia"/>
          <w:color w:val="000000" w:themeColor="text1"/>
          <w:sz w:val="36"/>
          <w:szCs w:val="36"/>
          <w14:textFill>
            <w14:solidFill>
              <w14:schemeClr w14:val="tx1"/>
            </w14:solidFill>
          </w14:textFill>
        </w:rPr>
        <w:t xml:space="preserve">     </w:t>
      </w:r>
    </w:p>
    <w:p w14:paraId="4326CC4C">
      <w:pPr>
        <w:spacing w:line="360" w:lineRule="auto"/>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三井街道要成为“让本地人留恋、让外地人向往”新城区，必须做到“就业有岗位、创业有机会、发展有空间、创新有平台”，要由单纯的经济增长到“包容性发展”</w:t>
      </w:r>
      <w:r>
        <w:rPr>
          <w:rStyle w:val="14"/>
          <w:color w:val="000000" w:themeColor="text1"/>
          <w:sz w:val="28"/>
          <w:szCs w:val="28"/>
          <w14:textFill>
            <w14:solidFill>
              <w14:schemeClr w14:val="tx1"/>
            </w14:solidFill>
          </w14:textFill>
        </w:rPr>
        <w:footnoteReference w:id="16"/>
      </w:r>
      <w:r>
        <w:rPr>
          <w:rFonts w:hint="eastAsia"/>
          <w:color w:val="000000" w:themeColor="text1"/>
          <w:sz w:val="28"/>
          <w:szCs w:val="28"/>
          <w14:textFill>
            <w14:solidFill>
              <w14:schemeClr w14:val="tx1"/>
            </w14:solidFill>
          </w14:textFill>
        </w:rPr>
        <w:t>转变。</w:t>
      </w:r>
    </w:p>
    <w:p w14:paraId="27F2AEFC">
      <w:pPr>
        <w:spacing w:line="360" w:lineRule="auto"/>
        <w:ind w:firstLine="560" w:firstLineChars="200"/>
        <w:rPr>
          <w:color w:val="000000" w:themeColor="text1"/>
          <w:sz w:val="28"/>
          <w:szCs w:val="28"/>
          <w14:textFill>
            <w14:solidFill>
              <w14:schemeClr w14:val="tx1"/>
            </w14:solidFill>
          </w14:textFill>
        </w:rPr>
      </w:pPr>
    </w:p>
    <w:p w14:paraId="1B91CE28">
      <w:pPr>
        <w:spacing w:line="360" w:lineRule="auto"/>
        <w:ind w:firstLine="560"/>
        <w:rPr>
          <w:rFonts w:ascii="宋体" w:hAnsi="宋体"/>
          <w:color w:val="000000"/>
          <w:sz w:val="28"/>
          <w:szCs w:val="28"/>
        </w:rPr>
      </w:pPr>
      <w:r>
        <w:rPr>
          <w:rFonts w:hint="eastAsia" w:ascii="宋体" w:hAnsi="宋体"/>
          <w:color w:val="000000"/>
          <w:sz w:val="28"/>
          <w:szCs w:val="28"/>
        </w:rPr>
        <w:t>街道要成为“让本地人留恋、让外地人向往”新城区，必须做到“就业有岗位、创业有机会、发展有空间、创新有平台”，要由单纯的经济增长到“包容性发展”和共享发展转变。</w:t>
      </w:r>
    </w:p>
    <w:p w14:paraId="3ABDFC45">
      <w:pPr>
        <w:spacing w:line="360" w:lineRule="auto"/>
        <w:ind w:firstLine="560"/>
        <w:rPr>
          <w:color w:val="000000"/>
          <w:sz w:val="28"/>
          <w:szCs w:val="28"/>
        </w:rPr>
      </w:pPr>
    </w:p>
    <w:p w14:paraId="4D3C8BA0">
      <w:pPr>
        <w:spacing w:line="360" w:lineRule="auto"/>
        <w:rPr>
          <w:rFonts w:ascii="黑体" w:eastAsia="黑体"/>
          <w:b/>
          <w:color w:val="000000"/>
          <w:sz w:val="30"/>
          <w:szCs w:val="30"/>
        </w:rPr>
      </w:pPr>
      <w:r>
        <w:rPr>
          <w:rFonts w:hint="eastAsia" w:ascii="黑体" w:eastAsia="黑体"/>
          <w:b/>
          <w:color w:val="000000"/>
          <w:sz w:val="30"/>
          <w:szCs w:val="30"/>
        </w:rPr>
        <w:t>（一）社区发展新起点</w:t>
      </w:r>
    </w:p>
    <w:p w14:paraId="4090F15B">
      <w:pPr>
        <w:spacing w:line="360" w:lineRule="auto"/>
        <w:ind w:firstLine="560"/>
        <w:rPr>
          <w:rFonts w:ascii="宋体" w:hAnsi="宋体"/>
          <w:color w:val="000000"/>
          <w:sz w:val="28"/>
          <w:szCs w:val="28"/>
        </w:rPr>
      </w:pPr>
      <w:r>
        <w:rPr>
          <w:rFonts w:hint="eastAsia" w:ascii="宋体" w:hAnsi="宋体"/>
          <w:color w:val="000000"/>
          <w:sz w:val="28"/>
          <w:szCs w:val="28"/>
        </w:rPr>
        <w:t>经过</w:t>
      </w:r>
      <w:r>
        <w:rPr>
          <w:rFonts w:ascii="宋体" w:hAnsi="宋体"/>
          <w:color w:val="000000"/>
          <w:sz w:val="28"/>
          <w:szCs w:val="28"/>
        </w:rPr>
        <w:t>20</w:t>
      </w:r>
      <w:r>
        <w:rPr>
          <w:rFonts w:hint="eastAsia" w:ascii="宋体" w:hAnsi="宋体"/>
          <w:color w:val="000000"/>
          <w:sz w:val="28"/>
          <w:szCs w:val="28"/>
        </w:rPr>
        <w:t>世纪</w:t>
      </w:r>
      <w:r>
        <w:rPr>
          <w:rFonts w:ascii="宋体" w:hAnsi="宋体"/>
          <w:color w:val="000000"/>
          <w:sz w:val="28"/>
          <w:szCs w:val="28"/>
        </w:rPr>
        <w:t>90</w:t>
      </w:r>
      <w:r>
        <w:rPr>
          <w:rFonts w:hint="eastAsia" w:ascii="宋体" w:hAnsi="宋体"/>
          <w:color w:val="000000"/>
          <w:sz w:val="28"/>
          <w:szCs w:val="28"/>
        </w:rPr>
        <w:t>年代的“一次创业”和近年的土地集中开发，街道已由常州城乡结合部发展为常州中心城区一部分，从景观上看已成为现代化新城区；从经济指标看，街道</w:t>
      </w:r>
      <w:r>
        <w:rPr>
          <w:rFonts w:ascii="宋体" w:hAnsi="宋体"/>
          <w:color w:val="000000"/>
          <w:sz w:val="28"/>
          <w:szCs w:val="28"/>
        </w:rPr>
        <w:t>2015</w:t>
      </w:r>
      <w:r>
        <w:rPr>
          <w:rFonts w:hint="eastAsia" w:ascii="宋体" w:hAnsi="宋体"/>
          <w:color w:val="000000"/>
          <w:sz w:val="28"/>
          <w:szCs w:val="28"/>
        </w:rPr>
        <w:t>年单位面积实现地区生产总值达到了</w:t>
      </w:r>
      <w:r>
        <w:rPr>
          <w:rFonts w:ascii="宋体" w:hAnsi="宋体"/>
          <w:color w:val="000000"/>
          <w:sz w:val="28"/>
          <w:szCs w:val="28"/>
        </w:rPr>
        <w:t>8.56</w:t>
      </w:r>
      <w:r>
        <w:rPr>
          <w:rFonts w:hint="eastAsia" w:ascii="宋体" w:hAnsi="宋体"/>
          <w:color w:val="000000"/>
          <w:sz w:val="28"/>
          <w:szCs w:val="28"/>
        </w:rPr>
        <w:t>亿元</w:t>
      </w:r>
      <w:r>
        <w:rPr>
          <w:rFonts w:ascii="宋体" w:hAnsi="宋体"/>
          <w:color w:val="000000"/>
          <w:sz w:val="28"/>
          <w:szCs w:val="28"/>
        </w:rPr>
        <w:t>/</w:t>
      </w:r>
      <w:r>
        <w:rPr>
          <w:rFonts w:hint="eastAsia" w:ascii="宋体" w:hAnsi="宋体"/>
          <w:color w:val="000000"/>
          <w:sz w:val="28"/>
          <w:szCs w:val="28"/>
        </w:rPr>
        <w:t>平方公里，与历史悠久的成熟老城区没有太大差别，已成为自主发展城区；从实际居住人口密度看，街道实际居住人口密度达到了</w:t>
      </w:r>
      <w:r>
        <w:rPr>
          <w:rFonts w:ascii="宋体" w:hAnsi="宋体"/>
          <w:color w:val="000000"/>
          <w:sz w:val="28"/>
          <w:szCs w:val="28"/>
        </w:rPr>
        <w:t>5000</w:t>
      </w:r>
      <w:r>
        <w:rPr>
          <w:rFonts w:hint="eastAsia" w:ascii="宋体" w:hAnsi="宋体"/>
          <w:color w:val="000000"/>
          <w:sz w:val="28"/>
          <w:szCs w:val="28"/>
        </w:rPr>
        <w:t>人</w:t>
      </w:r>
      <w:r>
        <w:rPr>
          <w:rFonts w:ascii="宋体" w:hAnsi="宋体"/>
          <w:color w:val="000000"/>
          <w:sz w:val="28"/>
          <w:szCs w:val="28"/>
        </w:rPr>
        <w:t>/</w:t>
      </w:r>
      <w:r>
        <w:rPr>
          <w:rFonts w:hint="eastAsia" w:ascii="宋体" w:hAnsi="宋体"/>
          <w:color w:val="000000"/>
          <w:sz w:val="28"/>
          <w:szCs w:val="28"/>
        </w:rPr>
        <w:t>平方公里以上，已成为“宜居宜业”城区。</w:t>
      </w:r>
    </w:p>
    <w:p w14:paraId="054A6B8B">
      <w:pPr>
        <w:spacing w:line="360" w:lineRule="auto"/>
        <w:ind w:firstLine="560"/>
        <w:rPr>
          <w:rFonts w:ascii="宋体" w:hAnsi="宋体"/>
          <w:color w:val="000000"/>
          <w:sz w:val="28"/>
          <w:szCs w:val="28"/>
        </w:rPr>
      </w:pPr>
      <w:r>
        <w:rPr>
          <w:rFonts w:hint="eastAsia" w:ascii="宋体" w:hAnsi="宋体"/>
          <w:color w:val="000000"/>
          <w:sz w:val="28"/>
          <w:szCs w:val="28"/>
        </w:rPr>
        <w:t>在城市社区管理上，虽然除了藻江社区外，其余七个社区都由行政村转化而来，缺乏服务、管理经验，且农民转为市民，还存在观念、习惯等方面差距，但通过强化服务意识，以服务带动管理，通过推行“一站式大厅服务”和“网格化管理”，让服务重心下移和管理全覆盖，各个社区对上承接街道管理，对下加强网格管理，从而实现了街道整个社区管理和服务科学化、精细化、长效化。</w:t>
      </w:r>
    </w:p>
    <w:p w14:paraId="41A7C563">
      <w:pPr>
        <w:spacing w:line="360" w:lineRule="auto"/>
        <w:rPr>
          <w:rFonts w:ascii="宋体" w:hAnsi="宋体"/>
          <w:color w:val="000000"/>
          <w:sz w:val="24"/>
        </w:rPr>
      </w:pPr>
    </w:p>
    <w:p w14:paraId="68398B22">
      <w:pPr>
        <w:spacing w:line="560" w:lineRule="exact"/>
        <w:ind w:firstLine="826" w:firstLineChars="343"/>
        <w:rPr>
          <w:rFonts w:ascii="黑体" w:hAnsi="宋体" w:eastAsia="黑体"/>
          <w:b/>
          <w:color w:val="000000" w:themeColor="text1"/>
          <w:sz w:val="24"/>
          <w14:textFill>
            <w14:solidFill>
              <w14:schemeClr w14:val="tx1"/>
            </w14:solidFill>
          </w14:textFill>
        </w:rPr>
      </w:pPr>
      <w:r>
        <w:rPr>
          <w:rFonts w:hint="eastAsia" w:ascii="黑体" w:hAnsi="宋体" w:eastAsia="黑体"/>
          <w:b/>
          <w:color w:val="000000" w:themeColor="text1"/>
          <w:sz w:val="24"/>
          <w14:textFill>
            <w14:solidFill>
              <w14:schemeClr w14:val="tx1"/>
            </w14:solidFill>
          </w14:textFill>
        </w:rPr>
        <w:t>表15：三井街道社区基本情况（截止2014年3月已交付）</w:t>
      </w:r>
    </w:p>
    <w:tbl>
      <w:tblPr>
        <w:tblStyle w:val="1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09"/>
        <w:gridCol w:w="709"/>
        <w:gridCol w:w="992"/>
        <w:gridCol w:w="992"/>
        <w:gridCol w:w="569"/>
        <w:gridCol w:w="1276"/>
        <w:gridCol w:w="567"/>
        <w:gridCol w:w="1415"/>
        <w:gridCol w:w="569"/>
      </w:tblGrid>
      <w:tr w14:paraId="177AB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709" w:type="dxa"/>
            <w:vMerge w:val="restart"/>
          </w:tcPr>
          <w:p w14:paraId="0F4E7BE4">
            <w:pPr>
              <w:spacing w:line="0" w:lineRule="atLeast"/>
              <w:rPr>
                <w:color w:val="000000" w:themeColor="text1"/>
                <w:szCs w:val="21"/>
                <w14:textFill>
                  <w14:solidFill>
                    <w14:schemeClr w14:val="tx1"/>
                  </w14:solidFill>
                </w14:textFill>
              </w:rPr>
            </w:pPr>
            <w:r>
              <w:rPr>
                <w:color w:val="000000" w:themeColor="text1"/>
                <w:szCs w:val="21"/>
                <w14:textFill>
                  <w14:solidFill>
                    <w14:schemeClr w14:val="tx1"/>
                  </w14:solidFill>
                </w14:textFill>
              </w:rPr>
              <w:br w:type="page"/>
            </w:r>
            <w:r>
              <w:rPr>
                <w:color w:val="000000" w:themeColor="text1"/>
                <w:szCs w:val="21"/>
                <w14:textFill>
                  <w14:solidFill>
                    <w14:schemeClr w14:val="tx1"/>
                  </w14:solidFill>
                </w14:textFill>
              </w:rPr>
              <w:br w:type="page"/>
            </w:r>
            <w:r>
              <w:rPr>
                <w:rFonts w:hint="eastAsia"/>
                <w:color w:val="000000" w:themeColor="text1"/>
                <w:szCs w:val="21"/>
                <w14:textFill>
                  <w14:solidFill>
                    <w14:schemeClr w14:val="tx1"/>
                  </w14:solidFill>
                </w14:textFill>
              </w:rPr>
              <w:t xml:space="preserve"> </w:t>
            </w:r>
          </w:p>
        </w:tc>
        <w:tc>
          <w:tcPr>
            <w:tcW w:w="709" w:type="dxa"/>
            <w:vMerge w:val="restart"/>
          </w:tcPr>
          <w:p w14:paraId="0FFF1B42">
            <w:pPr>
              <w:spacing w:line="0" w:lineRule="atLeas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面积</w:t>
            </w:r>
          </w:p>
          <w:p w14:paraId="1EE47FFE">
            <w:pPr>
              <w:spacing w:line="0" w:lineRule="atLeast"/>
              <w:ind w:leftChars="-51" w:right="-107" w:rightChars="-51" w:hanging="107" w:hangingChars="5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（km</w:t>
            </w:r>
            <w:r>
              <w:rPr>
                <w:rFonts w:hint="eastAsia" w:ascii="宋体" w:hAnsi="宋体"/>
                <w:color w:val="000000" w:themeColor="text1"/>
                <w:szCs w:val="21"/>
                <w14:textFill>
                  <w14:solidFill>
                    <w14:schemeClr w14:val="tx1"/>
                  </w14:solidFill>
                </w14:textFill>
              </w:rPr>
              <w:t>²</w:t>
            </w:r>
            <w:r>
              <w:rPr>
                <w:rFonts w:hint="eastAsia"/>
                <w:color w:val="000000" w:themeColor="text1"/>
                <w:szCs w:val="21"/>
                <w14:textFill>
                  <w14:solidFill>
                    <w14:schemeClr w14:val="tx1"/>
                  </w14:solidFill>
                </w14:textFill>
              </w:rPr>
              <w:t>）</w:t>
            </w:r>
          </w:p>
        </w:tc>
        <w:tc>
          <w:tcPr>
            <w:tcW w:w="1701" w:type="dxa"/>
            <w:gridSpan w:val="2"/>
            <w:tcBorders>
              <w:bottom w:val="single" w:color="auto" w:sz="4" w:space="0"/>
            </w:tcBorders>
          </w:tcPr>
          <w:p w14:paraId="7AC265F3">
            <w:pPr>
              <w:spacing w:line="0" w:lineRule="atLeas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人口</w:t>
            </w:r>
          </w:p>
        </w:tc>
        <w:tc>
          <w:tcPr>
            <w:tcW w:w="1561" w:type="dxa"/>
            <w:gridSpan w:val="2"/>
            <w:tcBorders>
              <w:bottom w:val="single" w:color="auto" w:sz="4" w:space="0"/>
            </w:tcBorders>
          </w:tcPr>
          <w:p w14:paraId="150A8E41">
            <w:pPr>
              <w:spacing w:line="0" w:lineRule="atLeas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安置小区</w:t>
            </w:r>
          </w:p>
        </w:tc>
        <w:tc>
          <w:tcPr>
            <w:tcW w:w="1843" w:type="dxa"/>
            <w:gridSpan w:val="2"/>
            <w:tcBorders>
              <w:bottom w:val="single" w:color="auto" w:sz="4" w:space="0"/>
            </w:tcBorders>
          </w:tcPr>
          <w:p w14:paraId="7CA36C23">
            <w:pPr>
              <w:spacing w:line="0" w:lineRule="atLeas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混合型小区</w:t>
            </w:r>
          </w:p>
        </w:tc>
        <w:tc>
          <w:tcPr>
            <w:tcW w:w="1984" w:type="dxa"/>
            <w:gridSpan w:val="2"/>
            <w:tcBorders>
              <w:bottom w:val="single" w:color="auto" w:sz="4" w:space="0"/>
            </w:tcBorders>
          </w:tcPr>
          <w:p w14:paraId="0546DBF8">
            <w:pPr>
              <w:spacing w:line="0" w:lineRule="atLeas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纯商品房小区</w:t>
            </w:r>
          </w:p>
        </w:tc>
      </w:tr>
      <w:tr w14:paraId="47409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vMerge w:val="continue"/>
          </w:tcPr>
          <w:p w14:paraId="3D50AF1F">
            <w:pPr>
              <w:spacing w:line="0" w:lineRule="atLeast"/>
              <w:rPr>
                <w:color w:val="000000" w:themeColor="text1"/>
                <w:szCs w:val="21"/>
                <w14:textFill>
                  <w14:solidFill>
                    <w14:schemeClr w14:val="tx1"/>
                  </w14:solidFill>
                </w14:textFill>
              </w:rPr>
            </w:pPr>
          </w:p>
        </w:tc>
        <w:tc>
          <w:tcPr>
            <w:tcW w:w="709" w:type="dxa"/>
            <w:vMerge w:val="continue"/>
          </w:tcPr>
          <w:p w14:paraId="7B48D059">
            <w:pPr>
              <w:spacing w:line="0" w:lineRule="atLeast"/>
              <w:rPr>
                <w:color w:val="000000" w:themeColor="text1"/>
                <w:szCs w:val="21"/>
                <w14:textFill>
                  <w14:solidFill>
                    <w14:schemeClr w14:val="tx1"/>
                  </w14:solidFill>
                </w14:textFill>
              </w:rPr>
            </w:pPr>
          </w:p>
        </w:tc>
        <w:tc>
          <w:tcPr>
            <w:tcW w:w="709" w:type="dxa"/>
          </w:tcPr>
          <w:p w14:paraId="50618D0E">
            <w:pPr>
              <w:spacing w:line="0" w:lineRule="atLeas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户籍</w:t>
            </w:r>
          </w:p>
        </w:tc>
        <w:tc>
          <w:tcPr>
            <w:tcW w:w="992" w:type="dxa"/>
          </w:tcPr>
          <w:p w14:paraId="15295089">
            <w:pPr>
              <w:spacing w:line="0" w:lineRule="atLeast"/>
              <w:ind w:right="-107" w:rightChars="-5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实际居住</w:t>
            </w:r>
          </w:p>
        </w:tc>
        <w:tc>
          <w:tcPr>
            <w:tcW w:w="992" w:type="dxa"/>
            <w:tcBorders>
              <w:top w:val="nil"/>
            </w:tcBorders>
          </w:tcPr>
          <w:p w14:paraId="7C5FE7AE">
            <w:pPr>
              <w:spacing w:line="0" w:lineRule="atLeas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名称</w:t>
            </w:r>
          </w:p>
        </w:tc>
        <w:tc>
          <w:tcPr>
            <w:tcW w:w="569" w:type="dxa"/>
            <w:tcBorders>
              <w:top w:val="nil"/>
            </w:tcBorders>
          </w:tcPr>
          <w:p w14:paraId="1334ED63">
            <w:pPr>
              <w:spacing w:line="0" w:lineRule="atLeast"/>
              <w:ind w:leftChars="-51" w:hanging="107" w:hangingChars="5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户数</w:t>
            </w:r>
          </w:p>
        </w:tc>
        <w:tc>
          <w:tcPr>
            <w:tcW w:w="1276" w:type="dxa"/>
            <w:tcBorders>
              <w:top w:val="nil"/>
            </w:tcBorders>
          </w:tcPr>
          <w:p w14:paraId="63CB51DD">
            <w:pPr>
              <w:spacing w:line="0" w:lineRule="atLeas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名称</w:t>
            </w:r>
          </w:p>
        </w:tc>
        <w:tc>
          <w:tcPr>
            <w:tcW w:w="567" w:type="dxa"/>
            <w:tcBorders>
              <w:top w:val="nil"/>
            </w:tcBorders>
          </w:tcPr>
          <w:p w14:paraId="760CD916">
            <w:pPr>
              <w:spacing w:line="0" w:lineRule="atLeast"/>
              <w:ind w:leftChars="-51" w:hanging="107" w:hangingChars="5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户数</w:t>
            </w:r>
          </w:p>
        </w:tc>
        <w:tc>
          <w:tcPr>
            <w:tcW w:w="1415" w:type="dxa"/>
            <w:tcBorders>
              <w:top w:val="nil"/>
            </w:tcBorders>
          </w:tcPr>
          <w:p w14:paraId="0BF941D3">
            <w:pPr>
              <w:spacing w:line="0" w:lineRule="atLeas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名称</w:t>
            </w:r>
          </w:p>
        </w:tc>
        <w:tc>
          <w:tcPr>
            <w:tcW w:w="569" w:type="dxa"/>
            <w:tcBorders>
              <w:top w:val="nil"/>
            </w:tcBorders>
          </w:tcPr>
          <w:p w14:paraId="0136C462">
            <w:pPr>
              <w:spacing w:line="0" w:lineRule="atLeast"/>
              <w:ind w:leftChars="-51" w:hanging="107" w:hangingChars="5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户数</w:t>
            </w:r>
          </w:p>
        </w:tc>
      </w:tr>
      <w:tr w14:paraId="78EC9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709" w:type="dxa"/>
            <w:vMerge w:val="restart"/>
          </w:tcPr>
          <w:p w14:paraId="7D3D6CC6">
            <w:pPr>
              <w:spacing w:line="0" w:lineRule="atLeas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三井</w:t>
            </w:r>
          </w:p>
        </w:tc>
        <w:tc>
          <w:tcPr>
            <w:tcW w:w="709" w:type="dxa"/>
            <w:vMerge w:val="restart"/>
          </w:tcPr>
          <w:p w14:paraId="03DD4DF4">
            <w:pPr>
              <w:spacing w:line="0" w:lineRule="atLeas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1.8</w:t>
            </w:r>
          </w:p>
        </w:tc>
        <w:tc>
          <w:tcPr>
            <w:tcW w:w="709" w:type="dxa"/>
            <w:vMerge w:val="restart"/>
          </w:tcPr>
          <w:p w14:paraId="485C12D0">
            <w:pPr>
              <w:spacing w:line="0" w:lineRule="atLeas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1505</w:t>
            </w:r>
          </w:p>
        </w:tc>
        <w:tc>
          <w:tcPr>
            <w:tcW w:w="992" w:type="dxa"/>
            <w:vMerge w:val="restart"/>
          </w:tcPr>
          <w:p w14:paraId="7285C07B">
            <w:pPr>
              <w:spacing w:line="0" w:lineRule="atLeast"/>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&gt;</w:t>
            </w:r>
            <w:r>
              <w:rPr>
                <w:rFonts w:hint="eastAsia"/>
                <w:color w:val="000000" w:themeColor="text1"/>
                <w:szCs w:val="21"/>
                <w14:textFill>
                  <w14:solidFill>
                    <w14:schemeClr w14:val="tx1"/>
                  </w14:solidFill>
                </w14:textFill>
              </w:rPr>
              <w:t>7500</w:t>
            </w:r>
          </w:p>
        </w:tc>
        <w:tc>
          <w:tcPr>
            <w:tcW w:w="992" w:type="dxa"/>
          </w:tcPr>
          <w:p w14:paraId="6966801C">
            <w:pPr>
              <w:spacing w:line="0" w:lineRule="atLeast"/>
              <w:rPr>
                <w:color w:val="000000" w:themeColor="text1"/>
                <w:szCs w:val="21"/>
                <w14:textFill>
                  <w14:solidFill>
                    <w14:schemeClr w14:val="tx1"/>
                  </w14:solidFill>
                </w14:textFill>
              </w:rPr>
            </w:pPr>
          </w:p>
        </w:tc>
        <w:tc>
          <w:tcPr>
            <w:tcW w:w="569" w:type="dxa"/>
          </w:tcPr>
          <w:p w14:paraId="449075CF">
            <w:pPr>
              <w:spacing w:line="0" w:lineRule="atLeast"/>
              <w:rPr>
                <w:color w:val="000000" w:themeColor="text1"/>
                <w:szCs w:val="21"/>
                <w14:textFill>
                  <w14:solidFill>
                    <w14:schemeClr w14:val="tx1"/>
                  </w14:solidFill>
                </w14:textFill>
              </w:rPr>
            </w:pPr>
          </w:p>
        </w:tc>
        <w:tc>
          <w:tcPr>
            <w:tcW w:w="1276" w:type="dxa"/>
          </w:tcPr>
          <w:p w14:paraId="1DD7CF69">
            <w:pPr>
              <w:spacing w:line="0" w:lineRule="atLeast"/>
              <w:ind w:left="1" w:leftChars="-51" w:right="-59" w:rightChars="-28" w:hanging="10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府西花园</w:t>
            </w:r>
          </w:p>
        </w:tc>
        <w:tc>
          <w:tcPr>
            <w:tcW w:w="567" w:type="dxa"/>
          </w:tcPr>
          <w:p w14:paraId="7CA1C9D7">
            <w:pPr>
              <w:spacing w:line="0" w:lineRule="atLeast"/>
              <w:ind w:leftChars="-51" w:hanging="107" w:hangingChars="5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1296</w:t>
            </w:r>
          </w:p>
        </w:tc>
        <w:tc>
          <w:tcPr>
            <w:tcW w:w="1415" w:type="dxa"/>
          </w:tcPr>
          <w:p w14:paraId="48ABAA4D">
            <w:pPr>
              <w:spacing w:line="0" w:lineRule="atLeas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兴业苑</w:t>
            </w:r>
          </w:p>
        </w:tc>
        <w:tc>
          <w:tcPr>
            <w:tcW w:w="569" w:type="dxa"/>
          </w:tcPr>
          <w:p w14:paraId="33E5E74B">
            <w:pPr>
              <w:spacing w:line="0" w:lineRule="atLeast"/>
              <w:ind w:leftChars="-51" w:hanging="107" w:hangingChars="5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96</w:t>
            </w:r>
          </w:p>
        </w:tc>
      </w:tr>
      <w:tr w14:paraId="535A0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709" w:type="dxa"/>
            <w:vMerge w:val="continue"/>
          </w:tcPr>
          <w:p w14:paraId="6E50CE71">
            <w:pPr>
              <w:spacing w:line="0" w:lineRule="atLeast"/>
              <w:rPr>
                <w:color w:val="000000" w:themeColor="text1"/>
                <w:szCs w:val="21"/>
                <w14:textFill>
                  <w14:solidFill>
                    <w14:schemeClr w14:val="tx1"/>
                  </w14:solidFill>
                </w14:textFill>
              </w:rPr>
            </w:pPr>
          </w:p>
        </w:tc>
        <w:tc>
          <w:tcPr>
            <w:tcW w:w="709" w:type="dxa"/>
            <w:vMerge w:val="continue"/>
          </w:tcPr>
          <w:p w14:paraId="22CF87DE">
            <w:pPr>
              <w:spacing w:line="0" w:lineRule="atLeast"/>
              <w:rPr>
                <w:color w:val="000000" w:themeColor="text1"/>
                <w:szCs w:val="21"/>
                <w14:textFill>
                  <w14:solidFill>
                    <w14:schemeClr w14:val="tx1"/>
                  </w14:solidFill>
                </w14:textFill>
              </w:rPr>
            </w:pPr>
          </w:p>
        </w:tc>
        <w:tc>
          <w:tcPr>
            <w:tcW w:w="709" w:type="dxa"/>
            <w:vMerge w:val="continue"/>
          </w:tcPr>
          <w:p w14:paraId="6B4FC7FC">
            <w:pPr>
              <w:spacing w:line="0" w:lineRule="atLeast"/>
              <w:rPr>
                <w:color w:val="000000" w:themeColor="text1"/>
                <w:szCs w:val="21"/>
                <w14:textFill>
                  <w14:solidFill>
                    <w14:schemeClr w14:val="tx1"/>
                  </w14:solidFill>
                </w14:textFill>
              </w:rPr>
            </w:pPr>
          </w:p>
        </w:tc>
        <w:tc>
          <w:tcPr>
            <w:tcW w:w="992" w:type="dxa"/>
            <w:vMerge w:val="continue"/>
          </w:tcPr>
          <w:p w14:paraId="5880CF6B">
            <w:pPr>
              <w:spacing w:line="0" w:lineRule="atLeast"/>
              <w:rPr>
                <w:rFonts w:ascii="宋体" w:hAnsi="宋体"/>
                <w:color w:val="000000" w:themeColor="text1"/>
                <w:szCs w:val="21"/>
                <w14:textFill>
                  <w14:solidFill>
                    <w14:schemeClr w14:val="tx1"/>
                  </w14:solidFill>
                </w14:textFill>
              </w:rPr>
            </w:pPr>
          </w:p>
        </w:tc>
        <w:tc>
          <w:tcPr>
            <w:tcW w:w="992" w:type="dxa"/>
          </w:tcPr>
          <w:p w14:paraId="36EA1F96">
            <w:pPr>
              <w:spacing w:line="0" w:lineRule="atLeast"/>
              <w:rPr>
                <w:color w:val="000000" w:themeColor="text1"/>
                <w:szCs w:val="21"/>
                <w14:textFill>
                  <w14:solidFill>
                    <w14:schemeClr w14:val="tx1"/>
                  </w14:solidFill>
                </w14:textFill>
              </w:rPr>
            </w:pPr>
          </w:p>
        </w:tc>
        <w:tc>
          <w:tcPr>
            <w:tcW w:w="569" w:type="dxa"/>
          </w:tcPr>
          <w:p w14:paraId="4C6A9271">
            <w:pPr>
              <w:spacing w:line="0" w:lineRule="atLeast"/>
              <w:rPr>
                <w:color w:val="000000" w:themeColor="text1"/>
                <w:szCs w:val="21"/>
                <w14:textFill>
                  <w14:solidFill>
                    <w14:schemeClr w14:val="tx1"/>
                  </w14:solidFill>
                </w14:textFill>
              </w:rPr>
            </w:pPr>
          </w:p>
        </w:tc>
        <w:tc>
          <w:tcPr>
            <w:tcW w:w="1276" w:type="dxa"/>
          </w:tcPr>
          <w:p w14:paraId="5CD0A4C3">
            <w:pPr>
              <w:spacing w:line="0" w:lineRule="atLeas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西小村</w:t>
            </w:r>
          </w:p>
        </w:tc>
        <w:tc>
          <w:tcPr>
            <w:tcW w:w="567" w:type="dxa"/>
          </w:tcPr>
          <w:p w14:paraId="078BBD88">
            <w:pPr>
              <w:spacing w:line="0" w:lineRule="atLeast"/>
              <w:ind w:leftChars="-52" w:hanging="109" w:hangingChars="5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295</w:t>
            </w:r>
          </w:p>
        </w:tc>
        <w:tc>
          <w:tcPr>
            <w:tcW w:w="1415" w:type="dxa"/>
          </w:tcPr>
          <w:p w14:paraId="71B993A5">
            <w:pPr>
              <w:spacing w:line="0" w:lineRule="atLeast"/>
              <w:ind w:leftChars="-51" w:hanging="107" w:hangingChars="5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府琛花园</w:t>
            </w:r>
          </w:p>
        </w:tc>
        <w:tc>
          <w:tcPr>
            <w:tcW w:w="569" w:type="dxa"/>
          </w:tcPr>
          <w:p w14:paraId="249087FC">
            <w:pPr>
              <w:spacing w:line="0" w:lineRule="atLeast"/>
              <w:ind w:leftChars="-51" w:hanging="107" w:hangingChars="5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664</w:t>
            </w:r>
          </w:p>
        </w:tc>
      </w:tr>
      <w:tr w14:paraId="7D60E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vMerge w:val="continue"/>
          </w:tcPr>
          <w:p w14:paraId="5A326E20">
            <w:pPr>
              <w:spacing w:line="0" w:lineRule="atLeast"/>
              <w:rPr>
                <w:color w:val="000000" w:themeColor="text1"/>
                <w:szCs w:val="21"/>
                <w14:textFill>
                  <w14:solidFill>
                    <w14:schemeClr w14:val="tx1"/>
                  </w14:solidFill>
                </w14:textFill>
              </w:rPr>
            </w:pPr>
          </w:p>
        </w:tc>
        <w:tc>
          <w:tcPr>
            <w:tcW w:w="709" w:type="dxa"/>
            <w:vMerge w:val="continue"/>
          </w:tcPr>
          <w:p w14:paraId="29C35287">
            <w:pPr>
              <w:spacing w:line="0" w:lineRule="atLeast"/>
              <w:rPr>
                <w:color w:val="000000" w:themeColor="text1"/>
                <w:szCs w:val="21"/>
                <w14:textFill>
                  <w14:solidFill>
                    <w14:schemeClr w14:val="tx1"/>
                  </w14:solidFill>
                </w14:textFill>
              </w:rPr>
            </w:pPr>
          </w:p>
        </w:tc>
        <w:tc>
          <w:tcPr>
            <w:tcW w:w="709" w:type="dxa"/>
            <w:vMerge w:val="continue"/>
          </w:tcPr>
          <w:p w14:paraId="26701C9A">
            <w:pPr>
              <w:spacing w:line="0" w:lineRule="atLeast"/>
              <w:rPr>
                <w:color w:val="000000" w:themeColor="text1"/>
                <w:szCs w:val="21"/>
                <w14:textFill>
                  <w14:solidFill>
                    <w14:schemeClr w14:val="tx1"/>
                  </w14:solidFill>
                </w14:textFill>
              </w:rPr>
            </w:pPr>
          </w:p>
        </w:tc>
        <w:tc>
          <w:tcPr>
            <w:tcW w:w="992" w:type="dxa"/>
            <w:vMerge w:val="continue"/>
          </w:tcPr>
          <w:p w14:paraId="2EE5A1D7">
            <w:pPr>
              <w:spacing w:line="0" w:lineRule="atLeast"/>
              <w:rPr>
                <w:rFonts w:ascii="宋体" w:hAnsi="宋体"/>
                <w:color w:val="000000" w:themeColor="text1"/>
                <w:szCs w:val="21"/>
                <w14:textFill>
                  <w14:solidFill>
                    <w14:schemeClr w14:val="tx1"/>
                  </w14:solidFill>
                </w14:textFill>
              </w:rPr>
            </w:pPr>
          </w:p>
        </w:tc>
        <w:tc>
          <w:tcPr>
            <w:tcW w:w="992" w:type="dxa"/>
          </w:tcPr>
          <w:p w14:paraId="43A6CEBE">
            <w:pPr>
              <w:spacing w:line="0" w:lineRule="atLeast"/>
              <w:rPr>
                <w:color w:val="000000" w:themeColor="text1"/>
                <w:szCs w:val="21"/>
                <w14:textFill>
                  <w14:solidFill>
                    <w14:schemeClr w14:val="tx1"/>
                  </w14:solidFill>
                </w14:textFill>
              </w:rPr>
            </w:pPr>
          </w:p>
        </w:tc>
        <w:tc>
          <w:tcPr>
            <w:tcW w:w="569" w:type="dxa"/>
          </w:tcPr>
          <w:p w14:paraId="166ED296">
            <w:pPr>
              <w:spacing w:line="0" w:lineRule="atLeast"/>
              <w:rPr>
                <w:color w:val="000000" w:themeColor="text1"/>
                <w:szCs w:val="21"/>
                <w14:textFill>
                  <w14:solidFill>
                    <w14:schemeClr w14:val="tx1"/>
                  </w14:solidFill>
                </w14:textFill>
              </w:rPr>
            </w:pPr>
          </w:p>
        </w:tc>
        <w:tc>
          <w:tcPr>
            <w:tcW w:w="1276" w:type="dxa"/>
          </w:tcPr>
          <w:p w14:paraId="417D7A2D">
            <w:pPr>
              <w:spacing w:line="0" w:lineRule="atLeast"/>
              <w:ind w:left="1" w:leftChars="-51" w:hanging="108" w:hangingChars="51"/>
              <w:rPr>
                <w:rFonts w:ascii="黑体" w:eastAsia="黑体"/>
                <w:b/>
                <w:color w:val="000000" w:themeColor="text1"/>
                <w:szCs w:val="21"/>
                <w14:textFill>
                  <w14:solidFill>
                    <w14:schemeClr w14:val="tx1"/>
                  </w14:solidFill>
                </w14:textFill>
              </w:rPr>
            </w:pPr>
            <w:r>
              <w:rPr>
                <w:rFonts w:hint="eastAsia" w:ascii="黑体" w:eastAsia="黑体"/>
                <w:b/>
                <w:color w:val="000000" w:themeColor="text1"/>
                <w:szCs w:val="21"/>
                <w14:textFill>
                  <w14:solidFill>
                    <w14:schemeClr w14:val="tx1"/>
                  </w14:solidFill>
                </w14:textFill>
              </w:rPr>
              <w:t>典雅花园</w:t>
            </w:r>
          </w:p>
        </w:tc>
        <w:tc>
          <w:tcPr>
            <w:tcW w:w="567" w:type="dxa"/>
          </w:tcPr>
          <w:p w14:paraId="71C76639">
            <w:pPr>
              <w:spacing w:line="0" w:lineRule="atLeast"/>
              <w:ind w:leftChars="-51" w:hanging="107" w:hangingChars="5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1716</w:t>
            </w:r>
          </w:p>
        </w:tc>
        <w:tc>
          <w:tcPr>
            <w:tcW w:w="1415" w:type="dxa"/>
          </w:tcPr>
          <w:p w14:paraId="7B371B6A">
            <w:pPr>
              <w:spacing w:line="0" w:lineRule="atLeast"/>
              <w:ind w:left="1" w:leftChars="-51" w:hanging="108" w:hangingChars="51"/>
              <w:rPr>
                <w:rFonts w:ascii="黑体" w:eastAsia="黑体"/>
                <w:b/>
                <w:color w:val="000000" w:themeColor="text1"/>
                <w:szCs w:val="21"/>
                <w14:textFill>
                  <w14:solidFill>
                    <w14:schemeClr w14:val="tx1"/>
                  </w14:solidFill>
                </w14:textFill>
              </w:rPr>
            </w:pPr>
            <w:r>
              <w:rPr>
                <w:rFonts w:hint="eastAsia" w:ascii="黑体" w:eastAsia="黑体"/>
                <w:b/>
                <w:color w:val="000000" w:themeColor="text1"/>
                <w:szCs w:val="21"/>
                <w14:textFill>
                  <w14:solidFill>
                    <w14:schemeClr w14:val="tx1"/>
                  </w14:solidFill>
                </w14:textFill>
              </w:rPr>
              <w:t>阳光福地</w:t>
            </w:r>
          </w:p>
        </w:tc>
        <w:tc>
          <w:tcPr>
            <w:tcW w:w="569" w:type="dxa"/>
          </w:tcPr>
          <w:p w14:paraId="79D5308C">
            <w:pPr>
              <w:spacing w:line="0" w:lineRule="atLeast"/>
              <w:ind w:leftChars="-51" w:hanging="107" w:hangingChars="5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507</w:t>
            </w:r>
          </w:p>
        </w:tc>
      </w:tr>
      <w:tr w14:paraId="1F203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709" w:type="dxa"/>
            <w:vMerge w:val="continue"/>
          </w:tcPr>
          <w:p w14:paraId="0805A286">
            <w:pPr>
              <w:spacing w:line="0" w:lineRule="atLeast"/>
              <w:rPr>
                <w:color w:val="000000" w:themeColor="text1"/>
                <w:szCs w:val="21"/>
                <w14:textFill>
                  <w14:solidFill>
                    <w14:schemeClr w14:val="tx1"/>
                  </w14:solidFill>
                </w14:textFill>
              </w:rPr>
            </w:pPr>
          </w:p>
        </w:tc>
        <w:tc>
          <w:tcPr>
            <w:tcW w:w="709" w:type="dxa"/>
            <w:vMerge w:val="continue"/>
          </w:tcPr>
          <w:p w14:paraId="3A7B5AE8">
            <w:pPr>
              <w:spacing w:line="0" w:lineRule="atLeast"/>
              <w:rPr>
                <w:color w:val="000000" w:themeColor="text1"/>
                <w:szCs w:val="21"/>
                <w14:textFill>
                  <w14:solidFill>
                    <w14:schemeClr w14:val="tx1"/>
                  </w14:solidFill>
                </w14:textFill>
              </w:rPr>
            </w:pPr>
          </w:p>
        </w:tc>
        <w:tc>
          <w:tcPr>
            <w:tcW w:w="709" w:type="dxa"/>
            <w:vMerge w:val="continue"/>
          </w:tcPr>
          <w:p w14:paraId="05567D73">
            <w:pPr>
              <w:spacing w:line="0" w:lineRule="atLeast"/>
              <w:rPr>
                <w:color w:val="000000" w:themeColor="text1"/>
                <w:szCs w:val="21"/>
                <w14:textFill>
                  <w14:solidFill>
                    <w14:schemeClr w14:val="tx1"/>
                  </w14:solidFill>
                </w14:textFill>
              </w:rPr>
            </w:pPr>
          </w:p>
        </w:tc>
        <w:tc>
          <w:tcPr>
            <w:tcW w:w="992" w:type="dxa"/>
            <w:vMerge w:val="continue"/>
          </w:tcPr>
          <w:p w14:paraId="5F8B08D0">
            <w:pPr>
              <w:spacing w:line="0" w:lineRule="atLeast"/>
              <w:rPr>
                <w:rFonts w:ascii="宋体" w:hAnsi="宋体"/>
                <w:color w:val="000000" w:themeColor="text1"/>
                <w:szCs w:val="21"/>
                <w14:textFill>
                  <w14:solidFill>
                    <w14:schemeClr w14:val="tx1"/>
                  </w14:solidFill>
                </w14:textFill>
              </w:rPr>
            </w:pPr>
          </w:p>
        </w:tc>
        <w:tc>
          <w:tcPr>
            <w:tcW w:w="992" w:type="dxa"/>
          </w:tcPr>
          <w:p w14:paraId="5952C4CF">
            <w:pPr>
              <w:spacing w:line="0" w:lineRule="atLeast"/>
              <w:rPr>
                <w:color w:val="000000" w:themeColor="text1"/>
                <w:szCs w:val="21"/>
                <w14:textFill>
                  <w14:solidFill>
                    <w14:schemeClr w14:val="tx1"/>
                  </w14:solidFill>
                </w14:textFill>
              </w:rPr>
            </w:pPr>
          </w:p>
        </w:tc>
        <w:tc>
          <w:tcPr>
            <w:tcW w:w="569" w:type="dxa"/>
          </w:tcPr>
          <w:p w14:paraId="28CF95C9">
            <w:pPr>
              <w:spacing w:line="0" w:lineRule="atLeast"/>
              <w:rPr>
                <w:color w:val="000000" w:themeColor="text1"/>
                <w:szCs w:val="21"/>
                <w14:textFill>
                  <w14:solidFill>
                    <w14:schemeClr w14:val="tx1"/>
                  </w14:solidFill>
                </w14:textFill>
              </w:rPr>
            </w:pPr>
          </w:p>
        </w:tc>
        <w:tc>
          <w:tcPr>
            <w:tcW w:w="1276" w:type="dxa"/>
          </w:tcPr>
          <w:p w14:paraId="3FEE8DF8">
            <w:pPr>
              <w:spacing w:line="0" w:lineRule="atLeast"/>
              <w:rPr>
                <w:color w:val="000000" w:themeColor="text1"/>
                <w:szCs w:val="21"/>
                <w14:textFill>
                  <w14:solidFill>
                    <w14:schemeClr w14:val="tx1"/>
                  </w14:solidFill>
                </w14:textFill>
              </w:rPr>
            </w:pPr>
          </w:p>
        </w:tc>
        <w:tc>
          <w:tcPr>
            <w:tcW w:w="567" w:type="dxa"/>
          </w:tcPr>
          <w:p w14:paraId="2A46312E">
            <w:pPr>
              <w:spacing w:line="0" w:lineRule="atLeast"/>
              <w:rPr>
                <w:color w:val="000000" w:themeColor="text1"/>
                <w:szCs w:val="21"/>
                <w14:textFill>
                  <w14:solidFill>
                    <w14:schemeClr w14:val="tx1"/>
                  </w14:solidFill>
                </w14:textFill>
              </w:rPr>
            </w:pPr>
          </w:p>
        </w:tc>
        <w:tc>
          <w:tcPr>
            <w:tcW w:w="1415" w:type="dxa"/>
          </w:tcPr>
          <w:p w14:paraId="562B8218">
            <w:pPr>
              <w:spacing w:line="0" w:lineRule="atLeast"/>
              <w:ind w:leftChars="-51" w:hanging="107" w:hangingChars="5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山水和园</w:t>
            </w:r>
          </w:p>
        </w:tc>
        <w:tc>
          <w:tcPr>
            <w:tcW w:w="569" w:type="dxa"/>
          </w:tcPr>
          <w:p w14:paraId="01EA5C91">
            <w:pPr>
              <w:spacing w:line="0" w:lineRule="atLeast"/>
              <w:ind w:leftChars="-51" w:hanging="107" w:hangingChars="5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120</w:t>
            </w:r>
          </w:p>
        </w:tc>
      </w:tr>
      <w:tr w14:paraId="491E8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 w:hRule="atLeast"/>
        </w:trPr>
        <w:tc>
          <w:tcPr>
            <w:tcW w:w="709" w:type="dxa"/>
            <w:vMerge w:val="continue"/>
          </w:tcPr>
          <w:p w14:paraId="03801D9F">
            <w:pPr>
              <w:spacing w:line="0" w:lineRule="atLeast"/>
              <w:rPr>
                <w:color w:val="000000" w:themeColor="text1"/>
                <w:szCs w:val="21"/>
                <w14:textFill>
                  <w14:solidFill>
                    <w14:schemeClr w14:val="tx1"/>
                  </w14:solidFill>
                </w14:textFill>
              </w:rPr>
            </w:pPr>
          </w:p>
        </w:tc>
        <w:tc>
          <w:tcPr>
            <w:tcW w:w="709" w:type="dxa"/>
            <w:vMerge w:val="continue"/>
          </w:tcPr>
          <w:p w14:paraId="40071E81">
            <w:pPr>
              <w:spacing w:line="0" w:lineRule="atLeast"/>
              <w:rPr>
                <w:color w:val="000000" w:themeColor="text1"/>
                <w:szCs w:val="21"/>
                <w14:textFill>
                  <w14:solidFill>
                    <w14:schemeClr w14:val="tx1"/>
                  </w14:solidFill>
                </w14:textFill>
              </w:rPr>
            </w:pPr>
          </w:p>
        </w:tc>
        <w:tc>
          <w:tcPr>
            <w:tcW w:w="709" w:type="dxa"/>
            <w:vMerge w:val="continue"/>
          </w:tcPr>
          <w:p w14:paraId="74C69A99">
            <w:pPr>
              <w:spacing w:line="0" w:lineRule="atLeast"/>
              <w:rPr>
                <w:color w:val="000000" w:themeColor="text1"/>
                <w:szCs w:val="21"/>
                <w14:textFill>
                  <w14:solidFill>
                    <w14:schemeClr w14:val="tx1"/>
                  </w14:solidFill>
                </w14:textFill>
              </w:rPr>
            </w:pPr>
          </w:p>
        </w:tc>
        <w:tc>
          <w:tcPr>
            <w:tcW w:w="992" w:type="dxa"/>
            <w:vMerge w:val="continue"/>
          </w:tcPr>
          <w:p w14:paraId="0B05849E">
            <w:pPr>
              <w:spacing w:line="0" w:lineRule="atLeast"/>
              <w:rPr>
                <w:rFonts w:ascii="宋体" w:hAnsi="宋体"/>
                <w:color w:val="000000" w:themeColor="text1"/>
                <w:szCs w:val="21"/>
                <w14:textFill>
                  <w14:solidFill>
                    <w14:schemeClr w14:val="tx1"/>
                  </w14:solidFill>
                </w14:textFill>
              </w:rPr>
            </w:pPr>
          </w:p>
        </w:tc>
        <w:tc>
          <w:tcPr>
            <w:tcW w:w="992" w:type="dxa"/>
          </w:tcPr>
          <w:p w14:paraId="19480B26">
            <w:pPr>
              <w:spacing w:line="0" w:lineRule="atLeast"/>
              <w:rPr>
                <w:color w:val="000000" w:themeColor="text1"/>
                <w:szCs w:val="21"/>
                <w14:textFill>
                  <w14:solidFill>
                    <w14:schemeClr w14:val="tx1"/>
                  </w14:solidFill>
                </w14:textFill>
              </w:rPr>
            </w:pPr>
          </w:p>
        </w:tc>
        <w:tc>
          <w:tcPr>
            <w:tcW w:w="569" w:type="dxa"/>
          </w:tcPr>
          <w:p w14:paraId="3BA61531">
            <w:pPr>
              <w:spacing w:line="0" w:lineRule="atLeast"/>
              <w:rPr>
                <w:color w:val="000000" w:themeColor="text1"/>
                <w:szCs w:val="21"/>
                <w14:textFill>
                  <w14:solidFill>
                    <w14:schemeClr w14:val="tx1"/>
                  </w14:solidFill>
                </w14:textFill>
              </w:rPr>
            </w:pPr>
          </w:p>
        </w:tc>
        <w:tc>
          <w:tcPr>
            <w:tcW w:w="1276" w:type="dxa"/>
          </w:tcPr>
          <w:p w14:paraId="008842CB">
            <w:pPr>
              <w:spacing w:line="0" w:lineRule="atLeast"/>
              <w:rPr>
                <w:color w:val="000000" w:themeColor="text1"/>
                <w:szCs w:val="21"/>
                <w14:textFill>
                  <w14:solidFill>
                    <w14:schemeClr w14:val="tx1"/>
                  </w14:solidFill>
                </w14:textFill>
              </w:rPr>
            </w:pPr>
          </w:p>
        </w:tc>
        <w:tc>
          <w:tcPr>
            <w:tcW w:w="567" w:type="dxa"/>
          </w:tcPr>
          <w:p w14:paraId="1156646F">
            <w:pPr>
              <w:spacing w:line="0" w:lineRule="atLeast"/>
              <w:rPr>
                <w:color w:val="000000" w:themeColor="text1"/>
                <w:szCs w:val="21"/>
                <w14:textFill>
                  <w14:solidFill>
                    <w14:schemeClr w14:val="tx1"/>
                  </w14:solidFill>
                </w14:textFill>
              </w:rPr>
            </w:pPr>
          </w:p>
        </w:tc>
        <w:tc>
          <w:tcPr>
            <w:tcW w:w="1415" w:type="dxa"/>
          </w:tcPr>
          <w:p w14:paraId="2E5293F3">
            <w:pPr>
              <w:spacing w:line="0" w:lineRule="atLeast"/>
              <w:ind w:left="1" w:leftChars="-51" w:hanging="108" w:hangingChars="51"/>
              <w:rPr>
                <w:rFonts w:ascii="黑体" w:eastAsia="黑体"/>
                <w:b/>
                <w:color w:val="000000" w:themeColor="text1"/>
                <w:szCs w:val="21"/>
                <w14:textFill>
                  <w14:solidFill>
                    <w14:schemeClr w14:val="tx1"/>
                  </w14:solidFill>
                </w14:textFill>
              </w:rPr>
            </w:pPr>
            <w:r>
              <w:rPr>
                <w:rFonts w:hint="eastAsia" w:ascii="黑体" w:eastAsia="黑体"/>
                <w:b/>
                <w:color w:val="000000" w:themeColor="text1"/>
                <w:szCs w:val="21"/>
                <w14:textFill>
                  <w14:solidFill>
                    <w14:schemeClr w14:val="tx1"/>
                  </w14:solidFill>
                </w14:textFill>
              </w:rPr>
              <w:t>翡翠锦园</w:t>
            </w:r>
          </w:p>
        </w:tc>
        <w:tc>
          <w:tcPr>
            <w:tcW w:w="569" w:type="dxa"/>
          </w:tcPr>
          <w:p w14:paraId="6E983F68">
            <w:pPr>
              <w:spacing w:line="0" w:lineRule="atLeast"/>
              <w:ind w:leftChars="-51" w:hanging="107" w:hangingChars="5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969</w:t>
            </w:r>
          </w:p>
        </w:tc>
      </w:tr>
      <w:tr w14:paraId="63ECF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709" w:type="dxa"/>
            <w:vMerge w:val="continue"/>
          </w:tcPr>
          <w:p w14:paraId="71379974">
            <w:pPr>
              <w:spacing w:line="0" w:lineRule="atLeast"/>
              <w:rPr>
                <w:color w:val="000000" w:themeColor="text1"/>
                <w:szCs w:val="21"/>
                <w14:textFill>
                  <w14:solidFill>
                    <w14:schemeClr w14:val="tx1"/>
                  </w14:solidFill>
                </w14:textFill>
              </w:rPr>
            </w:pPr>
          </w:p>
        </w:tc>
        <w:tc>
          <w:tcPr>
            <w:tcW w:w="709" w:type="dxa"/>
            <w:vMerge w:val="continue"/>
          </w:tcPr>
          <w:p w14:paraId="078B9898">
            <w:pPr>
              <w:spacing w:line="0" w:lineRule="atLeast"/>
              <w:rPr>
                <w:color w:val="000000" w:themeColor="text1"/>
                <w:szCs w:val="21"/>
                <w14:textFill>
                  <w14:solidFill>
                    <w14:schemeClr w14:val="tx1"/>
                  </w14:solidFill>
                </w14:textFill>
              </w:rPr>
            </w:pPr>
          </w:p>
        </w:tc>
        <w:tc>
          <w:tcPr>
            <w:tcW w:w="709" w:type="dxa"/>
            <w:vMerge w:val="continue"/>
          </w:tcPr>
          <w:p w14:paraId="1A93CDD6">
            <w:pPr>
              <w:spacing w:line="0" w:lineRule="atLeast"/>
              <w:rPr>
                <w:color w:val="000000" w:themeColor="text1"/>
                <w:szCs w:val="21"/>
                <w14:textFill>
                  <w14:solidFill>
                    <w14:schemeClr w14:val="tx1"/>
                  </w14:solidFill>
                </w14:textFill>
              </w:rPr>
            </w:pPr>
          </w:p>
        </w:tc>
        <w:tc>
          <w:tcPr>
            <w:tcW w:w="992" w:type="dxa"/>
            <w:vMerge w:val="continue"/>
          </w:tcPr>
          <w:p w14:paraId="13B2ADCF">
            <w:pPr>
              <w:spacing w:line="0" w:lineRule="atLeast"/>
              <w:rPr>
                <w:rFonts w:ascii="宋体" w:hAnsi="宋体"/>
                <w:color w:val="000000" w:themeColor="text1"/>
                <w:szCs w:val="21"/>
                <w14:textFill>
                  <w14:solidFill>
                    <w14:schemeClr w14:val="tx1"/>
                  </w14:solidFill>
                </w14:textFill>
              </w:rPr>
            </w:pPr>
          </w:p>
        </w:tc>
        <w:tc>
          <w:tcPr>
            <w:tcW w:w="992" w:type="dxa"/>
          </w:tcPr>
          <w:p w14:paraId="20AD7916">
            <w:pPr>
              <w:spacing w:line="0" w:lineRule="atLeast"/>
              <w:rPr>
                <w:color w:val="000000" w:themeColor="text1"/>
                <w:szCs w:val="21"/>
                <w14:textFill>
                  <w14:solidFill>
                    <w14:schemeClr w14:val="tx1"/>
                  </w14:solidFill>
                </w14:textFill>
              </w:rPr>
            </w:pPr>
          </w:p>
        </w:tc>
        <w:tc>
          <w:tcPr>
            <w:tcW w:w="569" w:type="dxa"/>
          </w:tcPr>
          <w:p w14:paraId="61994F94">
            <w:pPr>
              <w:spacing w:line="0" w:lineRule="atLeast"/>
              <w:rPr>
                <w:color w:val="000000" w:themeColor="text1"/>
                <w:szCs w:val="21"/>
                <w14:textFill>
                  <w14:solidFill>
                    <w14:schemeClr w14:val="tx1"/>
                  </w14:solidFill>
                </w14:textFill>
              </w:rPr>
            </w:pPr>
          </w:p>
        </w:tc>
        <w:tc>
          <w:tcPr>
            <w:tcW w:w="1276" w:type="dxa"/>
          </w:tcPr>
          <w:p w14:paraId="15A8DEEF">
            <w:pPr>
              <w:spacing w:line="0" w:lineRule="atLeast"/>
              <w:rPr>
                <w:color w:val="000000" w:themeColor="text1"/>
                <w:szCs w:val="21"/>
                <w14:textFill>
                  <w14:solidFill>
                    <w14:schemeClr w14:val="tx1"/>
                  </w14:solidFill>
                </w14:textFill>
              </w:rPr>
            </w:pPr>
          </w:p>
        </w:tc>
        <w:tc>
          <w:tcPr>
            <w:tcW w:w="567" w:type="dxa"/>
          </w:tcPr>
          <w:p w14:paraId="468D77D5">
            <w:pPr>
              <w:spacing w:line="0" w:lineRule="atLeast"/>
              <w:rPr>
                <w:color w:val="000000" w:themeColor="text1"/>
                <w:szCs w:val="21"/>
                <w14:textFill>
                  <w14:solidFill>
                    <w14:schemeClr w14:val="tx1"/>
                  </w14:solidFill>
                </w14:textFill>
              </w:rPr>
            </w:pPr>
          </w:p>
        </w:tc>
        <w:tc>
          <w:tcPr>
            <w:tcW w:w="1415" w:type="dxa"/>
          </w:tcPr>
          <w:p w14:paraId="60B50E2C">
            <w:pPr>
              <w:spacing w:line="0" w:lineRule="atLeast"/>
              <w:ind w:left="1" w:leftChars="-51" w:right="-107" w:rightChars="-51" w:hanging="108" w:hangingChars="51"/>
              <w:rPr>
                <w:rFonts w:ascii="黑体" w:eastAsia="黑体"/>
                <w:b/>
                <w:color w:val="000000" w:themeColor="text1"/>
                <w:szCs w:val="21"/>
                <w14:textFill>
                  <w14:solidFill>
                    <w14:schemeClr w14:val="tx1"/>
                  </w14:solidFill>
                </w14:textFill>
              </w:rPr>
            </w:pPr>
            <w:r>
              <w:rPr>
                <w:rFonts w:hint="eastAsia" w:ascii="黑体" w:eastAsia="黑体"/>
                <w:b/>
                <w:color w:val="000000" w:themeColor="text1"/>
                <w:szCs w:val="21"/>
                <w14:textFill>
                  <w14:solidFill>
                    <w14:schemeClr w14:val="tx1"/>
                  </w14:solidFill>
                </w14:textFill>
              </w:rPr>
              <w:t>新城御景湾</w:t>
            </w:r>
          </w:p>
        </w:tc>
        <w:tc>
          <w:tcPr>
            <w:tcW w:w="569" w:type="dxa"/>
          </w:tcPr>
          <w:p w14:paraId="2131B692">
            <w:pPr>
              <w:spacing w:line="0" w:lineRule="atLeast"/>
              <w:ind w:leftChars="-51" w:hanging="107" w:hangingChars="5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778</w:t>
            </w:r>
          </w:p>
        </w:tc>
      </w:tr>
      <w:tr w14:paraId="54404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tcPr>
          <w:p w14:paraId="67D25723">
            <w:pPr>
              <w:spacing w:line="0" w:lineRule="atLeas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巢湖</w:t>
            </w:r>
          </w:p>
        </w:tc>
        <w:tc>
          <w:tcPr>
            <w:tcW w:w="709" w:type="dxa"/>
          </w:tcPr>
          <w:p w14:paraId="37BEEC55">
            <w:pPr>
              <w:spacing w:line="0" w:lineRule="atLeas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709" w:type="dxa"/>
          </w:tcPr>
          <w:p w14:paraId="3D20A198">
            <w:pPr>
              <w:spacing w:line="0" w:lineRule="atLeast"/>
              <w:ind w:leftChars="-51" w:hanging="107" w:hangingChars="5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11000</w:t>
            </w:r>
          </w:p>
        </w:tc>
        <w:tc>
          <w:tcPr>
            <w:tcW w:w="992" w:type="dxa"/>
          </w:tcPr>
          <w:p w14:paraId="0D5106D7">
            <w:pPr>
              <w:spacing w:line="0" w:lineRule="atLeas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11000</w:t>
            </w:r>
          </w:p>
        </w:tc>
        <w:tc>
          <w:tcPr>
            <w:tcW w:w="992" w:type="dxa"/>
          </w:tcPr>
          <w:p w14:paraId="721236B2">
            <w:pPr>
              <w:spacing w:line="0" w:lineRule="atLeast"/>
              <w:ind w:leftChars="-51" w:right="-107" w:rightChars="-51" w:hanging="107" w:hangingChars="5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泰山新村</w:t>
            </w:r>
          </w:p>
        </w:tc>
        <w:tc>
          <w:tcPr>
            <w:tcW w:w="569" w:type="dxa"/>
          </w:tcPr>
          <w:p w14:paraId="1E29B536">
            <w:pPr>
              <w:spacing w:line="0" w:lineRule="atLeast"/>
              <w:ind w:leftChars="-51" w:hanging="107" w:hangingChars="5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2836</w:t>
            </w:r>
          </w:p>
        </w:tc>
        <w:tc>
          <w:tcPr>
            <w:tcW w:w="1276" w:type="dxa"/>
          </w:tcPr>
          <w:p w14:paraId="084AD9D1">
            <w:pPr>
              <w:spacing w:line="0" w:lineRule="atLeast"/>
              <w:ind w:leftChars="-51" w:right="-107" w:rightChars="-51" w:hanging="107" w:hangingChars="5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太湖明珠苑</w:t>
            </w:r>
          </w:p>
        </w:tc>
        <w:tc>
          <w:tcPr>
            <w:tcW w:w="567" w:type="dxa"/>
          </w:tcPr>
          <w:p w14:paraId="1C75591A">
            <w:pPr>
              <w:spacing w:line="0" w:lineRule="atLeast"/>
              <w:ind w:leftChars="-51" w:hanging="107" w:hangingChars="5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2939</w:t>
            </w:r>
          </w:p>
        </w:tc>
        <w:tc>
          <w:tcPr>
            <w:tcW w:w="1415" w:type="dxa"/>
          </w:tcPr>
          <w:p w14:paraId="2E79CBB7">
            <w:pPr>
              <w:spacing w:line="0" w:lineRule="atLeas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巢丰苑</w:t>
            </w:r>
          </w:p>
        </w:tc>
        <w:tc>
          <w:tcPr>
            <w:tcW w:w="569" w:type="dxa"/>
          </w:tcPr>
          <w:p w14:paraId="3C27DE70">
            <w:pPr>
              <w:spacing w:line="0" w:lineRule="atLeast"/>
              <w:ind w:left="-107" w:leftChars="-5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301</w:t>
            </w:r>
          </w:p>
        </w:tc>
      </w:tr>
      <w:tr w14:paraId="674D9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709" w:type="dxa"/>
            <w:vMerge w:val="restart"/>
          </w:tcPr>
          <w:p w14:paraId="20915DB1">
            <w:pPr>
              <w:spacing w:line="0" w:lineRule="atLeas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府田</w:t>
            </w:r>
          </w:p>
        </w:tc>
        <w:tc>
          <w:tcPr>
            <w:tcW w:w="709" w:type="dxa"/>
            <w:vMerge w:val="restart"/>
          </w:tcPr>
          <w:p w14:paraId="65F8B7BA">
            <w:pPr>
              <w:spacing w:line="0" w:lineRule="atLeas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2.3</w:t>
            </w:r>
          </w:p>
        </w:tc>
        <w:tc>
          <w:tcPr>
            <w:tcW w:w="709" w:type="dxa"/>
            <w:vMerge w:val="restart"/>
          </w:tcPr>
          <w:p w14:paraId="07068300">
            <w:pPr>
              <w:spacing w:line="0" w:lineRule="atLeast"/>
              <w:ind w:right="-107" w:rightChars="-51"/>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&gt;</w:t>
            </w:r>
            <w:r>
              <w:rPr>
                <w:rFonts w:hint="eastAsia"/>
                <w:color w:val="000000" w:themeColor="text1"/>
                <w:szCs w:val="21"/>
                <w14:textFill>
                  <w14:solidFill>
                    <w14:schemeClr w14:val="tx1"/>
                  </w14:solidFill>
                </w14:textFill>
              </w:rPr>
              <w:t>8400</w:t>
            </w:r>
          </w:p>
        </w:tc>
        <w:tc>
          <w:tcPr>
            <w:tcW w:w="992" w:type="dxa"/>
            <w:vMerge w:val="restart"/>
          </w:tcPr>
          <w:p w14:paraId="5CB450A4">
            <w:pPr>
              <w:spacing w:line="0" w:lineRule="atLeast"/>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&gt;</w:t>
            </w:r>
            <w:r>
              <w:rPr>
                <w:rFonts w:hint="eastAsia"/>
                <w:color w:val="000000" w:themeColor="text1"/>
                <w:szCs w:val="21"/>
                <w14:textFill>
                  <w14:solidFill>
                    <w14:schemeClr w14:val="tx1"/>
                  </w14:solidFill>
                </w14:textFill>
              </w:rPr>
              <w:t>11000</w:t>
            </w:r>
          </w:p>
        </w:tc>
        <w:tc>
          <w:tcPr>
            <w:tcW w:w="992" w:type="dxa"/>
          </w:tcPr>
          <w:p w14:paraId="7E6A25F2">
            <w:pPr>
              <w:spacing w:line="0" w:lineRule="atLeast"/>
              <w:rPr>
                <w:color w:val="000000" w:themeColor="text1"/>
                <w:szCs w:val="21"/>
                <w14:textFill>
                  <w14:solidFill>
                    <w14:schemeClr w14:val="tx1"/>
                  </w14:solidFill>
                </w14:textFill>
              </w:rPr>
            </w:pPr>
          </w:p>
        </w:tc>
        <w:tc>
          <w:tcPr>
            <w:tcW w:w="569" w:type="dxa"/>
          </w:tcPr>
          <w:p w14:paraId="78CBC51E">
            <w:pPr>
              <w:spacing w:line="0" w:lineRule="atLeast"/>
              <w:rPr>
                <w:color w:val="000000" w:themeColor="text1"/>
                <w:szCs w:val="21"/>
                <w14:textFill>
                  <w14:solidFill>
                    <w14:schemeClr w14:val="tx1"/>
                  </w14:solidFill>
                </w14:textFill>
              </w:rPr>
            </w:pPr>
          </w:p>
        </w:tc>
        <w:tc>
          <w:tcPr>
            <w:tcW w:w="1276" w:type="dxa"/>
          </w:tcPr>
          <w:p w14:paraId="5B9B12D1">
            <w:pPr>
              <w:spacing w:line="0" w:lineRule="atLeas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绿洲家园</w:t>
            </w:r>
          </w:p>
        </w:tc>
        <w:tc>
          <w:tcPr>
            <w:tcW w:w="567" w:type="dxa"/>
          </w:tcPr>
          <w:p w14:paraId="4496B0C6">
            <w:pPr>
              <w:spacing w:line="0" w:lineRule="atLeast"/>
              <w:ind w:leftChars="-51" w:hanging="107" w:hangingChars="5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1343</w:t>
            </w:r>
          </w:p>
        </w:tc>
        <w:tc>
          <w:tcPr>
            <w:tcW w:w="1415" w:type="dxa"/>
          </w:tcPr>
          <w:p w14:paraId="745A54B7">
            <w:pPr>
              <w:spacing w:line="0" w:lineRule="atLeas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世府邻里</w:t>
            </w:r>
          </w:p>
        </w:tc>
        <w:tc>
          <w:tcPr>
            <w:tcW w:w="569" w:type="dxa"/>
          </w:tcPr>
          <w:p w14:paraId="766878FC">
            <w:pPr>
              <w:spacing w:line="0" w:lineRule="atLeast"/>
              <w:ind w:leftChars="-51" w:hanging="107" w:hangingChars="5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436</w:t>
            </w:r>
          </w:p>
        </w:tc>
      </w:tr>
      <w:tr w14:paraId="77EE7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709" w:type="dxa"/>
            <w:vMerge w:val="continue"/>
          </w:tcPr>
          <w:p w14:paraId="6F2A6CA8">
            <w:pPr>
              <w:spacing w:line="0" w:lineRule="atLeast"/>
              <w:rPr>
                <w:color w:val="000000" w:themeColor="text1"/>
                <w:szCs w:val="21"/>
                <w14:textFill>
                  <w14:solidFill>
                    <w14:schemeClr w14:val="tx1"/>
                  </w14:solidFill>
                </w14:textFill>
              </w:rPr>
            </w:pPr>
          </w:p>
        </w:tc>
        <w:tc>
          <w:tcPr>
            <w:tcW w:w="709" w:type="dxa"/>
            <w:vMerge w:val="continue"/>
          </w:tcPr>
          <w:p w14:paraId="5C3C9341">
            <w:pPr>
              <w:spacing w:line="0" w:lineRule="atLeast"/>
              <w:rPr>
                <w:color w:val="000000" w:themeColor="text1"/>
                <w:szCs w:val="21"/>
                <w14:textFill>
                  <w14:solidFill>
                    <w14:schemeClr w14:val="tx1"/>
                  </w14:solidFill>
                </w14:textFill>
              </w:rPr>
            </w:pPr>
          </w:p>
        </w:tc>
        <w:tc>
          <w:tcPr>
            <w:tcW w:w="709" w:type="dxa"/>
            <w:vMerge w:val="continue"/>
          </w:tcPr>
          <w:p w14:paraId="06EF8062">
            <w:pPr>
              <w:spacing w:line="0" w:lineRule="atLeast"/>
              <w:rPr>
                <w:color w:val="000000" w:themeColor="text1"/>
                <w:szCs w:val="21"/>
                <w14:textFill>
                  <w14:solidFill>
                    <w14:schemeClr w14:val="tx1"/>
                  </w14:solidFill>
                </w14:textFill>
              </w:rPr>
            </w:pPr>
          </w:p>
        </w:tc>
        <w:tc>
          <w:tcPr>
            <w:tcW w:w="992" w:type="dxa"/>
            <w:vMerge w:val="continue"/>
          </w:tcPr>
          <w:p w14:paraId="36BF79A6">
            <w:pPr>
              <w:spacing w:line="0" w:lineRule="atLeast"/>
              <w:rPr>
                <w:color w:val="000000" w:themeColor="text1"/>
                <w:szCs w:val="21"/>
                <w14:textFill>
                  <w14:solidFill>
                    <w14:schemeClr w14:val="tx1"/>
                  </w14:solidFill>
                </w14:textFill>
              </w:rPr>
            </w:pPr>
          </w:p>
        </w:tc>
        <w:tc>
          <w:tcPr>
            <w:tcW w:w="992" w:type="dxa"/>
          </w:tcPr>
          <w:p w14:paraId="16089E2F">
            <w:pPr>
              <w:spacing w:line="0" w:lineRule="atLeast"/>
              <w:rPr>
                <w:color w:val="000000" w:themeColor="text1"/>
                <w:szCs w:val="21"/>
                <w14:textFill>
                  <w14:solidFill>
                    <w14:schemeClr w14:val="tx1"/>
                  </w14:solidFill>
                </w14:textFill>
              </w:rPr>
            </w:pPr>
          </w:p>
        </w:tc>
        <w:tc>
          <w:tcPr>
            <w:tcW w:w="569" w:type="dxa"/>
          </w:tcPr>
          <w:p w14:paraId="4B64DE3E">
            <w:pPr>
              <w:spacing w:line="0" w:lineRule="atLeast"/>
              <w:rPr>
                <w:color w:val="000000" w:themeColor="text1"/>
                <w:szCs w:val="21"/>
                <w14:textFill>
                  <w14:solidFill>
                    <w14:schemeClr w14:val="tx1"/>
                  </w14:solidFill>
                </w14:textFill>
              </w:rPr>
            </w:pPr>
          </w:p>
        </w:tc>
        <w:tc>
          <w:tcPr>
            <w:tcW w:w="1276" w:type="dxa"/>
          </w:tcPr>
          <w:p w14:paraId="413C3B6E">
            <w:pPr>
              <w:spacing w:line="0" w:lineRule="atLeast"/>
              <w:rPr>
                <w:rFonts w:ascii="黑体" w:eastAsia="黑体"/>
                <w:b/>
                <w:color w:val="000000" w:themeColor="text1"/>
                <w:szCs w:val="21"/>
                <w14:textFill>
                  <w14:solidFill>
                    <w14:schemeClr w14:val="tx1"/>
                  </w14:solidFill>
                </w14:textFill>
              </w:rPr>
            </w:pPr>
            <w:r>
              <w:rPr>
                <w:rFonts w:hint="eastAsia" w:ascii="黑体" w:eastAsia="黑体"/>
                <w:b/>
                <w:color w:val="000000" w:themeColor="text1"/>
                <w:szCs w:val="21"/>
                <w14:textFill>
                  <w14:solidFill>
                    <w14:schemeClr w14:val="tx1"/>
                  </w14:solidFill>
                </w14:textFill>
              </w:rPr>
              <w:t>中央花园</w:t>
            </w:r>
          </w:p>
        </w:tc>
        <w:tc>
          <w:tcPr>
            <w:tcW w:w="567" w:type="dxa"/>
          </w:tcPr>
          <w:p w14:paraId="3E641879">
            <w:pPr>
              <w:spacing w:line="0" w:lineRule="atLeast"/>
              <w:ind w:leftChars="-51" w:hanging="107" w:hangingChars="5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3245</w:t>
            </w:r>
          </w:p>
        </w:tc>
        <w:tc>
          <w:tcPr>
            <w:tcW w:w="1415" w:type="dxa"/>
          </w:tcPr>
          <w:p w14:paraId="3855473B">
            <w:pPr>
              <w:spacing w:line="0" w:lineRule="atLeast"/>
              <w:rPr>
                <w:color w:val="000000" w:themeColor="text1"/>
                <w:szCs w:val="21"/>
                <w14:textFill>
                  <w14:solidFill>
                    <w14:schemeClr w14:val="tx1"/>
                  </w14:solidFill>
                </w14:textFill>
              </w:rPr>
            </w:pPr>
          </w:p>
        </w:tc>
        <w:tc>
          <w:tcPr>
            <w:tcW w:w="569" w:type="dxa"/>
          </w:tcPr>
          <w:p w14:paraId="0071ED55">
            <w:pPr>
              <w:spacing w:line="0" w:lineRule="atLeast"/>
              <w:rPr>
                <w:color w:val="000000" w:themeColor="text1"/>
                <w:szCs w:val="21"/>
                <w14:textFill>
                  <w14:solidFill>
                    <w14:schemeClr w14:val="tx1"/>
                  </w14:solidFill>
                </w14:textFill>
              </w:rPr>
            </w:pPr>
          </w:p>
        </w:tc>
      </w:tr>
      <w:tr w14:paraId="55902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709" w:type="dxa"/>
            <w:vMerge w:val="restart"/>
          </w:tcPr>
          <w:p w14:paraId="084AC478">
            <w:pPr>
              <w:spacing w:line="0" w:lineRule="atLeas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府成</w:t>
            </w:r>
          </w:p>
        </w:tc>
        <w:tc>
          <w:tcPr>
            <w:tcW w:w="709" w:type="dxa"/>
            <w:vMerge w:val="restart"/>
          </w:tcPr>
          <w:p w14:paraId="2C15F3A8">
            <w:pPr>
              <w:spacing w:line="0" w:lineRule="atLeas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709" w:type="dxa"/>
            <w:vMerge w:val="restart"/>
          </w:tcPr>
          <w:p w14:paraId="1A536BDF">
            <w:pPr>
              <w:spacing w:line="0" w:lineRule="atLeast"/>
              <w:ind w:leftChars="-51" w:right="-107" w:rightChars="-51" w:hanging="107" w:hangingChars="51"/>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&gt;</w:t>
            </w:r>
            <w:r>
              <w:rPr>
                <w:rFonts w:hint="eastAsia"/>
                <w:color w:val="000000" w:themeColor="text1"/>
                <w:szCs w:val="21"/>
                <w14:textFill>
                  <w14:solidFill>
                    <w14:schemeClr w14:val="tx1"/>
                  </w14:solidFill>
                </w14:textFill>
              </w:rPr>
              <w:t>11000</w:t>
            </w:r>
          </w:p>
        </w:tc>
        <w:tc>
          <w:tcPr>
            <w:tcW w:w="992" w:type="dxa"/>
            <w:vMerge w:val="restart"/>
          </w:tcPr>
          <w:p w14:paraId="018AE92A">
            <w:pPr>
              <w:spacing w:line="0" w:lineRule="atLeas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近20000</w:t>
            </w:r>
          </w:p>
        </w:tc>
        <w:tc>
          <w:tcPr>
            <w:tcW w:w="992" w:type="dxa"/>
          </w:tcPr>
          <w:p w14:paraId="0AB773D7">
            <w:pPr>
              <w:spacing w:line="0" w:lineRule="atLeast"/>
              <w:rPr>
                <w:color w:val="000000" w:themeColor="text1"/>
                <w:szCs w:val="21"/>
                <w14:textFill>
                  <w14:solidFill>
                    <w14:schemeClr w14:val="tx1"/>
                  </w14:solidFill>
                </w14:textFill>
              </w:rPr>
            </w:pPr>
          </w:p>
        </w:tc>
        <w:tc>
          <w:tcPr>
            <w:tcW w:w="569" w:type="dxa"/>
          </w:tcPr>
          <w:p w14:paraId="5013550B">
            <w:pPr>
              <w:spacing w:line="0" w:lineRule="atLeast"/>
              <w:rPr>
                <w:color w:val="000000" w:themeColor="text1"/>
                <w:szCs w:val="21"/>
                <w14:textFill>
                  <w14:solidFill>
                    <w14:schemeClr w14:val="tx1"/>
                  </w14:solidFill>
                </w14:textFill>
              </w:rPr>
            </w:pPr>
          </w:p>
        </w:tc>
        <w:tc>
          <w:tcPr>
            <w:tcW w:w="1276" w:type="dxa"/>
          </w:tcPr>
          <w:p w14:paraId="70BB7453">
            <w:pPr>
              <w:spacing w:line="0" w:lineRule="atLeas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百草园</w:t>
            </w:r>
          </w:p>
        </w:tc>
        <w:tc>
          <w:tcPr>
            <w:tcW w:w="567" w:type="dxa"/>
          </w:tcPr>
          <w:p w14:paraId="4C2FCA2C">
            <w:pPr>
              <w:spacing w:line="0" w:lineRule="atLeast"/>
              <w:ind w:leftChars="-51" w:hanging="107" w:hangingChars="5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3578</w:t>
            </w:r>
          </w:p>
        </w:tc>
        <w:tc>
          <w:tcPr>
            <w:tcW w:w="1415" w:type="dxa"/>
          </w:tcPr>
          <w:p w14:paraId="5FB73ECA">
            <w:pPr>
              <w:spacing w:line="0" w:lineRule="atLeas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太湖花园</w:t>
            </w:r>
          </w:p>
        </w:tc>
        <w:tc>
          <w:tcPr>
            <w:tcW w:w="569" w:type="dxa"/>
          </w:tcPr>
          <w:p w14:paraId="756A8CC3">
            <w:pPr>
              <w:spacing w:line="0" w:lineRule="atLeast"/>
              <w:ind w:leftChars="-51" w:hanging="107" w:hangingChars="5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391</w:t>
            </w:r>
          </w:p>
        </w:tc>
      </w:tr>
      <w:tr w14:paraId="1FD49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continue"/>
          </w:tcPr>
          <w:p w14:paraId="79FDAE9C">
            <w:pPr>
              <w:spacing w:line="0" w:lineRule="atLeast"/>
              <w:rPr>
                <w:color w:val="000000" w:themeColor="text1"/>
                <w:szCs w:val="21"/>
                <w14:textFill>
                  <w14:solidFill>
                    <w14:schemeClr w14:val="tx1"/>
                  </w14:solidFill>
                </w14:textFill>
              </w:rPr>
            </w:pPr>
          </w:p>
        </w:tc>
        <w:tc>
          <w:tcPr>
            <w:tcW w:w="709" w:type="dxa"/>
            <w:vMerge w:val="continue"/>
          </w:tcPr>
          <w:p w14:paraId="2231E089">
            <w:pPr>
              <w:spacing w:line="0" w:lineRule="atLeast"/>
              <w:rPr>
                <w:color w:val="000000" w:themeColor="text1"/>
                <w:szCs w:val="21"/>
                <w14:textFill>
                  <w14:solidFill>
                    <w14:schemeClr w14:val="tx1"/>
                  </w14:solidFill>
                </w14:textFill>
              </w:rPr>
            </w:pPr>
          </w:p>
        </w:tc>
        <w:tc>
          <w:tcPr>
            <w:tcW w:w="709" w:type="dxa"/>
            <w:vMerge w:val="continue"/>
          </w:tcPr>
          <w:p w14:paraId="79E2B89E">
            <w:pPr>
              <w:spacing w:line="0" w:lineRule="atLeast"/>
              <w:rPr>
                <w:color w:val="000000" w:themeColor="text1"/>
                <w:szCs w:val="21"/>
                <w14:textFill>
                  <w14:solidFill>
                    <w14:schemeClr w14:val="tx1"/>
                  </w14:solidFill>
                </w14:textFill>
              </w:rPr>
            </w:pPr>
          </w:p>
        </w:tc>
        <w:tc>
          <w:tcPr>
            <w:tcW w:w="992" w:type="dxa"/>
            <w:vMerge w:val="continue"/>
          </w:tcPr>
          <w:p w14:paraId="0389BF5C">
            <w:pPr>
              <w:spacing w:line="0" w:lineRule="atLeast"/>
              <w:rPr>
                <w:color w:val="000000" w:themeColor="text1"/>
                <w:szCs w:val="21"/>
                <w14:textFill>
                  <w14:solidFill>
                    <w14:schemeClr w14:val="tx1"/>
                  </w14:solidFill>
                </w14:textFill>
              </w:rPr>
            </w:pPr>
          </w:p>
        </w:tc>
        <w:tc>
          <w:tcPr>
            <w:tcW w:w="992" w:type="dxa"/>
          </w:tcPr>
          <w:p w14:paraId="6AC6FED0">
            <w:pPr>
              <w:spacing w:line="0" w:lineRule="atLeast"/>
              <w:rPr>
                <w:color w:val="000000" w:themeColor="text1"/>
                <w:szCs w:val="21"/>
                <w14:textFill>
                  <w14:solidFill>
                    <w14:schemeClr w14:val="tx1"/>
                  </w14:solidFill>
                </w14:textFill>
              </w:rPr>
            </w:pPr>
          </w:p>
        </w:tc>
        <w:tc>
          <w:tcPr>
            <w:tcW w:w="569" w:type="dxa"/>
          </w:tcPr>
          <w:p w14:paraId="40E82CD9">
            <w:pPr>
              <w:spacing w:line="0" w:lineRule="atLeast"/>
              <w:rPr>
                <w:color w:val="000000" w:themeColor="text1"/>
                <w:szCs w:val="21"/>
                <w14:textFill>
                  <w14:solidFill>
                    <w14:schemeClr w14:val="tx1"/>
                  </w14:solidFill>
                </w14:textFill>
              </w:rPr>
            </w:pPr>
          </w:p>
        </w:tc>
        <w:tc>
          <w:tcPr>
            <w:tcW w:w="1276" w:type="dxa"/>
          </w:tcPr>
          <w:p w14:paraId="735D4008">
            <w:pPr>
              <w:spacing w:line="0" w:lineRule="atLeas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大诚苑</w:t>
            </w:r>
          </w:p>
        </w:tc>
        <w:tc>
          <w:tcPr>
            <w:tcW w:w="567" w:type="dxa"/>
          </w:tcPr>
          <w:p w14:paraId="1B19222E">
            <w:pPr>
              <w:spacing w:line="0" w:lineRule="atLeast"/>
              <w:ind w:leftChars="-52" w:hanging="109" w:hangingChars="5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732</w:t>
            </w:r>
          </w:p>
        </w:tc>
        <w:tc>
          <w:tcPr>
            <w:tcW w:w="1415" w:type="dxa"/>
          </w:tcPr>
          <w:p w14:paraId="67409ADF">
            <w:pPr>
              <w:spacing w:line="0" w:lineRule="atLeas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府翰苑</w:t>
            </w:r>
          </w:p>
        </w:tc>
        <w:tc>
          <w:tcPr>
            <w:tcW w:w="569" w:type="dxa"/>
          </w:tcPr>
          <w:p w14:paraId="687BE6F4">
            <w:pPr>
              <w:spacing w:line="0" w:lineRule="atLeast"/>
              <w:ind w:leftChars="-51" w:hanging="107" w:hangingChars="5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2707</w:t>
            </w:r>
          </w:p>
        </w:tc>
      </w:tr>
      <w:tr w14:paraId="1615E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09" w:type="dxa"/>
            <w:vMerge w:val="continue"/>
          </w:tcPr>
          <w:p w14:paraId="5ACAE923">
            <w:pPr>
              <w:spacing w:line="0" w:lineRule="atLeast"/>
              <w:rPr>
                <w:color w:val="000000" w:themeColor="text1"/>
                <w:szCs w:val="21"/>
                <w14:textFill>
                  <w14:solidFill>
                    <w14:schemeClr w14:val="tx1"/>
                  </w14:solidFill>
                </w14:textFill>
              </w:rPr>
            </w:pPr>
          </w:p>
        </w:tc>
        <w:tc>
          <w:tcPr>
            <w:tcW w:w="709" w:type="dxa"/>
            <w:vMerge w:val="continue"/>
          </w:tcPr>
          <w:p w14:paraId="32C6D43E">
            <w:pPr>
              <w:spacing w:line="0" w:lineRule="atLeast"/>
              <w:rPr>
                <w:color w:val="000000" w:themeColor="text1"/>
                <w:szCs w:val="21"/>
                <w14:textFill>
                  <w14:solidFill>
                    <w14:schemeClr w14:val="tx1"/>
                  </w14:solidFill>
                </w14:textFill>
              </w:rPr>
            </w:pPr>
          </w:p>
        </w:tc>
        <w:tc>
          <w:tcPr>
            <w:tcW w:w="709" w:type="dxa"/>
            <w:vMerge w:val="continue"/>
          </w:tcPr>
          <w:p w14:paraId="5E058E7A">
            <w:pPr>
              <w:spacing w:line="0" w:lineRule="atLeast"/>
              <w:rPr>
                <w:color w:val="000000" w:themeColor="text1"/>
                <w:szCs w:val="21"/>
                <w14:textFill>
                  <w14:solidFill>
                    <w14:schemeClr w14:val="tx1"/>
                  </w14:solidFill>
                </w14:textFill>
              </w:rPr>
            </w:pPr>
          </w:p>
        </w:tc>
        <w:tc>
          <w:tcPr>
            <w:tcW w:w="992" w:type="dxa"/>
            <w:vMerge w:val="continue"/>
          </w:tcPr>
          <w:p w14:paraId="5D65169D">
            <w:pPr>
              <w:spacing w:line="0" w:lineRule="atLeast"/>
              <w:rPr>
                <w:color w:val="000000" w:themeColor="text1"/>
                <w:szCs w:val="21"/>
                <w14:textFill>
                  <w14:solidFill>
                    <w14:schemeClr w14:val="tx1"/>
                  </w14:solidFill>
                </w14:textFill>
              </w:rPr>
            </w:pPr>
          </w:p>
        </w:tc>
        <w:tc>
          <w:tcPr>
            <w:tcW w:w="992" w:type="dxa"/>
          </w:tcPr>
          <w:p w14:paraId="15BD3916">
            <w:pPr>
              <w:spacing w:line="0" w:lineRule="atLeast"/>
              <w:rPr>
                <w:color w:val="000000" w:themeColor="text1"/>
                <w:szCs w:val="21"/>
                <w14:textFill>
                  <w14:solidFill>
                    <w14:schemeClr w14:val="tx1"/>
                  </w14:solidFill>
                </w14:textFill>
              </w:rPr>
            </w:pPr>
          </w:p>
        </w:tc>
        <w:tc>
          <w:tcPr>
            <w:tcW w:w="569" w:type="dxa"/>
          </w:tcPr>
          <w:p w14:paraId="46AA7A0B">
            <w:pPr>
              <w:spacing w:line="0" w:lineRule="atLeast"/>
              <w:rPr>
                <w:color w:val="000000" w:themeColor="text1"/>
                <w:szCs w:val="21"/>
                <w14:textFill>
                  <w14:solidFill>
                    <w14:schemeClr w14:val="tx1"/>
                  </w14:solidFill>
                </w14:textFill>
              </w:rPr>
            </w:pPr>
          </w:p>
        </w:tc>
        <w:tc>
          <w:tcPr>
            <w:tcW w:w="1276" w:type="dxa"/>
          </w:tcPr>
          <w:p w14:paraId="40B0AA4A">
            <w:pPr>
              <w:spacing w:line="0" w:lineRule="atLeas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水木年华</w:t>
            </w:r>
          </w:p>
        </w:tc>
        <w:tc>
          <w:tcPr>
            <w:tcW w:w="567" w:type="dxa"/>
          </w:tcPr>
          <w:p w14:paraId="059E9FDC">
            <w:pPr>
              <w:spacing w:line="0" w:lineRule="atLeast"/>
              <w:ind w:leftChars="-51" w:hanging="107" w:hangingChars="5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1324</w:t>
            </w:r>
          </w:p>
        </w:tc>
        <w:tc>
          <w:tcPr>
            <w:tcW w:w="1415" w:type="dxa"/>
          </w:tcPr>
          <w:p w14:paraId="2E6E2471">
            <w:pPr>
              <w:spacing w:line="0" w:lineRule="atLeas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金桂公寓</w:t>
            </w:r>
          </w:p>
        </w:tc>
        <w:tc>
          <w:tcPr>
            <w:tcW w:w="569" w:type="dxa"/>
          </w:tcPr>
          <w:p w14:paraId="5EADDA6F">
            <w:pPr>
              <w:spacing w:line="0" w:lineRule="atLeast"/>
              <w:ind w:leftChars="-51" w:hanging="107" w:hangingChars="5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100</w:t>
            </w:r>
          </w:p>
        </w:tc>
      </w:tr>
      <w:tr w14:paraId="09BE4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09" w:type="dxa"/>
            <w:vMerge w:val="continue"/>
          </w:tcPr>
          <w:p w14:paraId="43511B2C">
            <w:pPr>
              <w:spacing w:line="0" w:lineRule="atLeast"/>
              <w:rPr>
                <w:color w:val="000000" w:themeColor="text1"/>
                <w:szCs w:val="21"/>
                <w14:textFill>
                  <w14:solidFill>
                    <w14:schemeClr w14:val="tx1"/>
                  </w14:solidFill>
                </w14:textFill>
              </w:rPr>
            </w:pPr>
          </w:p>
        </w:tc>
        <w:tc>
          <w:tcPr>
            <w:tcW w:w="709" w:type="dxa"/>
            <w:vMerge w:val="continue"/>
          </w:tcPr>
          <w:p w14:paraId="61580500">
            <w:pPr>
              <w:spacing w:line="0" w:lineRule="atLeast"/>
              <w:rPr>
                <w:color w:val="000000" w:themeColor="text1"/>
                <w:szCs w:val="21"/>
                <w14:textFill>
                  <w14:solidFill>
                    <w14:schemeClr w14:val="tx1"/>
                  </w14:solidFill>
                </w14:textFill>
              </w:rPr>
            </w:pPr>
          </w:p>
        </w:tc>
        <w:tc>
          <w:tcPr>
            <w:tcW w:w="709" w:type="dxa"/>
            <w:vMerge w:val="continue"/>
          </w:tcPr>
          <w:p w14:paraId="3ACDEE5C">
            <w:pPr>
              <w:spacing w:line="0" w:lineRule="atLeast"/>
              <w:rPr>
                <w:color w:val="000000" w:themeColor="text1"/>
                <w:szCs w:val="21"/>
                <w14:textFill>
                  <w14:solidFill>
                    <w14:schemeClr w14:val="tx1"/>
                  </w14:solidFill>
                </w14:textFill>
              </w:rPr>
            </w:pPr>
          </w:p>
        </w:tc>
        <w:tc>
          <w:tcPr>
            <w:tcW w:w="992" w:type="dxa"/>
            <w:vMerge w:val="continue"/>
          </w:tcPr>
          <w:p w14:paraId="3D210FF4">
            <w:pPr>
              <w:spacing w:line="0" w:lineRule="atLeast"/>
              <w:rPr>
                <w:color w:val="000000" w:themeColor="text1"/>
                <w:szCs w:val="21"/>
                <w14:textFill>
                  <w14:solidFill>
                    <w14:schemeClr w14:val="tx1"/>
                  </w14:solidFill>
                </w14:textFill>
              </w:rPr>
            </w:pPr>
          </w:p>
        </w:tc>
        <w:tc>
          <w:tcPr>
            <w:tcW w:w="992" w:type="dxa"/>
          </w:tcPr>
          <w:p w14:paraId="4C45CD5B">
            <w:pPr>
              <w:spacing w:line="0" w:lineRule="atLeast"/>
              <w:rPr>
                <w:color w:val="000000" w:themeColor="text1"/>
                <w:szCs w:val="21"/>
                <w14:textFill>
                  <w14:solidFill>
                    <w14:schemeClr w14:val="tx1"/>
                  </w14:solidFill>
                </w14:textFill>
              </w:rPr>
            </w:pPr>
          </w:p>
        </w:tc>
        <w:tc>
          <w:tcPr>
            <w:tcW w:w="569" w:type="dxa"/>
          </w:tcPr>
          <w:p w14:paraId="4281E41B">
            <w:pPr>
              <w:spacing w:line="0" w:lineRule="atLeast"/>
              <w:rPr>
                <w:color w:val="000000" w:themeColor="text1"/>
                <w:szCs w:val="21"/>
                <w14:textFill>
                  <w14:solidFill>
                    <w14:schemeClr w14:val="tx1"/>
                  </w14:solidFill>
                </w14:textFill>
              </w:rPr>
            </w:pPr>
          </w:p>
        </w:tc>
        <w:tc>
          <w:tcPr>
            <w:tcW w:w="1276" w:type="dxa"/>
          </w:tcPr>
          <w:p w14:paraId="2B937C69">
            <w:pPr>
              <w:spacing w:line="0" w:lineRule="atLeast"/>
              <w:rPr>
                <w:color w:val="000000" w:themeColor="text1"/>
                <w:szCs w:val="21"/>
                <w14:textFill>
                  <w14:solidFill>
                    <w14:schemeClr w14:val="tx1"/>
                  </w14:solidFill>
                </w14:textFill>
              </w:rPr>
            </w:pPr>
          </w:p>
        </w:tc>
        <w:tc>
          <w:tcPr>
            <w:tcW w:w="567" w:type="dxa"/>
          </w:tcPr>
          <w:p w14:paraId="4758403E">
            <w:pPr>
              <w:spacing w:line="0" w:lineRule="atLeast"/>
              <w:rPr>
                <w:color w:val="000000" w:themeColor="text1"/>
                <w:szCs w:val="21"/>
                <w14:textFill>
                  <w14:solidFill>
                    <w14:schemeClr w14:val="tx1"/>
                  </w14:solidFill>
                </w14:textFill>
              </w:rPr>
            </w:pPr>
          </w:p>
        </w:tc>
        <w:tc>
          <w:tcPr>
            <w:tcW w:w="1415" w:type="dxa"/>
          </w:tcPr>
          <w:p w14:paraId="70E28A45">
            <w:pPr>
              <w:spacing w:line="0" w:lineRule="atLeas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常发豪庭</w:t>
            </w:r>
          </w:p>
        </w:tc>
        <w:tc>
          <w:tcPr>
            <w:tcW w:w="569" w:type="dxa"/>
          </w:tcPr>
          <w:p w14:paraId="51629159">
            <w:pPr>
              <w:spacing w:line="0" w:lineRule="atLeast"/>
              <w:ind w:leftChars="-51" w:hanging="107" w:hangingChars="5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1124</w:t>
            </w:r>
          </w:p>
        </w:tc>
      </w:tr>
      <w:tr w14:paraId="58462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709" w:type="dxa"/>
          </w:tcPr>
          <w:p w14:paraId="6F7C363F">
            <w:pPr>
              <w:spacing w:line="0" w:lineRule="atLeas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藻江</w:t>
            </w:r>
          </w:p>
        </w:tc>
        <w:tc>
          <w:tcPr>
            <w:tcW w:w="709" w:type="dxa"/>
          </w:tcPr>
          <w:p w14:paraId="1F5BD256">
            <w:pPr>
              <w:spacing w:line="0" w:lineRule="atLeas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1.67</w:t>
            </w:r>
          </w:p>
        </w:tc>
        <w:tc>
          <w:tcPr>
            <w:tcW w:w="709" w:type="dxa"/>
          </w:tcPr>
          <w:p w14:paraId="49B77136">
            <w:pPr>
              <w:spacing w:line="0" w:lineRule="atLeast"/>
              <w:rPr>
                <w:color w:val="000000" w:themeColor="text1"/>
                <w:szCs w:val="21"/>
                <w14:textFill>
                  <w14:solidFill>
                    <w14:schemeClr w14:val="tx1"/>
                  </w14:solidFill>
                </w14:textFill>
              </w:rPr>
            </w:pPr>
          </w:p>
        </w:tc>
        <w:tc>
          <w:tcPr>
            <w:tcW w:w="992" w:type="dxa"/>
          </w:tcPr>
          <w:p w14:paraId="5C139FB6">
            <w:pPr>
              <w:spacing w:line="0" w:lineRule="atLeast"/>
              <w:rPr>
                <w:color w:val="000000" w:themeColor="text1"/>
                <w:szCs w:val="21"/>
                <w14:textFill>
                  <w14:solidFill>
                    <w14:schemeClr w14:val="tx1"/>
                  </w14:solidFill>
                </w14:textFill>
              </w:rPr>
            </w:pPr>
          </w:p>
        </w:tc>
        <w:tc>
          <w:tcPr>
            <w:tcW w:w="992" w:type="dxa"/>
          </w:tcPr>
          <w:p w14:paraId="42E47715">
            <w:pPr>
              <w:spacing w:line="0" w:lineRule="atLeast"/>
              <w:rPr>
                <w:color w:val="000000" w:themeColor="text1"/>
                <w:szCs w:val="21"/>
                <w14:textFill>
                  <w14:solidFill>
                    <w14:schemeClr w14:val="tx1"/>
                  </w14:solidFill>
                </w14:textFill>
              </w:rPr>
            </w:pPr>
          </w:p>
        </w:tc>
        <w:tc>
          <w:tcPr>
            <w:tcW w:w="569" w:type="dxa"/>
          </w:tcPr>
          <w:p w14:paraId="3020369F">
            <w:pPr>
              <w:spacing w:line="0" w:lineRule="atLeast"/>
              <w:rPr>
                <w:color w:val="000000" w:themeColor="text1"/>
                <w:szCs w:val="21"/>
                <w14:textFill>
                  <w14:solidFill>
                    <w14:schemeClr w14:val="tx1"/>
                  </w14:solidFill>
                </w14:textFill>
              </w:rPr>
            </w:pPr>
          </w:p>
        </w:tc>
        <w:tc>
          <w:tcPr>
            <w:tcW w:w="1276" w:type="dxa"/>
          </w:tcPr>
          <w:p w14:paraId="6F23D9BA">
            <w:pPr>
              <w:spacing w:line="0" w:lineRule="atLeast"/>
              <w:rPr>
                <w:color w:val="000000" w:themeColor="text1"/>
                <w:szCs w:val="21"/>
                <w14:textFill>
                  <w14:solidFill>
                    <w14:schemeClr w14:val="tx1"/>
                  </w14:solidFill>
                </w14:textFill>
              </w:rPr>
            </w:pPr>
          </w:p>
        </w:tc>
        <w:tc>
          <w:tcPr>
            <w:tcW w:w="567" w:type="dxa"/>
          </w:tcPr>
          <w:p w14:paraId="5F8CAD37">
            <w:pPr>
              <w:spacing w:line="0" w:lineRule="atLeast"/>
              <w:rPr>
                <w:color w:val="000000" w:themeColor="text1"/>
                <w:szCs w:val="21"/>
                <w14:textFill>
                  <w14:solidFill>
                    <w14:schemeClr w14:val="tx1"/>
                  </w14:solidFill>
                </w14:textFill>
              </w:rPr>
            </w:pPr>
          </w:p>
        </w:tc>
        <w:tc>
          <w:tcPr>
            <w:tcW w:w="1415" w:type="dxa"/>
          </w:tcPr>
          <w:p w14:paraId="170F35A2">
            <w:pPr>
              <w:spacing w:line="0" w:lineRule="atLeas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藻江花园</w:t>
            </w:r>
          </w:p>
        </w:tc>
        <w:tc>
          <w:tcPr>
            <w:tcW w:w="569" w:type="dxa"/>
          </w:tcPr>
          <w:p w14:paraId="0CBBAEDE">
            <w:pPr>
              <w:spacing w:line="0" w:lineRule="atLeast"/>
              <w:ind w:leftChars="-51" w:hanging="107" w:hangingChars="5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1692</w:t>
            </w:r>
          </w:p>
        </w:tc>
      </w:tr>
      <w:tr w14:paraId="26BF4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709" w:type="dxa"/>
            <w:vMerge w:val="restart"/>
          </w:tcPr>
          <w:p w14:paraId="04D99C70">
            <w:pPr>
              <w:spacing w:line="0" w:lineRule="atLeas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洪福</w:t>
            </w:r>
          </w:p>
        </w:tc>
        <w:tc>
          <w:tcPr>
            <w:tcW w:w="709" w:type="dxa"/>
            <w:vMerge w:val="restart"/>
          </w:tcPr>
          <w:p w14:paraId="29649F93">
            <w:pPr>
              <w:spacing w:line="0" w:lineRule="atLeas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709" w:type="dxa"/>
            <w:vMerge w:val="restart"/>
          </w:tcPr>
          <w:p w14:paraId="778B926E">
            <w:pPr>
              <w:spacing w:line="0" w:lineRule="atLeast"/>
              <w:rPr>
                <w:color w:val="000000" w:themeColor="text1"/>
                <w:szCs w:val="21"/>
                <w14:textFill>
                  <w14:solidFill>
                    <w14:schemeClr w14:val="tx1"/>
                  </w14:solidFill>
                </w14:textFill>
              </w:rPr>
            </w:pPr>
          </w:p>
        </w:tc>
        <w:tc>
          <w:tcPr>
            <w:tcW w:w="992" w:type="dxa"/>
            <w:vMerge w:val="restart"/>
          </w:tcPr>
          <w:p w14:paraId="14768A88">
            <w:pPr>
              <w:spacing w:line="0" w:lineRule="atLeast"/>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&gt;</w:t>
            </w:r>
            <w:r>
              <w:rPr>
                <w:rFonts w:hint="eastAsia"/>
                <w:color w:val="000000" w:themeColor="text1"/>
                <w:szCs w:val="21"/>
                <w14:textFill>
                  <w14:solidFill>
                    <w14:schemeClr w14:val="tx1"/>
                  </w14:solidFill>
                </w14:textFill>
              </w:rPr>
              <w:t>10000</w:t>
            </w:r>
          </w:p>
        </w:tc>
        <w:tc>
          <w:tcPr>
            <w:tcW w:w="992" w:type="dxa"/>
          </w:tcPr>
          <w:p w14:paraId="290E8AA2">
            <w:pPr>
              <w:spacing w:line="0" w:lineRule="atLeast"/>
              <w:rPr>
                <w:color w:val="000000" w:themeColor="text1"/>
                <w:szCs w:val="21"/>
                <w14:textFill>
                  <w14:solidFill>
                    <w14:schemeClr w14:val="tx1"/>
                  </w14:solidFill>
                </w14:textFill>
              </w:rPr>
            </w:pPr>
          </w:p>
        </w:tc>
        <w:tc>
          <w:tcPr>
            <w:tcW w:w="569" w:type="dxa"/>
          </w:tcPr>
          <w:p w14:paraId="3E38D429">
            <w:pPr>
              <w:spacing w:line="0" w:lineRule="atLeast"/>
              <w:rPr>
                <w:color w:val="000000" w:themeColor="text1"/>
                <w:szCs w:val="21"/>
                <w14:textFill>
                  <w14:solidFill>
                    <w14:schemeClr w14:val="tx1"/>
                  </w14:solidFill>
                </w14:textFill>
              </w:rPr>
            </w:pPr>
          </w:p>
        </w:tc>
        <w:tc>
          <w:tcPr>
            <w:tcW w:w="1276" w:type="dxa"/>
          </w:tcPr>
          <w:p w14:paraId="2FD9A403">
            <w:pPr>
              <w:spacing w:line="0" w:lineRule="atLeast"/>
              <w:rPr>
                <w:color w:val="000000" w:themeColor="text1"/>
                <w:szCs w:val="21"/>
                <w14:textFill>
                  <w14:solidFill>
                    <w14:schemeClr w14:val="tx1"/>
                  </w14:solidFill>
                </w14:textFill>
              </w:rPr>
            </w:pPr>
          </w:p>
        </w:tc>
        <w:tc>
          <w:tcPr>
            <w:tcW w:w="567" w:type="dxa"/>
          </w:tcPr>
          <w:p w14:paraId="38C66ADD">
            <w:pPr>
              <w:spacing w:line="0" w:lineRule="atLeast"/>
              <w:rPr>
                <w:color w:val="000000" w:themeColor="text1"/>
                <w:szCs w:val="21"/>
                <w14:textFill>
                  <w14:solidFill>
                    <w14:schemeClr w14:val="tx1"/>
                  </w14:solidFill>
                </w14:textFill>
              </w:rPr>
            </w:pPr>
          </w:p>
        </w:tc>
        <w:tc>
          <w:tcPr>
            <w:tcW w:w="1415" w:type="dxa"/>
          </w:tcPr>
          <w:p w14:paraId="7FC140FB">
            <w:pPr>
              <w:spacing w:line="0" w:lineRule="atLeast"/>
              <w:rPr>
                <w:rFonts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香树湾福园</w:t>
            </w:r>
          </w:p>
        </w:tc>
        <w:tc>
          <w:tcPr>
            <w:tcW w:w="569" w:type="dxa"/>
          </w:tcPr>
          <w:p w14:paraId="14B44032">
            <w:pPr>
              <w:spacing w:line="0" w:lineRule="atLeast"/>
              <w:ind w:leftChars="-51" w:hanging="107" w:hangingChars="51"/>
              <w:rPr>
                <w:rFonts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889</w:t>
            </w:r>
          </w:p>
        </w:tc>
      </w:tr>
      <w:tr w14:paraId="4999D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709" w:type="dxa"/>
            <w:vMerge w:val="continue"/>
          </w:tcPr>
          <w:p w14:paraId="15B0C549">
            <w:pPr>
              <w:spacing w:line="0" w:lineRule="atLeast"/>
              <w:rPr>
                <w:color w:val="000000" w:themeColor="text1"/>
                <w:szCs w:val="21"/>
                <w14:textFill>
                  <w14:solidFill>
                    <w14:schemeClr w14:val="tx1"/>
                  </w14:solidFill>
                </w14:textFill>
              </w:rPr>
            </w:pPr>
          </w:p>
        </w:tc>
        <w:tc>
          <w:tcPr>
            <w:tcW w:w="709" w:type="dxa"/>
            <w:vMerge w:val="continue"/>
          </w:tcPr>
          <w:p w14:paraId="3EC5A711">
            <w:pPr>
              <w:spacing w:line="0" w:lineRule="atLeast"/>
              <w:rPr>
                <w:color w:val="000000" w:themeColor="text1"/>
                <w:szCs w:val="21"/>
                <w14:textFill>
                  <w14:solidFill>
                    <w14:schemeClr w14:val="tx1"/>
                  </w14:solidFill>
                </w14:textFill>
              </w:rPr>
            </w:pPr>
          </w:p>
        </w:tc>
        <w:tc>
          <w:tcPr>
            <w:tcW w:w="709" w:type="dxa"/>
            <w:vMerge w:val="continue"/>
          </w:tcPr>
          <w:p w14:paraId="467C7981">
            <w:pPr>
              <w:spacing w:line="0" w:lineRule="atLeast"/>
              <w:rPr>
                <w:color w:val="000000" w:themeColor="text1"/>
                <w:szCs w:val="21"/>
                <w14:textFill>
                  <w14:solidFill>
                    <w14:schemeClr w14:val="tx1"/>
                  </w14:solidFill>
                </w14:textFill>
              </w:rPr>
            </w:pPr>
          </w:p>
        </w:tc>
        <w:tc>
          <w:tcPr>
            <w:tcW w:w="992" w:type="dxa"/>
            <w:vMerge w:val="continue"/>
          </w:tcPr>
          <w:p w14:paraId="49A1190C">
            <w:pPr>
              <w:spacing w:line="0" w:lineRule="atLeast"/>
              <w:rPr>
                <w:color w:val="000000" w:themeColor="text1"/>
                <w:szCs w:val="21"/>
                <w14:textFill>
                  <w14:solidFill>
                    <w14:schemeClr w14:val="tx1"/>
                  </w14:solidFill>
                </w14:textFill>
              </w:rPr>
            </w:pPr>
          </w:p>
        </w:tc>
        <w:tc>
          <w:tcPr>
            <w:tcW w:w="992" w:type="dxa"/>
          </w:tcPr>
          <w:p w14:paraId="4E191C0A">
            <w:pPr>
              <w:spacing w:line="0" w:lineRule="atLeast"/>
              <w:rPr>
                <w:color w:val="000000" w:themeColor="text1"/>
                <w:szCs w:val="21"/>
                <w14:textFill>
                  <w14:solidFill>
                    <w14:schemeClr w14:val="tx1"/>
                  </w14:solidFill>
                </w14:textFill>
              </w:rPr>
            </w:pPr>
          </w:p>
        </w:tc>
        <w:tc>
          <w:tcPr>
            <w:tcW w:w="569" w:type="dxa"/>
          </w:tcPr>
          <w:p w14:paraId="1504FBD4">
            <w:pPr>
              <w:spacing w:line="0" w:lineRule="atLeast"/>
              <w:rPr>
                <w:color w:val="000000" w:themeColor="text1"/>
                <w:szCs w:val="21"/>
                <w14:textFill>
                  <w14:solidFill>
                    <w14:schemeClr w14:val="tx1"/>
                  </w14:solidFill>
                </w14:textFill>
              </w:rPr>
            </w:pPr>
          </w:p>
        </w:tc>
        <w:tc>
          <w:tcPr>
            <w:tcW w:w="1276" w:type="dxa"/>
          </w:tcPr>
          <w:p w14:paraId="0590BFC0">
            <w:pPr>
              <w:spacing w:line="0" w:lineRule="atLeast"/>
              <w:rPr>
                <w:color w:val="000000" w:themeColor="text1"/>
                <w:szCs w:val="21"/>
                <w14:textFill>
                  <w14:solidFill>
                    <w14:schemeClr w14:val="tx1"/>
                  </w14:solidFill>
                </w14:textFill>
              </w:rPr>
            </w:pPr>
          </w:p>
        </w:tc>
        <w:tc>
          <w:tcPr>
            <w:tcW w:w="567" w:type="dxa"/>
          </w:tcPr>
          <w:p w14:paraId="690DB9A4">
            <w:pPr>
              <w:spacing w:line="0" w:lineRule="atLeast"/>
              <w:rPr>
                <w:color w:val="000000" w:themeColor="text1"/>
                <w:szCs w:val="21"/>
                <w14:textFill>
                  <w14:solidFill>
                    <w14:schemeClr w14:val="tx1"/>
                  </w14:solidFill>
                </w14:textFill>
              </w:rPr>
            </w:pPr>
          </w:p>
        </w:tc>
        <w:tc>
          <w:tcPr>
            <w:tcW w:w="1415" w:type="dxa"/>
          </w:tcPr>
          <w:p w14:paraId="232D3179">
            <w:pPr>
              <w:spacing w:line="0" w:lineRule="atLeast"/>
              <w:rPr>
                <w:rFonts w:ascii="黑体" w:hAnsi="宋体" w:eastAsia="黑体" w:cs="Arial"/>
                <w:b/>
                <w:color w:val="000000" w:themeColor="text1"/>
                <w:szCs w:val="21"/>
                <w14:textFill>
                  <w14:solidFill>
                    <w14:schemeClr w14:val="tx1"/>
                  </w14:solidFill>
                </w14:textFill>
              </w:rPr>
            </w:pPr>
            <w:r>
              <w:rPr>
                <w:rFonts w:hint="eastAsia" w:ascii="黑体" w:hAnsi="宋体" w:eastAsia="黑体" w:cs="Arial"/>
                <w:b/>
                <w:color w:val="000000" w:themeColor="text1"/>
                <w:szCs w:val="21"/>
                <w14:textFill>
                  <w14:solidFill>
                    <w14:schemeClr w14:val="tx1"/>
                  </w14:solidFill>
                </w14:textFill>
              </w:rPr>
              <w:t>世茂香槟湖</w:t>
            </w:r>
          </w:p>
        </w:tc>
        <w:tc>
          <w:tcPr>
            <w:tcW w:w="569" w:type="dxa"/>
          </w:tcPr>
          <w:p w14:paraId="3741155E">
            <w:pPr>
              <w:spacing w:line="0" w:lineRule="atLeast"/>
              <w:ind w:leftChars="-51" w:hanging="107" w:hangingChars="51"/>
              <w:rPr>
                <w:rFonts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3767</w:t>
            </w:r>
          </w:p>
        </w:tc>
      </w:tr>
      <w:tr w14:paraId="23B96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709" w:type="dxa"/>
            <w:vMerge w:val="continue"/>
          </w:tcPr>
          <w:p w14:paraId="3C945D67">
            <w:pPr>
              <w:spacing w:line="0" w:lineRule="atLeast"/>
              <w:rPr>
                <w:color w:val="000000" w:themeColor="text1"/>
                <w:szCs w:val="21"/>
                <w14:textFill>
                  <w14:solidFill>
                    <w14:schemeClr w14:val="tx1"/>
                  </w14:solidFill>
                </w14:textFill>
              </w:rPr>
            </w:pPr>
          </w:p>
        </w:tc>
        <w:tc>
          <w:tcPr>
            <w:tcW w:w="709" w:type="dxa"/>
            <w:vMerge w:val="continue"/>
          </w:tcPr>
          <w:p w14:paraId="73733B2A">
            <w:pPr>
              <w:spacing w:line="0" w:lineRule="atLeast"/>
              <w:rPr>
                <w:color w:val="000000" w:themeColor="text1"/>
                <w:szCs w:val="21"/>
                <w14:textFill>
                  <w14:solidFill>
                    <w14:schemeClr w14:val="tx1"/>
                  </w14:solidFill>
                </w14:textFill>
              </w:rPr>
            </w:pPr>
          </w:p>
        </w:tc>
        <w:tc>
          <w:tcPr>
            <w:tcW w:w="709" w:type="dxa"/>
            <w:vMerge w:val="continue"/>
          </w:tcPr>
          <w:p w14:paraId="4F65B2F2">
            <w:pPr>
              <w:spacing w:line="0" w:lineRule="atLeast"/>
              <w:rPr>
                <w:color w:val="000000" w:themeColor="text1"/>
                <w:szCs w:val="21"/>
                <w14:textFill>
                  <w14:solidFill>
                    <w14:schemeClr w14:val="tx1"/>
                  </w14:solidFill>
                </w14:textFill>
              </w:rPr>
            </w:pPr>
          </w:p>
        </w:tc>
        <w:tc>
          <w:tcPr>
            <w:tcW w:w="992" w:type="dxa"/>
            <w:vMerge w:val="continue"/>
          </w:tcPr>
          <w:p w14:paraId="0C689974">
            <w:pPr>
              <w:spacing w:line="0" w:lineRule="atLeast"/>
              <w:rPr>
                <w:color w:val="000000" w:themeColor="text1"/>
                <w:szCs w:val="21"/>
                <w14:textFill>
                  <w14:solidFill>
                    <w14:schemeClr w14:val="tx1"/>
                  </w14:solidFill>
                </w14:textFill>
              </w:rPr>
            </w:pPr>
          </w:p>
        </w:tc>
        <w:tc>
          <w:tcPr>
            <w:tcW w:w="992" w:type="dxa"/>
          </w:tcPr>
          <w:p w14:paraId="4FE7A4EF">
            <w:pPr>
              <w:spacing w:line="0" w:lineRule="atLeast"/>
              <w:rPr>
                <w:color w:val="000000" w:themeColor="text1"/>
                <w:szCs w:val="21"/>
                <w14:textFill>
                  <w14:solidFill>
                    <w14:schemeClr w14:val="tx1"/>
                  </w14:solidFill>
                </w14:textFill>
              </w:rPr>
            </w:pPr>
          </w:p>
        </w:tc>
        <w:tc>
          <w:tcPr>
            <w:tcW w:w="569" w:type="dxa"/>
          </w:tcPr>
          <w:p w14:paraId="0DDCE7B0">
            <w:pPr>
              <w:spacing w:line="0" w:lineRule="atLeast"/>
              <w:rPr>
                <w:color w:val="000000" w:themeColor="text1"/>
                <w:szCs w:val="21"/>
                <w14:textFill>
                  <w14:solidFill>
                    <w14:schemeClr w14:val="tx1"/>
                  </w14:solidFill>
                </w14:textFill>
              </w:rPr>
            </w:pPr>
          </w:p>
        </w:tc>
        <w:tc>
          <w:tcPr>
            <w:tcW w:w="1276" w:type="dxa"/>
          </w:tcPr>
          <w:p w14:paraId="1F540E0B">
            <w:pPr>
              <w:spacing w:line="0" w:lineRule="atLeast"/>
              <w:rPr>
                <w:color w:val="000000" w:themeColor="text1"/>
                <w:szCs w:val="21"/>
                <w14:textFill>
                  <w14:solidFill>
                    <w14:schemeClr w14:val="tx1"/>
                  </w14:solidFill>
                </w14:textFill>
              </w:rPr>
            </w:pPr>
          </w:p>
        </w:tc>
        <w:tc>
          <w:tcPr>
            <w:tcW w:w="567" w:type="dxa"/>
          </w:tcPr>
          <w:p w14:paraId="27CB1BD7">
            <w:pPr>
              <w:spacing w:line="0" w:lineRule="atLeast"/>
              <w:rPr>
                <w:color w:val="000000" w:themeColor="text1"/>
                <w:szCs w:val="21"/>
                <w14:textFill>
                  <w14:solidFill>
                    <w14:schemeClr w14:val="tx1"/>
                  </w14:solidFill>
                </w14:textFill>
              </w:rPr>
            </w:pPr>
          </w:p>
        </w:tc>
        <w:tc>
          <w:tcPr>
            <w:tcW w:w="1415" w:type="dxa"/>
          </w:tcPr>
          <w:p w14:paraId="181F2FFA">
            <w:pPr>
              <w:spacing w:line="0" w:lineRule="atLeast"/>
              <w:rPr>
                <w:rFonts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时代上院</w:t>
            </w:r>
          </w:p>
        </w:tc>
        <w:tc>
          <w:tcPr>
            <w:tcW w:w="569" w:type="dxa"/>
          </w:tcPr>
          <w:p w14:paraId="525867DF">
            <w:pPr>
              <w:spacing w:line="0" w:lineRule="atLeast"/>
              <w:ind w:leftChars="-51" w:hanging="107" w:hangingChars="51"/>
              <w:rPr>
                <w:rFonts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1970</w:t>
            </w:r>
          </w:p>
        </w:tc>
      </w:tr>
      <w:tr w14:paraId="12FA1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709" w:type="dxa"/>
            <w:vMerge w:val="continue"/>
          </w:tcPr>
          <w:p w14:paraId="433D4AC5">
            <w:pPr>
              <w:spacing w:line="0" w:lineRule="atLeast"/>
              <w:rPr>
                <w:color w:val="000000" w:themeColor="text1"/>
                <w:szCs w:val="21"/>
                <w14:textFill>
                  <w14:solidFill>
                    <w14:schemeClr w14:val="tx1"/>
                  </w14:solidFill>
                </w14:textFill>
              </w:rPr>
            </w:pPr>
          </w:p>
        </w:tc>
        <w:tc>
          <w:tcPr>
            <w:tcW w:w="709" w:type="dxa"/>
            <w:vMerge w:val="continue"/>
          </w:tcPr>
          <w:p w14:paraId="06C1D114">
            <w:pPr>
              <w:spacing w:line="0" w:lineRule="atLeast"/>
              <w:rPr>
                <w:color w:val="000000" w:themeColor="text1"/>
                <w:szCs w:val="21"/>
                <w14:textFill>
                  <w14:solidFill>
                    <w14:schemeClr w14:val="tx1"/>
                  </w14:solidFill>
                </w14:textFill>
              </w:rPr>
            </w:pPr>
          </w:p>
        </w:tc>
        <w:tc>
          <w:tcPr>
            <w:tcW w:w="709" w:type="dxa"/>
            <w:vMerge w:val="continue"/>
          </w:tcPr>
          <w:p w14:paraId="18F6FAE2">
            <w:pPr>
              <w:spacing w:line="0" w:lineRule="atLeast"/>
              <w:rPr>
                <w:color w:val="000000" w:themeColor="text1"/>
                <w:szCs w:val="21"/>
                <w14:textFill>
                  <w14:solidFill>
                    <w14:schemeClr w14:val="tx1"/>
                  </w14:solidFill>
                </w14:textFill>
              </w:rPr>
            </w:pPr>
          </w:p>
        </w:tc>
        <w:tc>
          <w:tcPr>
            <w:tcW w:w="992" w:type="dxa"/>
            <w:vMerge w:val="continue"/>
          </w:tcPr>
          <w:p w14:paraId="3AEDD010">
            <w:pPr>
              <w:spacing w:line="0" w:lineRule="atLeast"/>
              <w:rPr>
                <w:color w:val="000000" w:themeColor="text1"/>
                <w:szCs w:val="21"/>
                <w14:textFill>
                  <w14:solidFill>
                    <w14:schemeClr w14:val="tx1"/>
                  </w14:solidFill>
                </w14:textFill>
              </w:rPr>
            </w:pPr>
          </w:p>
        </w:tc>
        <w:tc>
          <w:tcPr>
            <w:tcW w:w="992" w:type="dxa"/>
          </w:tcPr>
          <w:p w14:paraId="6748DBAD">
            <w:pPr>
              <w:spacing w:line="0" w:lineRule="atLeast"/>
              <w:rPr>
                <w:color w:val="000000" w:themeColor="text1"/>
                <w:szCs w:val="21"/>
                <w14:textFill>
                  <w14:solidFill>
                    <w14:schemeClr w14:val="tx1"/>
                  </w14:solidFill>
                </w14:textFill>
              </w:rPr>
            </w:pPr>
          </w:p>
        </w:tc>
        <w:tc>
          <w:tcPr>
            <w:tcW w:w="569" w:type="dxa"/>
          </w:tcPr>
          <w:p w14:paraId="1DC645E7">
            <w:pPr>
              <w:spacing w:line="0" w:lineRule="atLeast"/>
              <w:rPr>
                <w:color w:val="000000" w:themeColor="text1"/>
                <w:szCs w:val="21"/>
                <w14:textFill>
                  <w14:solidFill>
                    <w14:schemeClr w14:val="tx1"/>
                  </w14:solidFill>
                </w14:textFill>
              </w:rPr>
            </w:pPr>
          </w:p>
        </w:tc>
        <w:tc>
          <w:tcPr>
            <w:tcW w:w="1276" w:type="dxa"/>
          </w:tcPr>
          <w:p w14:paraId="00D5A77C">
            <w:pPr>
              <w:spacing w:line="0" w:lineRule="atLeast"/>
              <w:rPr>
                <w:color w:val="000000" w:themeColor="text1"/>
                <w:szCs w:val="21"/>
                <w14:textFill>
                  <w14:solidFill>
                    <w14:schemeClr w14:val="tx1"/>
                  </w14:solidFill>
                </w14:textFill>
              </w:rPr>
            </w:pPr>
          </w:p>
        </w:tc>
        <w:tc>
          <w:tcPr>
            <w:tcW w:w="567" w:type="dxa"/>
          </w:tcPr>
          <w:p w14:paraId="53101D16">
            <w:pPr>
              <w:spacing w:line="0" w:lineRule="atLeast"/>
              <w:rPr>
                <w:color w:val="000000" w:themeColor="text1"/>
                <w:szCs w:val="21"/>
                <w14:textFill>
                  <w14:solidFill>
                    <w14:schemeClr w14:val="tx1"/>
                  </w14:solidFill>
                </w14:textFill>
              </w:rPr>
            </w:pPr>
          </w:p>
        </w:tc>
        <w:tc>
          <w:tcPr>
            <w:tcW w:w="1415" w:type="dxa"/>
          </w:tcPr>
          <w:p w14:paraId="7789A90A">
            <w:pPr>
              <w:spacing w:line="0" w:lineRule="atLeast"/>
              <w:ind w:left="1" w:leftChars="-51" w:right="-107" w:rightChars="-51" w:hanging="108" w:hangingChars="51"/>
              <w:rPr>
                <w:rFonts w:ascii="黑体" w:hAnsi="宋体" w:eastAsia="黑体" w:cs="Arial"/>
                <w:b/>
                <w:color w:val="000000" w:themeColor="text1"/>
                <w:szCs w:val="21"/>
                <w14:textFill>
                  <w14:solidFill>
                    <w14:schemeClr w14:val="tx1"/>
                  </w14:solidFill>
                </w14:textFill>
              </w:rPr>
            </w:pPr>
            <w:r>
              <w:rPr>
                <w:rFonts w:hint="eastAsia" w:ascii="黑体" w:hAnsi="宋体" w:eastAsia="黑体" w:cs="Arial"/>
                <w:b/>
                <w:color w:val="000000" w:themeColor="text1"/>
                <w:szCs w:val="21"/>
                <w14:textFill>
                  <w14:solidFill>
                    <w14:schemeClr w14:val="tx1"/>
                  </w14:solidFill>
                </w14:textFill>
              </w:rPr>
              <w:t>龙湖原山雅居</w:t>
            </w:r>
          </w:p>
        </w:tc>
        <w:tc>
          <w:tcPr>
            <w:tcW w:w="569" w:type="dxa"/>
          </w:tcPr>
          <w:p w14:paraId="0422BBB9">
            <w:pPr>
              <w:spacing w:line="0" w:lineRule="atLeast"/>
              <w:ind w:leftChars="-51" w:hanging="107" w:hangingChars="51"/>
              <w:rPr>
                <w:rFonts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1216</w:t>
            </w:r>
          </w:p>
        </w:tc>
      </w:tr>
      <w:tr w14:paraId="7F9F6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9" w:type="dxa"/>
          </w:tcPr>
          <w:p w14:paraId="19C9AD37">
            <w:pPr>
              <w:spacing w:line="0" w:lineRule="atLeas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华山</w:t>
            </w:r>
          </w:p>
        </w:tc>
        <w:tc>
          <w:tcPr>
            <w:tcW w:w="709" w:type="dxa"/>
            <w:tcBorders>
              <w:bottom w:val="single" w:color="auto" w:sz="4" w:space="0"/>
            </w:tcBorders>
          </w:tcPr>
          <w:p w14:paraId="09377897">
            <w:pPr>
              <w:spacing w:line="0" w:lineRule="atLeas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709" w:type="dxa"/>
            <w:tcBorders>
              <w:bottom w:val="single" w:color="auto" w:sz="4" w:space="0"/>
            </w:tcBorders>
          </w:tcPr>
          <w:p w14:paraId="2EC0CDEB">
            <w:pPr>
              <w:spacing w:line="0" w:lineRule="atLeast"/>
              <w:rPr>
                <w:color w:val="000000" w:themeColor="text1"/>
                <w:szCs w:val="21"/>
                <w14:textFill>
                  <w14:solidFill>
                    <w14:schemeClr w14:val="tx1"/>
                  </w14:solidFill>
                </w14:textFill>
              </w:rPr>
            </w:pPr>
          </w:p>
        </w:tc>
        <w:tc>
          <w:tcPr>
            <w:tcW w:w="992" w:type="dxa"/>
            <w:tcBorders>
              <w:bottom w:val="single" w:color="auto" w:sz="4" w:space="0"/>
            </w:tcBorders>
          </w:tcPr>
          <w:p w14:paraId="1A94D022">
            <w:pPr>
              <w:spacing w:line="0" w:lineRule="atLeast"/>
              <w:rPr>
                <w:color w:val="000000" w:themeColor="text1"/>
                <w:szCs w:val="21"/>
                <w14:textFill>
                  <w14:solidFill>
                    <w14:schemeClr w14:val="tx1"/>
                  </w14:solidFill>
                </w14:textFill>
              </w:rPr>
            </w:pPr>
          </w:p>
        </w:tc>
        <w:tc>
          <w:tcPr>
            <w:tcW w:w="992" w:type="dxa"/>
          </w:tcPr>
          <w:p w14:paraId="29732330">
            <w:pPr>
              <w:spacing w:line="0" w:lineRule="atLeast"/>
              <w:ind w:leftChars="-51" w:right="-107" w:rightChars="-51" w:hanging="107" w:hangingChars="5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前桥新村</w:t>
            </w:r>
          </w:p>
        </w:tc>
        <w:tc>
          <w:tcPr>
            <w:tcW w:w="569" w:type="dxa"/>
          </w:tcPr>
          <w:p w14:paraId="34377CE1">
            <w:pPr>
              <w:spacing w:line="0" w:lineRule="atLeast"/>
              <w:ind w:leftChars="-51" w:hanging="107" w:hangingChars="5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2242</w:t>
            </w:r>
          </w:p>
        </w:tc>
        <w:tc>
          <w:tcPr>
            <w:tcW w:w="1276" w:type="dxa"/>
          </w:tcPr>
          <w:p w14:paraId="1004C92E">
            <w:pPr>
              <w:spacing w:line="0" w:lineRule="atLeas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华山苑</w:t>
            </w:r>
          </w:p>
        </w:tc>
        <w:tc>
          <w:tcPr>
            <w:tcW w:w="567" w:type="dxa"/>
          </w:tcPr>
          <w:p w14:paraId="78D8C384">
            <w:pPr>
              <w:spacing w:line="0" w:lineRule="atLeast"/>
              <w:ind w:leftChars="-52" w:hanging="109" w:hangingChars="5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637</w:t>
            </w:r>
          </w:p>
        </w:tc>
        <w:tc>
          <w:tcPr>
            <w:tcW w:w="1415" w:type="dxa"/>
          </w:tcPr>
          <w:p w14:paraId="05EA4F82">
            <w:pPr>
              <w:spacing w:line="0" w:lineRule="atLeas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前桥加建</w:t>
            </w:r>
          </w:p>
        </w:tc>
        <w:tc>
          <w:tcPr>
            <w:tcW w:w="569" w:type="dxa"/>
          </w:tcPr>
          <w:p w14:paraId="2B627F27">
            <w:pPr>
              <w:spacing w:line="0" w:lineRule="atLeast"/>
              <w:ind w:leftChars="-51" w:hanging="107" w:hangingChars="5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66</w:t>
            </w:r>
          </w:p>
        </w:tc>
      </w:tr>
      <w:tr w14:paraId="54DA7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vMerge w:val="restart"/>
          </w:tcPr>
          <w:p w14:paraId="441A1776">
            <w:pPr>
              <w:spacing w:line="0" w:lineRule="atLeas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飞龙</w:t>
            </w:r>
          </w:p>
        </w:tc>
        <w:tc>
          <w:tcPr>
            <w:tcW w:w="709" w:type="dxa"/>
            <w:vMerge w:val="restart"/>
            <w:tcBorders>
              <w:top w:val="single" w:color="auto" w:sz="4" w:space="0"/>
              <w:right w:val="single" w:color="auto" w:sz="4" w:space="0"/>
            </w:tcBorders>
          </w:tcPr>
          <w:p w14:paraId="72BAE23B">
            <w:pPr>
              <w:spacing w:line="0" w:lineRule="atLeas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4.71</w:t>
            </w:r>
          </w:p>
        </w:tc>
        <w:tc>
          <w:tcPr>
            <w:tcW w:w="709" w:type="dxa"/>
            <w:vMerge w:val="restart"/>
            <w:tcBorders>
              <w:top w:val="single" w:color="auto" w:sz="4" w:space="0"/>
              <w:left w:val="single" w:color="auto" w:sz="4" w:space="0"/>
              <w:right w:val="single" w:color="auto" w:sz="4" w:space="0"/>
            </w:tcBorders>
          </w:tcPr>
          <w:p w14:paraId="4BD0228F">
            <w:pPr>
              <w:spacing w:line="0" w:lineRule="atLeas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8535</w:t>
            </w:r>
          </w:p>
        </w:tc>
        <w:tc>
          <w:tcPr>
            <w:tcW w:w="992" w:type="dxa"/>
            <w:vMerge w:val="restart"/>
            <w:tcBorders>
              <w:top w:val="single" w:color="auto" w:sz="4" w:space="0"/>
              <w:left w:val="single" w:color="auto" w:sz="4" w:space="0"/>
              <w:right w:val="single" w:color="auto" w:sz="4" w:space="0"/>
            </w:tcBorders>
          </w:tcPr>
          <w:p w14:paraId="5FD7762B">
            <w:pPr>
              <w:spacing w:line="0" w:lineRule="atLeas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14320</w:t>
            </w:r>
          </w:p>
        </w:tc>
        <w:tc>
          <w:tcPr>
            <w:tcW w:w="992" w:type="dxa"/>
            <w:tcBorders>
              <w:left w:val="single" w:color="auto" w:sz="4" w:space="0"/>
            </w:tcBorders>
          </w:tcPr>
          <w:p w14:paraId="1E82D299">
            <w:pPr>
              <w:spacing w:line="0" w:lineRule="atLeast"/>
              <w:rPr>
                <w:color w:val="000000" w:themeColor="text1"/>
                <w:szCs w:val="21"/>
                <w14:textFill>
                  <w14:solidFill>
                    <w14:schemeClr w14:val="tx1"/>
                  </w14:solidFill>
                </w14:textFill>
              </w:rPr>
            </w:pPr>
          </w:p>
        </w:tc>
        <w:tc>
          <w:tcPr>
            <w:tcW w:w="569" w:type="dxa"/>
            <w:tcBorders>
              <w:left w:val="single" w:color="auto" w:sz="4" w:space="0"/>
            </w:tcBorders>
          </w:tcPr>
          <w:p w14:paraId="6C50DB0A">
            <w:pPr>
              <w:spacing w:line="0" w:lineRule="atLeast"/>
              <w:rPr>
                <w:color w:val="000000" w:themeColor="text1"/>
                <w:szCs w:val="21"/>
                <w14:textFill>
                  <w14:solidFill>
                    <w14:schemeClr w14:val="tx1"/>
                  </w14:solidFill>
                </w14:textFill>
              </w:rPr>
            </w:pPr>
          </w:p>
        </w:tc>
        <w:tc>
          <w:tcPr>
            <w:tcW w:w="1276" w:type="dxa"/>
            <w:tcBorders>
              <w:left w:val="nil"/>
            </w:tcBorders>
          </w:tcPr>
          <w:p w14:paraId="7C5E7D28">
            <w:pPr>
              <w:spacing w:line="0" w:lineRule="atLeast"/>
              <w:ind w:leftChars="-51" w:right="-107" w:rightChars="-51" w:hanging="107" w:hangingChars="51"/>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玉龙湾小区</w:t>
            </w:r>
          </w:p>
        </w:tc>
        <w:tc>
          <w:tcPr>
            <w:tcW w:w="567" w:type="dxa"/>
            <w:tcBorders>
              <w:left w:val="nil"/>
            </w:tcBorders>
          </w:tcPr>
          <w:p w14:paraId="19EC16B5">
            <w:pPr>
              <w:spacing w:line="0" w:lineRule="atLeast"/>
              <w:ind w:leftChars="-52" w:hanging="109" w:hangingChars="52"/>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2388</w:t>
            </w:r>
          </w:p>
        </w:tc>
        <w:tc>
          <w:tcPr>
            <w:tcW w:w="1415" w:type="dxa"/>
            <w:tcBorders>
              <w:left w:val="nil"/>
            </w:tcBorders>
          </w:tcPr>
          <w:p w14:paraId="2C333987">
            <w:pPr>
              <w:spacing w:line="0" w:lineRule="atLeas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绿都万和城</w:t>
            </w:r>
          </w:p>
        </w:tc>
        <w:tc>
          <w:tcPr>
            <w:tcW w:w="569" w:type="dxa"/>
            <w:tcBorders>
              <w:left w:val="nil"/>
            </w:tcBorders>
          </w:tcPr>
          <w:p w14:paraId="75A918B5">
            <w:pPr>
              <w:spacing w:line="0" w:lineRule="atLeast"/>
              <w:ind w:leftChars="-51" w:hanging="107" w:hangingChars="5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4484</w:t>
            </w:r>
          </w:p>
        </w:tc>
      </w:tr>
      <w:tr w14:paraId="5BF9F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vMerge w:val="continue"/>
          </w:tcPr>
          <w:p w14:paraId="5C6AE795">
            <w:pPr>
              <w:spacing w:line="0" w:lineRule="atLeast"/>
              <w:rPr>
                <w:color w:val="000000" w:themeColor="text1"/>
                <w:szCs w:val="21"/>
                <w14:textFill>
                  <w14:solidFill>
                    <w14:schemeClr w14:val="tx1"/>
                  </w14:solidFill>
                </w14:textFill>
              </w:rPr>
            </w:pPr>
          </w:p>
        </w:tc>
        <w:tc>
          <w:tcPr>
            <w:tcW w:w="709" w:type="dxa"/>
            <w:vMerge w:val="continue"/>
            <w:tcBorders>
              <w:right w:val="single" w:color="auto" w:sz="4" w:space="0"/>
            </w:tcBorders>
          </w:tcPr>
          <w:p w14:paraId="32EBF7F8">
            <w:pPr>
              <w:spacing w:line="0" w:lineRule="atLeast"/>
              <w:rPr>
                <w:color w:val="000000" w:themeColor="text1"/>
                <w:szCs w:val="21"/>
                <w14:textFill>
                  <w14:solidFill>
                    <w14:schemeClr w14:val="tx1"/>
                  </w14:solidFill>
                </w14:textFill>
              </w:rPr>
            </w:pPr>
          </w:p>
        </w:tc>
        <w:tc>
          <w:tcPr>
            <w:tcW w:w="709" w:type="dxa"/>
            <w:vMerge w:val="continue"/>
            <w:tcBorders>
              <w:left w:val="single" w:color="auto" w:sz="4" w:space="0"/>
              <w:right w:val="single" w:color="auto" w:sz="4" w:space="0"/>
            </w:tcBorders>
          </w:tcPr>
          <w:p w14:paraId="002AE645">
            <w:pPr>
              <w:spacing w:line="0" w:lineRule="atLeast"/>
              <w:rPr>
                <w:color w:val="000000" w:themeColor="text1"/>
                <w:szCs w:val="21"/>
                <w14:textFill>
                  <w14:solidFill>
                    <w14:schemeClr w14:val="tx1"/>
                  </w14:solidFill>
                </w14:textFill>
              </w:rPr>
            </w:pPr>
          </w:p>
        </w:tc>
        <w:tc>
          <w:tcPr>
            <w:tcW w:w="992" w:type="dxa"/>
            <w:vMerge w:val="continue"/>
            <w:tcBorders>
              <w:left w:val="single" w:color="auto" w:sz="4" w:space="0"/>
              <w:right w:val="single" w:color="auto" w:sz="4" w:space="0"/>
            </w:tcBorders>
          </w:tcPr>
          <w:p w14:paraId="1A5AE285">
            <w:pPr>
              <w:spacing w:line="0" w:lineRule="atLeast"/>
              <w:rPr>
                <w:color w:val="000000" w:themeColor="text1"/>
                <w:szCs w:val="21"/>
                <w14:textFill>
                  <w14:solidFill>
                    <w14:schemeClr w14:val="tx1"/>
                  </w14:solidFill>
                </w14:textFill>
              </w:rPr>
            </w:pPr>
          </w:p>
        </w:tc>
        <w:tc>
          <w:tcPr>
            <w:tcW w:w="992" w:type="dxa"/>
            <w:tcBorders>
              <w:left w:val="single" w:color="auto" w:sz="4" w:space="0"/>
            </w:tcBorders>
          </w:tcPr>
          <w:p w14:paraId="6FD0D690">
            <w:pPr>
              <w:spacing w:line="0" w:lineRule="atLeast"/>
              <w:rPr>
                <w:color w:val="000000" w:themeColor="text1"/>
                <w:szCs w:val="21"/>
                <w14:textFill>
                  <w14:solidFill>
                    <w14:schemeClr w14:val="tx1"/>
                  </w14:solidFill>
                </w14:textFill>
              </w:rPr>
            </w:pPr>
          </w:p>
        </w:tc>
        <w:tc>
          <w:tcPr>
            <w:tcW w:w="569" w:type="dxa"/>
            <w:tcBorders>
              <w:left w:val="single" w:color="auto" w:sz="4" w:space="0"/>
            </w:tcBorders>
          </w:tcPr>
          <w:p w14:paraId="175E1492">
            <w:pPr>
              <w:spacing w:line="0" w:lineRule="atLeast"/>
              <w:rPr>
                <w:color w:val="000000" w:themeColor="text1"/>
                <w:szCs w:val="21"/>
                <w14:textFill>
                  <w14:solidFill>
                    <w14:schemeClr w14:val="tx1"/>
                  </w14:solidFill>
                </w14:textFill>
              </w:rPr>
            </w:pPr>
          </w:p>
        </w:tc>
        <w:tc>
          <w:tcPr>
            <w:tcW w:w="1276" w:type="dxa"/>
            <w:tcBorders>
              <w:left w:val="nil"/>
            </w:tcBorders>
          </w:tcPr>
          <w:p w14:paraId="35FA1B67">
            <w:pPr>
              <w:spacing w:line="0" w:lineRule="atLeas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天山花园</w:t>
            </w:r>
          </w:p>
        </w:tc>
        <w:tc>
          <w:tcPr>
            <w:tcW w:w="567" w:type="dxa"/>
            <w:tcBorders>
              <w:left w:val="nil"/>
            </w:tcBorders>
          </w:tcPr>
          <w:p w14:paraId="2EBF1B88">
            <w:pPr>
              <w:spacing w:line="0" w:lineRule="atLeast"/>
              <w:ind w:leftChars="-52" w:hanging="109" w:hangingChars="52"/>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2804</w:t>
            </w:r>
          </w:p>
        </w:tc>
        <w:tc>
          <w:tcPr>
            <w:tcW w:w="1415" w:type="dxa"/>
            <w:tcBorders>
              <w:left w:val="nil"/>
            </w:tcBorders>
          </w:tcPr>
          <w:p w14:paraId="146C8716">
            <w:pPr>
              <w:spacing w:line="0" w:lineRule="atLeas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大名城东区</w:t>
            </w:r>
          </w:p>
        </w:tc>
        <w:tc>
          <w:tcPr>
            <w:tcW w:w="569" w:type="dxa"/>
            <w:tcBorders>
              <w:left w:val="nil"/>
            </w:tcBorders>
          </w:tcPr>
          <w:p w14:paraId="29329060">
            <w:pPr>
              <w:spacing w:line="0" w:lineRule="atLeast"/>
              <w:ind w:leftChars="-51" w:hanging="107" w:hangingChars="51"/>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1669</w:t>
            </w:r>
          </w:p>
        </w:tc>
      </w:tr>
      <w:tr w14:paraId="50E44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709" w:type="dxa"/>
            <w:vMerge w:val="continue"/>
          </w:tcPr>
          <w:p w14:paraId="19D93443">
            <w:pPr>
              <w:spacing w:line="0" w:lineRule="atLeast"/>
              <w:rPr>
                <w:color w:val="000000" w:themeColor="text1"/>
                <w:szCs w:val="21"/>
                <w14:textFill>
                  <w14:solidFill>
                    <w14:schemeClr w14:val="tx1"/>
                  </w14:solidFill>
                </w14:textFill>
              </w:rPr>
            </w:pPr>
          </w:p>
        </w:tc>
        <w:tc>
          <w:tcPr>
            <w:tcW w:w="709" w:type="dxa"/>
            <w:vMerge w:val="continue"/>
            <w:tcBorders>
              <w:right w:val="single" w:color="auto" w:sz="4" w:space="0"/>
            </w:tcBorders>
          </w:tcPr>
          <w:p w14:paraId="5F285005">
            <w:pPr>
              <w:spacing w:line="0" w:lineRule="atLeast"/>
              <w:rPr>
                <w:color w:val="000000" w:themeColor="text1"/>
                <w:szCs w:val="21"/>
                <w14:textFill>
                  <w14:solidFill>
                    <w14:schemeClr w14:val="tx1"/>
                  </w14:solidFill>
                </w14:textFill>
              </w:rPr>
            </w:pPr>
          </w:p>
        </w:tc>
        <w:tc>
          <w:tcPr>
            <w:tcW w:w="709" w:type="dxa"/>
            <w:vMerge w:val="continue"/>
            <w:tcBorders>
              <w:left w:val="single" w:color="auto" w:sz="4" w:space="0"/>
              <w:right w:val="single" w:color="auto" w:sz="4" w:space="0"/>
            </w:tcBorders>
          </w:tcPr>
          <w:p w14:paraId="7DDAFAED">
            <w:pPr>
              <w:spacing w:line="0" w:lineRule="atLeast"/>
              <w:rPr>
                <w:color w:val="000000" w:themeColor="text1"/>
                <w:szCs w:val="21"/>
                <w14:textFill>
                  <w14:solidFill>
                    <w14:schemeClr w14:val="tx1"/>
                  </w14:solidFill>
                </w14:textFill>
              </w:rPr>
            </w:pPr>
          </w:p>
        </w:tc>
        <w:tc>
          <w:tcPr>
            <w:tcW w:w="992" w:type="dxa"/>
            <w:vMerge w:val="continue"/>
            <w:tcBorders>
              <w:left w:val="single" w:color="auto" w:sz="4" w:space="0"/>
              <w:right w:val="single" w:color="auto" w:sz="4" w:space="0"/>
            </w:tcBorders>
          </w:tcPr>
          <w:p w14:paraId="7528F083">
            <w:pPr>
              <w:spacing w:line="0" w:lineRule="atLeast"/>
              <w:rPr>
                <w:color w:val="000000" w:themeColor="text1"/>
                <w:szCs w:val="21"/>
                <w14:textFill>
                  <w14:solidFill>
                    <w14:schemeClr w14:val="tx1"/>
                  </w14:solidFill>
                </w14:textFill>
              </w:rPr>
            </w:pPr>
          </w:p>
        </w:tc>
        <w:tc>
          <w:tcPr>
            <w:tcW w:w="992" w:type="dxa"/>
            <w:tcBorders>
              <w:left w:val="single" w:color="auto" w:sz="4" w:space="0"/>
            </w:tcBorders>
          </w:tcPr>
          <w:p w14:paraId="100E5DCA">
            <w:pPr>
              <w:spacing w:line="0" w:lineRule="atLeast"/>
              <w:rPr>
                <w:color w:val="000000" w:themeColor="text1"/>
                <w:szCs w:val="21"/>
                <w14:textFill>
                  <w14:solidFill>
                    <w14:schemeClr w14:val="tx1"/>
                  </w14:solidFill>
                </w14:textFill>
              </w:rPr>
            </w:pPr>
          </w:p>
        </w:tc>
        <w:tc>
          <w:tcPr>
            <w:tcW w:w="569" w:type="dxa"/>
            <w:tcBorders>
              <w:left w:val="single" w:color="auto" w:sz="4" w:space="0"/>
            </w:tcBorders>
          </w:tcPr>
          <w:p w14:paraId="51992E2E">
            <w:pPr>
              <w:spacing w:line="0" w:lineRule="atLeast"/>
              <w:rPr>
                <w:color w:val="000000" w:themeColor="text1"/>
                <w:szCs w:val="21"/>
                <w14:textFill>
                  <w14:solidFill>
                    <w14:schemeClr w14:val="tx1"/>
                  </w14:solidFill>
                </w14:textFill>
              </w:rPr>
            </w:pPr>
          </w:p>
        </w:tc>
        <w:tc>
          <w:tcPr>
            <w:tcW w:w="1276" w:type="dxa"/>
            <w:tcBorders>
              <w:left w:val="nil"/>
            </w:tcBorders>
          </w:tcPr>
          <w:p w14:paraId="42E95723">
            <w:pPr>
              <w:spacing w:line="0" w:lineRule="atLeast"/>
              <w:ind w:left="1" w:leftChars="-51" w:right="-107" w:rightChars="-51" w:hanging="108" w:hangingChars="51"/>
              <w:rPr>
                <w:rFonts w:ascii="黑体" w:hAnsi="宋体" w:eastAsia="黑体"/>
                <w:b/>
                <w:color w:val="000000" w:themeColor="text1"/>
                <w:szCs w:val="21"/>
                <w14:textFill>
                  <w14:solidFill>
                    <w14:schemeClr w14:val="tx1"/>
                  </w14:solidFill>
                </w14:textFill>
              </w:rPr>
            </w:pPr>
            <w:r>
              <w:rPr>
                <w:rFonts w:hint="eastAsia" w:ascii="黑体" w:hAnsi="宋体" w:eastAsia="黑体"/>
                <w:b/>
                <w:color w:val="000000" w:themeColor="text1"/>
                <w:szCs w:val="21"/>
                <w14:textFill>
                  <w14:solidFill>
                    <w14:schemeClr w14:val="tx1"/>
                  </w14:solidFill>
                </w14:textFill>
              </w:rPr>
              <w:t>银河湾第一城</w:t>
            </w:r>
          </w:p>
        </w:tc>
        <w:tc>
          <w:tcPr>
            <w:tcW w:w="567" w:type="dxa"/>
            <w:tcBorders>
              <w:left w:val="nil"/>
            </w:tcBorders>
          </w:tcPr>
          <w:p w14:paraId="503564CE">
            <w:pPr>
              <w:spacing w:line="0" w:lineRule="atLeast"/>
              <w:ind w:leftChars="-52" w:hanging="109" w:hangingChars="52"/>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1745</w:t>
            </w:r>
          </w:p>
        </w:tc>
        <w:tc>
          <w:tcPr>
            <w:tcW w:w="1415" w:type="dxa"/>
            <w:tcBorders>
              <w:left w:val="nil"/>
            </w:tcBorders>
          </w:tcPr>
          <w:p w14:paraId="6BDD5FA0">
            <w:pPr>
              <w:spacing w:line="0" w:lineRule="atLeast"/>
              <w:ind w:left="1" w:leftChars="-52" w:hanging="110" w:hangingChars="52"/>
              <w:rPr>
                <w:rFonts w:ascii="黑体" w:hAnsi="宋体" w:eastAsia="黑体"/>
                <w:b/>
                <w:color w:val="000000" w:themeColor="text1"/>
                <w:szCs w:val="21"/>
                <w14:textFill>
                  <w14:solidFill>
                    <w14:schemeClr w14:val="tx1"/>
                  </w14:solidFill>
                </w14:textFill>
              </w:rPr>
            </w:pPr>
            <w:r>
              <w:rPr>
                <w:rFonts w:hint="eastAsia" w:ascii="黑体" w:hAnsi="宋体" w:eastAsia="黑体"/>
                <w:b/>
                <w:color w:val="000000" w:themeColor="text1"/>
                <w:szCs w:val="21"/>
                <w14:textFill>
                  <w14:solidFill>
                    <w14:schemeClr w14:val="tx1"/>
                  </w14:solidFill>
                </w14:textFill>
              </w:rPr>
              <w:t>金地天际雅居</w:t>
            </w:r>
          </w:p>
        </w:tc>
        <w:tc>
          <w:tcPr>
            <w:tcW w:w="569" w:type="dxa"/>
            <w:tcBorders>
              <w:left w:val="nil"/>
            </w:tcBorders>
          </w:tcPr>
          <w:p w14:paraId="5571A26B">
            <w:pPr>
              <w:spacing w:line="0" w:lineRule="atLeast"/>
              <w:ind w:leftChars="-51" w:hanging="107" w:hangingChars="51"/>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602</w:t>
            </w:r>
          </w:p>
        </w:tc>
      </w:tr>
      <w:tr w14:paraId="61232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709" w:type="dxa"/>
            <w:vMerge w:val="continue"/>
          </w:tcPr>
          <w:p w14:paraId="3898CEEB">
            <w:pPr>
              <w:spacing w:line="0" w:lineRule="atLeast"/>
              <w:rPr>
                <w:color w:val="000000" w:themeColor="text1"/>
                <w:szCs w:val="21"/>
                <w14:textFill>
                  <w14:solidFill>
                    <w14:schemeClr w14:val="tx1"/>
                  </w14:solidFill>
                </w14:textFill>
              </w:rPr>
            </w:pPr>
          </w:p>
        </w:tc>
        <w:tc>
          <w:tcPr>
            <w:tcW w:w="709" w:type="dxa"/>
            <w:vMerge w:val="continue"/>
            <w:tcBorders>
              <w:right w:val="single" w:color="auto" w:sz="4" w:space="0"/>
            </w:tcBorders>
          </w:tcPr>
          <w:p w14:paraId="76DDEA82">
            <w:pPr>
              <w:spacing w:line="0" w:lineRule="atLeast"/>
              <w:rPr>
                <w:color w:val="000000" w:themeColor="text1"/>
                <w:szCs w:val="21"/>
                <w14:textFill>
                  <w14:solidFill>
                    <w14:schemeClr w14:val="tx1"/>
                  </w14:solidFill>
                </w14:textFill>
              </w:rPr>
            </w:pPr>
          </w:p>
        </w:tc>
        <w:tc>
          <w:tcPr>
            <w:tcW w:w="709" w:type="dxa"/>
            <w:vMerge w:val="continue"/>
            <w:tcBorders>
              <w:left w:val="single" w:color="auto" w:sz="4" w:space="0"/>
              <w:right w:val="single" w:color="auto" w:sz="4" w:space="0"/>
            </w:tcBorders>
          </w:tcPr>
          <w:p w14:paraId="52996FA0">
            <w:pPr>
              <w:spacing w:line="0" w:lineRule="atLeast"/>
              <w:rPr>
                <w:color w:val="000000" w:themeColor="text1"/>
                <w:szCs w:val="21"/>
                <w14:textFill>
                  <w14:solidFill>
                    <w14:schemeClr w14:val="tx1"/>
                  </w14:solidFill>
                </w14:textFill>
              </w:rPr>
            </w:pPr>
          </w:p>
        </w:tc>
        <w:tc>
          <w:tcPr>
            <w:tcW w:w="992" w:type="dxa"/>
            <w:vMerge w:val="continue"/>
            <w:tcBorders>
              <w:left w:val="single" w:color="auto" w:sz="4" w:space="0"/>
              <w:right w:val="single" w:color="auto" w:sz="4" w:space="0"/>
            </w:tcBorders>
          </w:tcPr>
          <w:p w14:paraId="6D04E60B">
            <w:pPr>
              <w:spacing w:line="0" w:lineRule="atLeast"/>
              <w:rPr>
                <w:color w:val="000000" w:themeColor="text1"/>
                <w:szCs w:val="21"/>
                <w14:textFill>
                  <w14:solidFill>
                    <w14:schemeClr w14:val="tx1"/>
                  </w14:solidFill>
                </w14:textFill>
              </w:rPr>
            </w:pPr>
          </w:p>
        </w:tc>
        <w:tc>
          <w:tcPr>
            <w:tcW w:w="992" w:type="dxa"/>
            <w:tcBorders>
              <w:left w:val="single" w:color="auto" w:sz="4" w:space="0"/>
            </w:tcBorders>
          </w:tcPr>
          <w:p w14:paraId="46A44B72">
            <w:pPr>
              <w:spacing w:line="0" w:lineRule="atLeast"/>
              <w:rPr>
                <w:color w:val="000000" w:themeColor="text1"/>
                <w:szCs w:val="21"/>
                <w14:textFill>
                  <w14:solidFill>
                    <w14:schemeClr w14:val="tx1"/>
                  </w14:solidFill>
                </w14:textFill>
              </w:rPr>
            </w:pPr>
          </w:p>
        </w:tc>
        <w:tc>
          <w:tcPr>
            <w:tcW w:w="569" w:type="dxa"/>
            <w:tcBorders>
              <w:left w:val="single" w:color="auto" w:sz="4" w:space="0"/>
            </w:tcBorders>
          </w:tcPr>
          <w:p w14:paraId="37434CBA">
            <w:pPr>
              <w:spacing w:line="0" w:lineRule="atLeast"/>
              <w:rPr>
                <w:color w:val="000000" w:themeColor="text1"/>
                <w:szCs w:val="21"/>
                <w14:textFill>
                  <w14:solidFill>
                    <w14:schemeClr w14:val="tx1"/>
                  </w14:solidFill>
                </w14:textFill>
              </w:rPr>
            </w:pPr>
          </w:p>
        </w:tc>
        <w:tc>
          <w:tcPr>
            <w:tcW w:w="1276" w:type="dxa"/>
            <w:tcBorders>
              <w:left w:val="nil"/>
            </w:tcBorders>
          </w:tcPr>
          <w:p w14:paraId="617FFE3C">
            <w:pPr>
              <w:spacing w:line="0" w:lineRule="atLeas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飞龙新苑</w:t>
            </w:r>
          </w:p>
        </w:tc>
        <w:tc>
          <w:tcPr>
            <w:tcW w:w="567" w:type="dxa"/>
            <w:tcBorders>
              <w:left w:val="nil"/>
            </w:tcBorders>
          </w:tcPr>
          <w:p w14:paraId="23E20448">
            <w:pPr>
              <w:spacing w:line="0" w:lineRule="atLeast"/>
              <w:ind w:leftChars="-52" w:hanging="109" w:hangingChars="52"/>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2016</w:t>
            </w:r>
          </w:p>
        </w:tc>
        <w:tc>
          <w:tcPr>
            <w:tcW w:w="1415" w:type="dxa"/>
            <w:tcBorders>
              <w:left w:val="nil"/>
            </w:tcBorders>
          </w:tcPr>
          <w:p w14:paraId="2B9F9B05">
            <w:pPr>
              <w:spacing w:line="0" w:lineRule="atLeast"/>
              <w:rPr>
                <w:color w:val="000000" w:themeColor="text1"/>
                <w:szCs w:val="21"/>
                <w14:textFill>
                  <w14:solidFill>
                    <w14:schemeClr w14:val="tx1"/>
                  </w14:solidFill>
                </w14:textFill>
              </w:rPr>
            </w:pPr>
          </w:p>
        </w:tc>
        <w:tc>
          <w:tcPr>
            <w:tcW w:w="569" w:type="dxa"/>
            <w:tcBorders>
              <w:left w:val="nil"/>
            </w:tcBorders>
          </w:tcPr>
          <w:p w14:paraId="54C5A517">
            <w:pPr>
              <w:spacing w:line="0" w:lineRule="atLeast"/>
              <w:rPr>
                <w:color w:val="000000" w:themeColor="text1"/>
                <w:szCs w:val="21"/>
                <w14:textFill>
                  <w14:solidFill>
                    <w14:schemeClr w14:val="tx1"/>
                  </w14:solidFill>
                </w14:textFill>
              </w:rPr>
            </w:pPr>
          </w:p>
        </w:tc>
      </w:tr>
      <w:tr w14:paraId="6E8A4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709" w:type="dxa"/>
          </w:tcPr>
          <w:p w14:paraId="5BA81F00">
            <w:pPr>
              <w:spacing w:line="0" w:lineRule="atLeas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合计</w:t>
            </w:r>
          </w:p>
        </w:tc>
        <w:tc>
          <w:tcPr>
            <w:tcW w:w="709" w:type="dxa"/>
            <w:tcBorders>
              <w:right w:val="single" w:color="auto" w:sz="4" w:space="0"/>
            </w:tcBorders>
          </w:tcPr>
          <w:p w14:paraId="259A43CD">
            <w:pPr>
              <w:spacing w:line="0" w:lineRule="atLeast"/>
              <w:rPr>
                <w:color w:val="000000" w:themeColor="text1"/>
                <w:szCs w:val="21"/>
                <w14:textFill>
                  <w14:solidFill>
                    <w14:schemeClr w14:val="tx1"/>
                  </w14:solidFill>
                </w14:textFill>
              </w:rPr>
            </w:pPr>
          </w:p>
        </w:tc>
        <w:tc>
          <w:tcPr>
            <w:tcW w:w="709" w:type="dxa"/>
            <w:tcBorders>
              <w:left w:val="single" w:color="auto" w:sz="4" w:space="0"/>
              <w:bottom w:val="single" w:color="auto" w:sz="4" w:space="0"/>
              <w:right w:val="single" w:color="auto" w:sz="4" w:space="0"/>
            </w:tcBorders>
          </w:tcPr>
          <w:p w14:paraId="3E1D524F">
            <w:pPr>
              <w:spacing w:line="0" w:lineRule="atLeast"/>
              <w:rPr>
                <w:color w:val="000000" w:themeColor="text1"/>
                <w:szCs w:val="21"/>
                <w14:textFill>
                  <w14:solidFill>
                    <w14:schemeClr w14:val="tx1"/>
                  </w14:solidFill>
                </w14:textFill>
              </w:rPr>
            </w:pPr>
          </w:p>
        </w:tc>
        <w:tc>
          <w:tcPr>
            <w:tcW w:w="992" w:type="dxa"/>
            <w:tcBorders>
              <w:left w:val="single" w:color="auto" w:sz="4" w:space="0"/>
              <w:bottom w:val="single" w:color="auto" w:sz="4" w:space="0"/>
              <w:right w:val="single" w:color="auto" w:sz="4" w:space="0"/>
            </w:tcBorders>
          </w:tcPr>
          <w:p w14:paraId="7321CABB">
            <w:pPr>
              <w:spacing w:line="0" w:lineRule="atLeast"/>
              <w:rPr>
                <w:color w:val="000000" w:themeColor="text1"/>
                <w:szCs w:val="21"/>
                <w14:textFill>
                  <w14:solidFill>
                    <w14:schemeClr w14:val="tx1"/>
                  </w14:solidFill>
                </w14:textFill>
              </w:rPr>
            </w:pPr>
          </w:p>
        </w:tc>
        <w:tc>
          <w:tcPr>
            <w:tcW w:w="992" w:type="dxa"/>
            <w:tcBorders>
              <w:left w:val="single" w:color="auto" w:sz="4" w:space="0"/>
            </w:tcBorders>
          </w:tcPr>
          <w:p w14:paraId="7641B37D">
            <w:pPr>
              <w:spacing w:line="0" w:lineRule="atLeast"/>
              <w:ind w:leftChars="-51" w:hanging="107" w:hangingChars="5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安置小区</w:t>
            </w:r>
          </w:p>
        </w:tc>
        <w:tc>
          <w:tcPr>
            <w:tcW w:w="569" w:type="dxa"/>
            <w:tcBorders>
              <w:left w:val="single" w:color="auto" w:sz="4" w:space="0"/>
            </w:tcBorders>
          </w:tcPr>
          <w:p w14:paraId="11DF67DC">
            <w:pPr>
              <w:spacing w:line="0" w:lineRule="atLeast"/>
              <w:ind w:leftChars="-51" w:hanging="107" w:hangingChars="5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5078</w:t>
            </w:r>
          </w:p>
        </w:tc>
        <w:tc>
          <w:tcPr>
            <w:tcW w:w="1276" w:type="dxa"/>
            <w:tcBorders>
              <w:left w:val="nil"/>
            </w:tcBorders>
          </w:tcPr>
          <w:p w14:paraId="10B01CFF">
            <w:pPr>
              <w:spacing w:line="0" w:lineRule="atLeast"/>
              <w:ind w:leftChars="-51" w:right="-107" w:rightChars="-51" w:hanging="107" w:hangingChars="51"/>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混合型小区</w:t>
            </w:r>
          </w:p>
        </w:tc>
        <w:tc>
          <w:tcPr>
            <w:tcW w:w="567" w:type="dxa"/>
            <w:tcBorders>
              <w:left w:val="nil"/>
            </w:tcBorders>
          </w:tcPr>
          <w:p w14:paraId="29CB9680">
            <w:pPr>
              <w:spacing w:line="0" w:lineRule="atLeast"/>
              <w:ind w:leftChars="-52" w:right="-105" w:rightChars="-50" w:hanging="109" w:hangingChars="5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24310</w:t>
            </w:r>
          </w:p>
        </w:tc>
        <w:tc>
          <w:tcPr>
            <w:tcW w:w="1415" w:type="dxa"/>
            <w:tcBorders>
              <w:left w:val="nil"/>
            </w:tcBorders>
          </w:tcPr>
          <w:p w14:paraId="0732A555">
            <w:pPr>
              <w:spacing w:line="0" w:lineRule="atLeast"/>
              <w:ind w:leftChars="-52" w:hanging="109" w:hangingChars="5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纯商品房小区</w:t>
            </w:r>
          </w:p>
        </w:tc>
        <w:tc>
          <w:tcPr>
            <w:tcW w:w="569" w:type="dxa"/>
            <w:tcBorders>
              <w:left w:val="nil"/>
            </w:tcBorders>
          </w:tcPr>
          <w:p w14:paraId="49A24299">
            <w:pPr>
              <w:spacing w:line="0" w:lineRule="atLeast"/>
              <w:ind w:leftChars="-51" w:right="-105" w:rightChars="-50" w:hanging="107" w:hangingChars="5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24548</w:t>
            </w:r>
          </w:p>
        </w:tc>
      </w:tr>
    </w:tbl>
    <w:p w14:paraId="62055365">
      <w:pPr>
        <w:spacing w:line="560" w:lineRule="exact"/>
        <w:ind w:firstLine="4378" w:firstLineChars="2085"/>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（注：黑体加粗字体为未全部交付小区）</w:t>
      </w:r>
    </w:p>
    <w:p w14:paraId="056787C8">
      <w:pPr>
        <w:spacing w:line="360" w:lineRule="auto"/>
        <w:rPr>
          <w:rFonts w:ascii="黑体" w:hAnsi="宋体" w:eastAsia="黑体"/>
          <w:b/>
          <w:color w:val="000000"/>
          <w:sz w:val="30"/>
          <w:szCs w:val="30"/>
        </w:rPr>
      </w:pPr>
      <w:r>
        <w:rPr>
          <w:rFonts w:hint="eastAsia" w:ascii="黑体" w:hAnsi="宋体" w:eastAsia="黑体"/>
          <w:b/>
          <w:color w:val="000000"/>
          <w:sz w:val="30"/>
          <w:szCs w:val="30"/>
        </w:rPr>
        <w:t>（二）社区发展新问题</w:t>
      </w:r>
    </w:p>
    <w:p w14:paraId="5731D845">
      <w:pPr>
        <w:spacing w:line="360" w:lineRule="auto"/>
        <w:ind w:firstLine="560"/>
        <w:rPr>
          <w:rFonts w:ascii="宋体" w:hAnsi="宋体"/>
          <w:color w:val="000000"/>
          <w:sz w:val="28"/>
          <w:szCs w:val="28"/>
        </w:rPr>
      </w:pPr>
      <w:r>
        <w:rPr>
          <w:rFonts w:hint="eastAsia" w:ascii="宋体" w:hAnsi="宋体"/>
          <w:color w:val="000000"/>
          <w:sz w:val="28"/>
          <w:szCs w:val="28"/>
        </w:rPr>
        <w:t>由于街道土地城市化快于人的城市化，不仅城市功能有待完善，而且城市管理和服务还有待进一步加强。当前，街道社区发展过程中存在突出的问题，归根结底来自于四个方面：一是居住人口快速增加，导致公共服务设施相对供给不足，突出表现在教育和医疗两个方面严重供给不足，另外，一些建设多年小区存在停车位严重不足问题；二是城市化过程中存在对失地农民补偿差距过分悬殊所导致部分失地农民心态失衡，加上先期建设安置房存在质量问题在近期集中爆发，使得社区管理困难，其中，三井社区西小村、华山社区前桥新村交付时间已有</w:t>
      </w:r>
      <w:r>
        <w:rPr>
          <w:rFonts w:ascii="宋体" w:hAnsi="宋体"/>
          <w:color w:val="000000"/>
          <w:sz w:val="28"/>
          <w:szCs w:val="28"/>
        </w:rPr>
        <w:t>20</w:t>
      </w:r>
      <w:r>
        <w:rPr>
          <w:rFonts w:hint="eastAsia" w:ascii="宋体" w:hAnsi="宋体"/>
          <w:color w:val="000000"/>
          <w:sz w:val="28"/>
          <w:szCs w:val="28"/>
        </w:rPr>
        <w:t>年左右；三是居住人口不断增加，而社区管理编制相对固化，使得社区管理和服务任务异常繁重，按照街道开发商已交付住房计算，目前已交付住房完全居住人口可达</w:t>
      </w:r>
      <w:r>
        <w:rPr>
          <w:rFonts w:ascii="宋体" w:hAnsi="宋体"/>
          <w:color w:val="000000"/>
          <w:sz w:val="28"/>
          <w:szCs w:val="28"/>
        </w:rPr>
        <w:t>17</w:t>
      </w:r>
      <w:r>
        <w:rPr>
          <w:rFonts w:hint="eastAsia" w:ascii="宋体" w:hAnsi="宋体"/>
          <w:color w:val="000000"/>
          <w:sz w:val="28"/>
          <w:szCs w:val="28"/>
        </w:rPr>
        <w:t>万人，若加上中央花园、阳光福地、世茂香槟湖、银河湾第一城、典雅花园、翡翠锦园、龙湖原山雅居、金地天际雅居、新城御景湾、绿都万和城等小区没有交付住房和天誉城市花园、中海龙城公馆、河海尚枫苑、牡丹领秀汇等没有交付小区，街道完全居住人口可达</w:t>
      </w:r>
      <w:r>
        <w:rPr>
          <w:rFonts w:ascii="宋体" w:hAnsi="宋体"/>
          <w:color w:val="000000"/>
          <w:sz w:val="28"/>
          <w:szCs w:val="28"/>
        </w:rPr>
        <w:t>20</w:t>
      </w:r>
      <w:r>
        <w:rPr>
          <w:rFonts w:hint="eastAsia" w:ascii="宋体" w:hAnsi="宋体"/>
          <w:color w:val="000000"/>
          <w:sz w:val="28"/>
          <w:szCs w:val="28"/>
        </w:rPr>
        <w:t>万人以上。四是小区性质不一、物业管理模式不一，给社区标准化管理和物业费、电梯费、停车费收取带来困难。</w:t>
      </w:r>
    </w:p>
    <w:p w14:paraId="251CB8C9">
      <w:pPr>
        <w:spacing w:line="360" w:lineRule="auto"/>
        <w:rPr>
          <w:rFonts w:ascii="宋体" w:hAnsi="宋体"/>
          <w:color w:val="000000"/>
          <w:sz w:val="28"/>
          <w:szCs w:val="28"/>
        </w:rPr>
      </w:pPr>
    </w:p>
    <w:p w14:paraId="5A370BD3">
      <w:pPr>
        <w:spacing w:line="360" w:lineRule="auto"/>
        <w:rPr>
          <w:rFonts w:ascii="黑体" w:hAnsi="宋体" w:eastAsia="黑体"/>
          <w:b/>
          <w:color w:val="000000"/>
          <w:sz w:val="30"/>
          <w:szCs w:val="30"/>
        </w:rPr>
      </w:pPr>
      <w:r>
        <w:rPr>
          <w:rFonts w:hint="eastAsia" w:ascii="黑体" w:hAnsi="宋体" w:eastAsia="黑体"/>
          <w:b/>
          <w:color w:val="000000"/>
          <w:sz w:val="30"/>
          <w:szCs w:val="30"/>
        </w:rPr>
        <w:t>（三）社区发展新路径</w:t>
      </w:r>
    </w:p>
    <w:p w14:paraId="7F5E2E03">
      <w:pPr>
        <w:spacing w:line="360" w:lineRule="auto"/>
        <w:ind w:firstLine="560"/>
        <w:rPr>
          <w:rFonts w:ascii="宋体" w:hAnsi="宋体"/>
          <w:color w:val="000000"/>
          <w:sz w:val="28"/>
          <w:szCs w:val="28"/>
        </w:rPr>
      </w:pPr>
      <w:r>
        <w:rPr>
          <w:rFonts w:hint="eastAsia" w:ascii="宋体" w:hAnsi="宋体"/>
          <w:color w:val="000000"/>
          <w:sz w:val="28"/>
          <w:szCs w:val="28"/>
        </w:rPr>
        <w:t>党的十八届三中全会决定指出：“全面深化改革的核心问题是处理好政府和市场的关系，使市场在资源配置中起决定性作用和更好发挥政府作用。”解决街道城市化发展过程中存在的各种社会问题，就是要“使市场在资源配置中起决定性作用”与“更好发挥政府作用”有机结合，政府不是对所有服务大包大揽，而是对应该让市场发挥作用的服务交给市场，应该让政府承担的服务政府承担；同时，政府创造必要的公平、公正环境。</w:t>
      </w:r>
    </w:p>
    <w:p w14:paraId="5A4AF9D7">
      <w:pPr>
        <w:spacing w:line="360" w:lineRule="auto"/>
        <w:ind w:firstLine="560"/>
        <w:rPr>
          <w:rFonts w:ascii="宋体" w:hAnsi="宋体" w:cs="Arial"/>
          <w:color w:val="000000"/>
          <w:kern w:val="0"/>
          <w:sz w:val="28"/>
          <w:szCs w:val="28"/>
        </w:rPr>
      </w:pPr>
      <w:r>
        <w:rPr>
          <w:rFonts w:hint="eastAsia" w:ascii="宋体" w:hAnsi="宋体"/>
          <w:color w:val="000000"/>
          <w:sz w:val="28"/>
          <w:szCs w:val="28"/>
        </w:rPr>
        <w:t>一是推进市场化、信息化服务和管理。以社区“一站式服务中心”为依托，</w:t>
      </w:r>
      <w:r>
        <w:rPr>
          <w:rFonts w:hint="eastAsia" w:ascii="宋体" w:hAnsi="宋体" w:cs="Arial"/>
          <w:color w:val="000000"/>
          <w:kern w:val="0"/>
          <w:sz w:val="28"/>
          <w:szCs w:val="28"/>
        </w:rPr>
        <w:t>大力培育各种非政府社会组织和市场经营主体，对各类民生服务分类管理，普惠性、公益性服务由政府提供或购买服务，特殊性服务、定制性服务由社会组织和企业有偿提供，发动和组织居民开展社区自主服务、自治管理；另外，以智能社区建设为导向，加强服务网络建设，依托大数据，通过信息化管理，实现精准服务和精准管理，实现有限人手完成无限服务。</w:t>
      </w:r>
    </w:p>
    <w:p w14:paraId="5FFA6EFB">
      <w:pPr>
        <w:spacing w:line="360" w:lineRule="auto"/>
        <w:ind w:firstLine="560"/>
        <w:rPr>
          <w:rFonts w:ascii="宋体" w:hAnsi="宋体"/>
          <w:color w:val="000000"/>
          <w:sz w:val="28"/>
          <w:szCs w:val="28"/>
        </w:rPr>
      </w:pPr>
      <w:r>
        <w:rPr>
          <w:rFonts w:hint="eastAsia" w:ascii="宋体" w:hAnsi="宋体" w:cs="Arial"/>
          <w:color w:val="000000"/>
          <w:kern w:val="0"/>
          <w:sz w:val="28"/>
          <w:szCs w:val="28"/>
        </w:rPr>
        <w:t>二是创新社区管理体制。</w:t>
      </w:r>
      <w:r>
        <w:rPr>
          <w:rFonts w:hint="eastAsia" w:ascii="宋体" w:hAnsi="宋体"/>
          <w:color w:val="000000"/>
          <w:sz w:val="28"/>
          <w:szCs w:val="28"/>
        </w:rPr>
        <w:t>针对不断增加的居住人口，有必要根据《城市居民委员会组织法》划小社区单位，对于大型纯商品房小区或连片若干个规模较小纯商品房小区可以组织成立单独的社区委员会；另外，培育、扶助业主组织，建立协商民主制度与程序，养成尊重契约和规则民主习惯，建立业主与物业平等关系。</w:t>
      </w:r>
    </w:p>
    <w:p w14:paraId="4DDA91D4">
      <w:pPr>
        <w:spacing w:line="360" w:lineRule="auto"/>
        <w:ind w:firstLine="560"/>
        <w:rPr>
          <w:rFonts w:ascii="宋体" w:hAnsi="宋体"/>
          <w:color w:val="000000"/>
          <w:sz w:val="28"/>
          <w:szCs w:val="28"/>
        </w:rPr>
      </w:pPr>
      <w:r>
        <w:rPr>
          <w:rFonts w:hint="eastAsia" w:ascii="宋体" w:hAnsi="宋体"/>
          <w:color w:val="000000"/>
          <w:sz w:val="28"/>
          <w:szCs w:val="28"/>
        </w:rPr>
        <w:t>三是完善公共服务体系。根据实际居住人口增加情况，建立健全与居住人口分布相匹配的“公立为主、民办为辅”义务教育体系，按照增加</w:t>
      </w:r>
      <w:r>
        <w:rPr>
          <w:rFonts w:ascii="宋体" w:hAnsi="宋体"/>
          <w:color w:val="000000"/>
          <w:sz w:val="28"/>
          <w:szCs w:val="28"/>
        </w:rPr>
        <w:t>1000</w:t>
      </w:r>
      <w:r>
        <w:rPr>
          <w:rFonts w:hint="eastAsia" w:ascii="宋体" w:hAnsi="宋体"/>
          <w:color w:val="000000"/>
          <w:sz w:val="28"/>
          <w:szCs w:val="28"/>
        </w:rPr>
        <w:t>名居住人口增加</w:t>
      </w:r>
      <w:r>
        <w:rPr>
          <w:rFonts w:ascii="宋体" w:hAnsi="宋体"/>
          <w:color w:val="000000"/>
          <w:sz w:val="28"/>
          <w:szCs w:val="28"/>
        </w:rPr>
        <w:t>50</w:t>
      </w:r>
      <w:r>
        <w:rPr>
          <w:rFonts w:hint="eastAsia" w:ascii="宋体" w:hAnsi="宋体"/>
          <w:color w:val="000000"/>
          <w:sz w:val="28"/>
          <w:szCs w:val="28"/>
        </w:rPr>
        <w:t>名子女上学、上幼儿园比例，加快配备公立学校、公立幼儿园；以产业发展需求为导向，建立健全成人职业教育体系；依托已建和规划建设的东、西两个群众文化体育活动中心，建立健全社区文化体育活动网络体系，丰富居民日常文化体育活动，以改善公共服务设施和丰富文化体育活动内容为核心，增强居民社区认同感和归属感。</w:t>
      </w:r>
    </w:p>
    <w:p w14:paraId="241594B1">
      <w:pPr>
        <w:spacing w:line="360" w:lineRule="auto"/>
        <w:ind w:firstLine="560"/>
        <w:rPr>
          <w:rFonts w:ascii="宋体" w:hAnsi="宋体"/>
          <w:color w:val="000000"/>
          <w:sz w:val="28"/>
          <w:szCs w:val="28"/>
        </w:rPr>
      </w:pPr>
      <w:r>
        <w:rPr>
          <w:rFonts w:hint="eastAsia" w:ascii="宋体" w:hAnsi="宋体"/>
          <w:color w:val="000000"/>
          <w:sz w:val="28"/>
          <w:szCs w:val="28"/>
        </w:rPr>
        <w:t>四是完善物业收费体制、机制。对于物业费、电梯费收费难问题，主要集中表现在混合型小区，要逐步树立“谁享受服务谁付费”思想，尽量做到按统一标准收费，而对于政府征用土地产生的历史遗留问题，政府可以逐步补助到位，实现“收费”和“补助”两条线；对于纯安置小区、安置楼，由于实际住户或房主已大面积发生变化，应逐步建立物业费、电梯费全面收缴制度，住户确实为“失地”农民安置户</w:t>
      </w:r>
      <w:r>
        <w:rPr>
          <w:rFonts w:ascii="宋体" w:hAnsi="宋体"/>
          <w:color w:val="000000"/>
          <w:sz w:val="28"/>
          <w:szCs w:val="28"/>
        </w:rPr>
        <w:t>,</w:t>
      </w:r>
      <w:r>
        <w:rPr>
          <w:rFonts w:hint="eastAsia" w:ascii="宋体" w:hAnsi="宋体"/>
          <w:color w:val="000000"/>
          <w:sz w:val="28"/>
          <w:szCs w:val="28"/>
        </w:rPr>
        <w:t>可采取“先收后返”或“先收后补”制度。</w:t>
      </w:r>
    </w:p>
    <w:p w14:paraId="2EF253A9">
      <w:pPr>
        <w:spacing w:line="360" w:lineRule="auto"/>
        <w:ind w:firstLine="560"/>
        <w:rPr>
          <w:rFonts w:ascii="宋体" w:hAnsi="宋体"/>
          <w:color w:val="000000"/>
          <w:sz w:val="28"/>
          <w:szCs w:val="28"/>
        </w:rPr>
      </w:pPr>
      <w:r>
        <w:rPr>
          <w:rFonts w:hint="eastAsia" w:ascii="宋体" w:hAnsi="宋体"/>
          <w:color w:val="000000"/>
          <w:sz w:val="28"/>
          <w:szCs w:val="28"/>
        </w:rPr>
        <w:t>五是</w:t>
      </w:r>
      <w:r>
        <w:rPr>
          <w:rFonts w:hint="eastAsia" w:ascii="宋体" w:hAnsi="宋体" w:cs="Arial"/>
          <w:color w:val="000000"/>
          <w:kern w:val="0"/>
          <w:sz w:val="28"/>
          <w:szCs w:val="28"/>
        </w:rPr>
        <w:t>在保障社区居民基本公共服务有效供给基础上，积极引导群众对居家服务、养老服务、健康服务、文体服务、休闲服务等方面社会需求，支持相关居民服务业加快发展，培育形成服务业新经济增长点，使民生改善和经济发展有效对接、相得益彰；同时，积极挖掘社区各类资源，为社区低收入家庭、进城失地农民创造尽可能多的就业岗位。</w:t>
      </w:r>
    </w:p>
    <w:p w14:paraId="07A6AE03">
      <w:pPr>
        <w:spacing w:line="360" w:lineRule="auto"/>
        <w:rPr>
          <w:rFonts w:ascii="宋体" w:hAnsi="宋体"/>
          <w:color w:val="000000" w:themeColor="text1"/>
          <w:sz w:val="28"/>
          <w:szCs w:val="28"/>
          <w14:textFill>
            <w14:solidFill>
              <w14:schemeClr w14:val="tx1"/>
            </w14:solidFill>
          </w14:textFill>
        </w:rPr>
      </w:pPr>
      <w:r>
        <w:rPr>
          <w:rFonts w:hint="eastAsia" w:ascii="宋体" w:hAnsi="宋体" w:cs="Arial"/>
          <w:color w:val="000000"/>
          <w:kern w:val="0"/>
          <w:sz w:val="28"/>
          <w:szCs w:val="28"/>
        </w:rPr>
        <w:t>六是加强环境整治和环境管理，通过制定负面清单、网格化管理和居民自主管理，严禁违章搭建、占用公共绿地、乱扔垃圾、乱停车等不文明行为，打造卫生整洁新城区；对于菜场管理，既要减少菜场对周边环境影响，提高整洁度，又要为菜农卖菜、居民买菜提供便捷，一方面要让市场发挥资源配置决定作用，引导菜场经营主体和菜场内部经营户成立菜场管理委员会，自主管理，自主服务，另一方面政府要加强规划引导、市场监管，鼓励发展连锁社区便利店。</w:t>
      </w:r>
    </w:p>
    <w:p w14:paraId="6483FA7E">
      <w:pPr>
        <w:spacing w:line="360" w:lineRule="auto"/>
        <w:rPr>
          <w:rFonts w:ascii="宋体" w:hAnsi="宋体"/>
          <w:color w:val="000000" w:themeColor="text1"/>
          <w:sz w:val="28"/>
          <w:szCs w:val="28"/>
          <w14:textFill>
            <w14:solidFill>
              <w14:schemeClr w14:val="tx1"/>
            </w14:solidFill>
          </w14:textFill>
        </w:rPr>
      </w:pPr>
    </w:p>
    <w:p w14:paraId="60D7A21F">
      <w:pPr>
        <w:widowControl/>
        <w:jc w:val="left"/>
        <w:rPr>
          <w:rFonts w:ascii="宋体" w:hAnsi="宋体"/>
          <w:b/>
          <w:color w:val="000000" w:themeColor="text1"/>
          <w:sz w:val="32"/>
          <w:szCs w:val="32"/>
          <w14:textFill>
            <w14:solidFill>
              <w14:schemeClr w14:val="tx1"/>
            </w14:solidFill>
          </w14:textFill>
        </w:rPr>
      </w:pPr>
      <w:r>
        <w:rPr>
          <w:rFonts w:ascii="宋体" w:hAnsi="宋体"/>
          <w:b/>
          <w:color w:val="000000" w:themeColor="text1"/>
          <w:sz w:val="32"/>
          <w:szCs w:val="32"/>
          <w14:textFill>
            <w14:solidFill>
              <w14:schemeClr w14:val="tx1"/>
            </w14:solidFill>
          </w14:textFill>
        </w:rPr>
        <w:br w:type="page"/>
      </w:r>
    </w:p>
    <w:p w14:paraId="5A43CB6C">
      <w:pPr>
        <w:spacing w:line="360" w:lineRule="auto"/>
        <w:rPr>
          <w:rFonts w:ascii="宋体" w:hAnsi="宋体"/>
          <w:b/>
          <w:color w:val="000000" w:themeColor="text1"/>
          <w:sz w:val="72"/>
          <w:szCs w:val="72"/>
          <w14:textFill>
            <w14:solidFill>
              <w14:schemeClr w14:val="tx1"/>
            </w14:solidFill>
          </w14:textFill>
        </w:rPr>
      </w:pPr>
    </w:p>
    <w:p w14:paraId="78EA18B1">
      <w:pPr>
        <w:spacing w:line="360" w:lineRule="auto"/>
        <w:ind w:firstLine="883" w:firstLineChars="200"/>
        <w:rPr>
          <w:rFonts w:ascii="黑体" w:hAnsi="宋体" w:eastAsia="黑体"/>
          <w:b/>
          <w:color w:val="000000" w:themeColor="text1"/>
          <w:sz w:val="44"/>
          <w:szCs w:val="44"/>
          <w14:textFill>
            <w14:solidFill>
              <w14:schemeClr w14:val="tx1"/>
            </w14:solidFill>
          </w14:textFill>
        </w:rPr>
      </w:pPr>
      <w:r>
        <w:rPr>
          <w:rFonts w:hint="eastAsia" w:ascii="黑体" w:hAnsi="宋体" w:eastAsia="黑体"/>
          <w:b/>
          <w:color w:val="000000" w:themeColor="text1"/>
          <w:sz w:val="44"/>
          <w:szCs w:val="44"/>
          <w14:textFill>
            <w14:solidFill>
              <w14:schemeClr w14:val="tx1"/>
            </w14:solidFill>
          </w14:textFill>
        </w:rPr>
        <w:t>九、“十三五”期间人才发展研究</w:t>
      </w:r>
    </w:p>
    <w:p w14:paraId="34B8EBDD">
      <w:pPr>
        <w:widowControl/>
        <w:jc w:val="left"/>
        <w:rPr>
          <w:rFonts w:ascii="黑体" w:hAnsi="宋体" w:eastAsia="黑体"/>
          <w:b/>
          <w:color w:val="000000" w:themeColor="text1"/>
          <w:sz w:val="44"/>
          <w:szCs w:val="44"/>
          <w14:textFill>
            <w14:solidFill>
              <w14:schemeClr w14:val="tx1"/>
            </w14:solidFill>
          </w14:textFill>
        </w:rPr>
      </w:pPr>
    </w:p>
    <w:p w14:paraId="331D556D">
      <w:pPr>
        <w:widowControl/>
        <w:jc w:val="left"/>
        <w:rPr>
          <w:rFonts w:ascii="黑体" w:hAnsi="宋体" w:eastAsia="黑体"/>
          <w:b/>
          <w:color w:val="000000" w:themeColor="text1"/>
          <w:sz w:val="32"/>
          <w:szCs w:val="32"/>
          <w14:textFill>
            <w14:solidFill>
              <w14:schemeClr w14:val="tx1"/>
            </w14:solidFill>
          </w14:textFill>
        </w:rPr>
      </w:pPr>
      <w:r>
        <w:rPr>
          <w:rFonts w:hint="eastAsia" w:ascii="黑体" w:hAnsi="宋体" w:eastAsia="黑体"/>
          <w:b/>
          <w:color w:val="000000" w:themeColor="text1"/>
          <w:sz w:val="32"/>
          <w:szCs w:val="32"/>
          <w14:textFill>
            <w14:solidFill>
              <w14:schemeClr w14:val="tx1"/>
            </w14:solidFill>
          </w14:textFill>
        </w:rPr>
        <w:t>(一)人才驱动创新因素</w:t>
      </w:r>
    </w:p>
    <w:p w14:paraId="445A0998">
      <w:pPr>
        <w:widowControl/>
        <w:ind w:firstLine="555"/>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德勤全球制造业小组与美国竞争力委员会共同合作完成的《2013全球制造业竞争力指数》认为，人才驱动的创新是国家竞争力最重要因素。在人才驱动因素中，科学家、研究人员、工程师的素质与可得性和技术工人的素质与可得性两个子因素是人才驱动因素的主要影响因素。中国人才驱动因素得分虽然高于巴西、印度，但远低于德国、美国、日本。21世纪竞争是人才竞争，谁赢得人才，谁就赢得世界。</w:t>
      </w:r>
    </w:p>
    <w:p w14:paraId="2AA32CE7">
      <w:pPr>
        <w:widowControl/>
        <w:ind w:firstLine="1973" w:firstLineChars="819"/>
        <w:jc w:val="left"/>
        <w:rPr>
          <w:rFonts w:ascii="黑体" w:hAnsi="宋体" w:eastAsia="黑体"/>
          <w:b/>
          <w:color w:val="000000" w:themeColor="text1"/>
          <w:sz w:val="24"/>
          <w14:textFill>
            <w14:solidFill>
              <w14:schemeClr w14:val="tx1"/>
            </w14:solidFill>
          </w14:textFill>
        </w:rPr>
      </w:pPr>
      <w:r>
        <w:rPr>
          <w:rFonts w:hint="eastAsia" w:ascii="黑体" w:hAnsi="宋体" w:eastAsia="黑体"/>
          <w:b/>
          <w:color w:val="000000" w:themeColor="text1"/>
          <w:sz w:val="24"/>
          <w14:textFill>
            <w14:solidFill>
              <w14:schemeClr w14:val="tx1"/>
            </w14:solidFill>
          </w14:textFill>
        </w:rPr>
        <w:t>表16：德勤全球制造业竞争力驱动因素指数排名</w:t>
      </w:r>
    </w:p>
    <w:tbl>
      <w:tblPr>
        <w:tblStyle w:val="10"/>
        <w:tblW w:w="87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59"/>
        <w:gridCol w:w="1276"/>
        <w:gridCol w:w="1417"/>
        <w:gridCol w:w="3969"/>
        <w:gridCol w:w="1134"/>
      </w:tblGrid>
      <w:tr w14:paraId="5BD399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9" w:type="dxa"/>
          </w:tcPr>
          <w:p w14:paraId="0C1F7C87">
            <w:pPr>
              <w:widowControl/>
              <w:spacing w:line="0" w:lineRule="atLeast"/>
              <w:ind w:left="-141" w:leftChars="-67" w:right="-107" w:rightChars="-51" w:firstLine="105" w:firstLineChars="50"/>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整体排名</w:t>
            </w:r>
          </w:p>
        </w:tc>
        <w:tc>
          <w:tcPr>
            <w:tcW w:w="1276" w:type="dxa"/>
          </w:tcPr>
          <w:p w14:paraId="7BE013B8">
            <w:pPr>
              <w:widowControl/>
              <w:spacing w:line="0" w:lineRule="atLeast"/>
              <w:ind w:leftChars="-51" w:right="-107" w:rightChars="-51" w:hanging="107" w:hangingChars="51"/>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整体指数得分</w:t>
            </w:r>
          </w:p>
        </w:tc>
        <w:tc>
          <w:tcPr>
            <w:tcW w:w="1417" w:type="dxa"/>
          </w:tcPr>
          <w:p w14:paraId="7AB3BD8F">
            <w:pPr>
              <w:widowControl/>
              <w:spacing w:line="0" w:lineRule="atLeast"/>
              <w:ind w:leftChars="-51" w:hanging="107" w:hangingChars="51"/>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主要驱动因素</w:t>
            </w:r>
          </w:p>
        </w:tc>
        <w:tc>
          <w:tcPr>
            <w:tcW w:w="3969" w:type="dxa"/>
          </w:tcPr>
          <w:p w14:paraId="1F528FDA">
            <w:pPr>
              <w:widowControl/>
              <w:spacing w:line="0" w:lineRule="atLeast"/>
              <w:ind w:leftChars="-51" w:hanging="107" w:hangingChars="51"/>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最重要子因素</w:t>
            </w:r>
          </w:p>
        </w:tc>
        <w:tc>
          <w:tcPr>
            <w:tcW w:w="1134" w:type="dxa"/>
          </w:tcPr>
          <w:p w14:paraId="02683916">
            <w:pPr>
              <w:widowControl/>
              <w:spacing w:line="0" w:lineRule="atLeast"/>
              <w:ind w:left="-109" w:leftChars="-52" w:right="-99" w:rightChars="-47" w:firstLine="1"/>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子因素排名</w:t>
            </w:r>
          </w:p>
        </w:tc>
      </w:tr>
      <w:tr w14:paraId="706C12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 w:hRule="atLeast"/>
        </w:trPr>
        <w:tc>
          <w:tcPr>
            <w:tcW w:w="959" w:type="dxa"/>
            <w:vMerge w:val="restart"/>
          </w:tcPr>
          <w:p w14:paraId="6FB37B6F">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w:t>
            </w:r>
          </w:p>
        </w:tc>
        <w:tc>
          <w:tcPr>
            <w:tcW w:w="1276" w:type="dxa"/>
            <w:vMerge w:val="restart"/>
          </w:tcPr>
          <w:p w14:paraId="5AA74EF5">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10.0</w:t>
            </w:r>
          </w:p>
        </w:tc>
        <w:tc>
          <w:tcPr>
            <w:tcW w:w="1417" w:type="dxa"/>
            <w:vMerge w:val="restart"/>
          </w:tcPr>
          <w:p w14:paraId="1DF455AF">
            <w:pPr>
              <w:widowControl/>
              <w:spacing w:line="0" w:lineRule="atLeast"/>
              <w:ind w:leftChars="-51" w:hanging="107" w:hangingChars="51"/>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人才驱动</w:t>
            </w:r>
          </w:p>
        </w:tc>
        <w:tc>
          <w:tcPr>
            <w:tcW w:w="3969" w:type="dxa"/>
            <w:tcBorders>
              <w:bottom w:val="single" w:color="auto" w:sz="4" w:space="0"/>
            </w:tcBorders>
          </w:tcPr>
          <w:p w14:paraId="2AFEF93F">
            <w:pPr>
              <w:widowControl/>
              <w:spacing w:line="0" w:lineRule="atLeast"/>
              <w:ind w:left="-109" w:leftChars="-52" w:right="-107" w:rightChars="-51" w:firstLine="1"/>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科学家、研究人员、工程师素质与可得性</w:t>
            </w:r>
          </w:p>
        </w:tc>
        <w:tc>
          <w:tcPr>
            <w:tcW w:w="1134" w:type="dxa"/>
            <w:tcBorders>
              <w:bottom w:val="single" w:color="auto" w:sz="4" w:space="0"/>
            </w:tcBorders>
          </w:tcPr>
          <w:p w14:paraId="131DBA85">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w:t>
            </w:r>
          </w:p>
        </w:tc>
      </w:tr>
      <w:tr w14:paraId="3369A5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959" w:type="dxa"/>
            <w:vMerge w:val="continue"/>
          </w:tcPr>
          <w:p w14:paraId="071F5226">
            <w:pPr>
              <w:widowControl/>
              <w:spacing w:line="0" w:lineRule="atLeast"/>
              <w:jc w:val="left"/>
              <w:rPr>
                <w:rFonts w:ascii="宋体" w:hAnsi="宋体"/>
                <w:color w:val="000000" w:themeColor="text1"/>
                <w:szCs w:val="21"/>
                <w14:textFill>
                  <w14:solidFill>
                    <w14:schemeClr w14:val="tx1"/>
                  </w14:solidFill>
                </w14:textFill>
              </w:rPr>
            </w:pPr>
          </w:p>
        </w:tc>
        <w:tc>
          <w:tcPr>
            <w:tcW w:w="1276" w:type="dxa"/>
            <w:vMerge w:val="continue"/>
          </w:tcPr>
          <w:p w14:paraId="40FD34FB">
            <w:pPr>
              <w:widowControl/>
              <w:spacing w:line="0" w:lineRule="atLeast"/>
              <w:jc w:val="left"/>
              <w:rPr>
                <w:rFonts w:ascii="宋体" w:hAnsi="宋体"/>
                <w:color w:val="000000" w:themeColor="text1"/>
                <w:szCs w:val="21"/>
                <w14:textFill>
                  <w14:solidFill>
                    <w14:schemeClr w14:val="tx1"/>
                  </w14:solidFill>
                </w14:textFill>
              </w:rPr>
            </w:pPr>
          </w:p>
        </w:tc>
        <w:tc>
          <w:tcPr>
            <w:tcW w:w="1417" w:type="dxa"/>
            <w:vMerge w:val="continue"/>
          </w:tcPr>
          <w:p w14:paraId="3C482730">
            <w:pPr>
              <w:widowControl/>
              <w:spacing w:line="0" w:lineRule="atLeast"/>
              <w:jc w:val="left"/>
              <w:rPr>
                <w:rFonts w:ascii="宋体" w:hAnsi="宋体"/>
                <w:color w:val="000000" w:themeColor="text1"/>
                <w:szCs w:val="21"/>
                <w14:textFill>
                  <w14:solidFill>
                    <w14:schemeClr w14:val="tx1"/>
                  </w14:solidFill>
                </w14:textFill>
              </w:rPr>
            </w:pPr>
          </w:p>
        </w:tc>
        <w:tc>
          <w:tcPr>
            <w:tcW w:w="3969" w:type="dxa"/>
            <w:tcBorders>
              <w:top w:val="single" w:color="auto" w:sz="4" w:space="0"/>
            </w:tcBorders>
          </w:tcPr>
          <w:p w14:paraId="4BB668A3">
            <w:pPr>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技术工人素质与可得性</w:t>
            </w:r>
          </w:p>
        </w:tc>
        <w:tc>
          <w:tcPr>
            <w:tcW w:w="1134" w:type="dxa"/>
            <w:tcBorders>
              <w:top w:val="single" w:color="auto" w:sz="4" w:space="0"/>
            </w:tcBorders>
          </w:tcPr>
          <w:p w14:paraId="5A8BB8FF">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w:t>
            </w:r>
          </w:p>
        </w:tc>
      </w:tr>
      <w:tr w14:paraId="0BF88B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3" w:hRule="atLeast"/>
        </w:trPr>
        <w:tc>
          <w:tcPr>
            <w:tcW w:w="959" w:type="dxa"/>
            <w:vMerge w:val="restart"/>
          </w:tcPr>
          <w:p w14:paraId="062A7339">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w:t>
            </w:r>
          </w:p>
        </w:tc>
        <w:tc>
          <w:tcPr>
            <w:tcW w:w="1276" w:type="dxa"/>
            <w:vMerge w:val="restart"/>
          </w:tcPr>
          <w:p w14:paraId="5AAF7FA1">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8.42</w:t>
            </w:r>
          </w:p>
        </w:tc>
        <w:tc>
          <w:tcPr>
            <w:tcW w:w="1417" w:type="dxa"/>
            <w:vMerge w:val="restart"/>
          </w:tcPr>
          <w:p w14:paraId="658551B7">
            <w:pPr>
              <w:widowControl/>
              <w:spacing w:line="0" w:lineRule="atLeast"/>
              <w:ind w:left="-109" w:leftChars="-52" w:right="-107" w:rightChars="-51" w:firstLine="1"/>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经济、贸易、金融与税务体系</w:t>
            </w:r>
          </w:p>
        </w:tc>
        <w:tc>
          <w:tcPr>
            <w:tcW w:w="3969" w:type="dxa"/>
            <w:tcBorders>
              <w:bottom w:val="single" w:color="auto" w:sz="4" w:space="0"/>
            </w:tcBorders>
          </w:tcPr>
          <w:p w14:paraId="0F3907AA">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税收负担与税制的复杂程度</w:t>
            </w:r>
          </w:p>
        </w:tc>
        <w:tc>
          <w:tcPr>
            <w:tcW w:w="1134" w:type="dxa"/>
            <w:tcBorders>
              <w:bottom w:val="single" w:color="auto" w:sz="4" w:space="0"/>
            </w:tcBorders>
          </w:tcPr>
          <w:p w14:paraId="70051518">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w:t>
            </w:r>
          </w:p>
        </w:tc>
      </w:tr>
      <w:tr w14:paraId="66A22C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959" w:type="dxa"/>
            <w:vMerge w:val="continue"/>
          </w:tcPr>
          <w:p w14:paraId="412CBEA2">
            <w:pPr>
              <w:widowControl/>
              <w:spacing w:line="0" w:lineRule="atLeast"/>
              <w:jc w:val="left"/>
              <w:rPr>
                <w:rFonts w:ascii="宋体" w:hAnsi="宋体"/>
                <w:color w:val="000000" w:themeColor="text1"/>
                <w:szCs w:val="21"/>
                <w14:textFill>
                  <w14:solidFill>
                    <w14:schemeClr w14:val="tx1"/>
                  </w14:solidFill>
                </w14:textFill>
              </w:rPr>
            </w:pPr>
          </w:p>
        </w:tc>
        <w:tc>
          <w:tcPr>
            <w:tcW w:w="1276" w:type="dxa"/>
            <w:vMerge w:val="continue"/>
          </w:tcPr>
          <w:p w14:paraId="677F808C">
            <w:pPr>
              <w:widowControl/>
              <w:spacing w:line="0" w:lineRule="atLeast"/>
              <w:jc w:val="left"/>
              <w:rPr>
                <w:rFonts w:ascii="宋体" w:hAnsi="宋体"/>
                <w:color w:val="000000" w:themeColor="text1"/>
                <w:szCs w:val="21"/>
                <w14:textFill>
                  <w14:solidFill>
                    <w14:schemeClr w14:val="tx1"/>
                  </w14:solidFill>
                </w14:textFill>
              </w:rPr>
            </w:pPr>
          </w:p>
        </w:tc>
        <w:tc>
          <w:tcPr>
            <w:tcW w:w="1417" w:type="dxa"/>
            <w:vMerge w:val="continue"/>
          </w:tcPr>
          <w:p w14:paraId="3B854661">
            <w:pPr>
              <w:widowControl/>
              <w:spacing w:line="0" w:lineRule="atLeast"/>
              <w:ind w:right="-107" w:rightChars="-51"/>
              <w:jc w:val="left"/>
              <w:rPr>
                <w:rFonts w:ascii="宋体" w:hAnsi="宋体"/>
                <w:color w:val="000000" w:themeColor="text1"/>
                <w:szCs w:val="21"/>
                <w14:textFill>
                  <w14:solidFill>
                    <w14:schemeClr w14:val="tx1"/>
                  </w14:solidFill>
                </w14:textFill>
              </w:rPr>
            </w:pPr>
          </w:p>
        </w:tc>
        <w:tc>
          <w:tcPr>
            <w:tcW w:w="3969" w:type="dxa"/>
            <w:tcBorders>
              <w:top w:val="single" w:color="auto" w:sz="4" w:space="0"/>
            </w:tcBorders>
          </w:tcPr>
          <w:p w14:paraId="2D315A0F">
            <w:pPr>
              <w:widowControl/>
              <w:spacing w:line="0" w:lineRule="atLeast"/>
              <w:ind w:leftChars="-51" w:right="-107" w:rightChars="-51" w:hanging="107" w:hangingChars="51"/>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法规与税收、经济政策透明度与稳定性</w:t>
            </w:r>
          </w:p>
        </w:tc>
        <w:tc>
          <w:tcPr>
            <w:tcW w:w="1134" w:type="dxa"/>
            <w:tcBorders>
              <w:top w:val="single" w:color="auto" w:sz="4" w:space="0"/>
            </w:tcBorders>
          </w:tcPr>
          <w:p w14:paraId="1E1D9A2A">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w:t>
            </w:r>
          </w:p>
        </w:tc>
      </w:tr>
      <w:tr w14:paraId="184D11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5" w:hRule="atLeast"/>
        </w:trPr>
        <w:tc>
          <w:tcPr>
            <w:tcW w:w="959" w:type="dxa"/>
            <w:vMerge w:val="restart"/>
          </w:tcPr>
          <w:p w14:paraId="5B1C285F">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w:t>
            </w:r>
          </w:p>
        </w:tc>
        <w:tc>
          <w:tcPr>
            <w:tcW w:w="1276" w:type="dxa"/>
            <w:vMerge w:val="restart"/>
          </w:tcPr>
          <w:p w14:paraId="79EA665E">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8.07</w:t>
            </w:r>
          </w:p>
        </w:tc>
        <w:tc>
          <w:tcPr>
            <w:tcW w:w="1417" w:type="dxa"/>
            <w:vMerge w:val="restart"/>
          </w:tcPr>
          <w:p w14:paraId="187F1D4D">
            <w:pPr>
              <w:widowControl/>
              <w:spacing w:line="0" w:lineRule="atLeast"/>
              <w:ind w:left="-109" w:leftChars="-52" w:right="-107" w:rightChars="-51" w:firstLine="1"/>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劳动力与原料成本与可得性</w:t>
            </w:r>
          </w:p>
        </w:tc>
        <w:tc>
          <w:tcPr>
            <w:tcW w:w="3969" w:type="dxa"/>
            <w:tcBorders>
              <w:bottom w:val="single" w:color="auto" w:sz="4" w:space="0"/>
            </w:tcBorders>
          </w:tcPr>
          <w:p w14:paraId="44BE5DC3">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原料成本竞争力</w:t>
            </w:r>
          </w:p>
        </w:tc>
        <w:tc>
          <w:tcPr>
            <w:tcW w:w="1134" w:type="dxa"/>
            <w:tcBorders>
              <w:bottom w:val="single" w:color="auto" w:sz="4" w:space="0"/>
            </w:tcBorders>
          </w:tcPr>
          <w:p w14:paraId="0458AADA">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11</w:t>
            </w:r>
          </w:p>
        </w:tc>
      </w:tr>
      <w:tr w14:paraId="494507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959" w:type="dxa"/>
            <w:vMerge w:val="continue"/>
          </w:tcPr>
          <w:p w14:paraId="0FB33E28">
            <w:pPr>
              <w:widowControl/>
              <w:spacing w:line="0" w:lineRule="atLeast"/>
              <w:jc w:val="left"/>
              <w:rPr>
                <w:rFonts w:ascii="宋体" w:hAnsi="宋体"/>
                <w:color w:val="000000" w:themeColor="text1"/>
                <w:szCs w:val="21"/>
                <w14:textFill>
                  <w14:solidFill>
                    <w14:schemeClr w14:val="tx1"/>
                  </w14:solidFill>
                </w14:textFill>
              </w:rPr>
            </w:pPr>
          </w:p>
        </w:tc>
        <w:tc>
          <w:tcPr>
            <w:tcW w:w="1276" w:type="dxa"/>
            <w:vMerge w:val="continue"/>
          </w:tcPr>
          <w:p w14:paraId="6F284F1A">
            <w:pPr>
              <w:widowControl/>
              <w:spacing w:line="0" w:lineRule="atLeast"/>
              <w:jc w:val="left"/>
              <w:rPr>
                <w:rFonts w:ascii="宋体" w:hAnsi="宋体"/>
                <w:color w:val="000000" w:themeColor="text1"/>
                <w:szCs w:val="21"/>
                <w14:textFill>
                  <w14:solidFill>
                    <w14:schemeClr w14:val="tx1"/>
                  </w14:solidFill>
                </w14:textFill>
              </w:rPr>
            </w:pPr>
          </w:p>
        </w:tc>
        <w:tc>
          <w:tcPr>
            <w:tcW w:w="1417" w:type="dxa"/>
            <w:vMerge w:val="continue"/>
          </w:tcPr>
          <w:p w14:paraId="1A78D109">
            <w:pPr>
              <w:widowControl/>
              <w:spacing w:line="0" w:lineRule="atLeast"/>
              <w:ind w:left="-109" w:leftChars="-52" w:right="-107" w:rightChars="-51" w:firstLine="1"/>
              <w:jc w:val="left"/>
              <w:rPr>
                <w:rFonts w:ascii="宋体" w:hAnsi="宋体"/>
                <w:color w:val="000000" w:themeColor="text1"/>
                <w:szCs w:val="21"/>
                <w14:textFill>
                  <w14:solidFill>
                    <w14:schemeClr w14:val="tx1"/>
                  </w14:solidFill>
                </w14:textFill>
              </w:rPr>
            </w:pPr>
          </w:p>
        </w:tc>
        <w:tc>
          <w:tcPr>
            <w:tcW w:w="3969" w:type="dxa"/>
            <w:tcBorders>
              <w:top w:val="single" w:color="auto" w:sz="4" w:space="0"/>
            </w:tcBorders>
          </w:tcPr>
          <w:p w14:paraId="3BE493C9">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原材料的供应</w:t>
            </w:r>
          </w:p>
        </w:tc>
        <w:tc>
          <w:tcPr>
            <w:tcW w:w="1134" w:type="dxa"/>
            <w:tcBorders>
              <w:top w:val="single" w:color="auto" w:sz="4" w:space="0"/>
            </w:tcBorders>
          </w:tcPr>
          <w:p w14:paraId="1921CB88">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21</w:t>
            </w:r>
          </w:p>
        </w:tc>
      </w:tr>
      <w:tr w14:paraId="55FA2D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959" w:type="dxa"/>
            <w:vMerge w:val="restart"/>
          </w:tcPr>
          <w:p w14:paraId="113D749A">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w:t>
            </w:r>
          </w:p>
        </w:tc>
        <w:tc>
          <w:tcPr>
            <w:tcW w:w="1276" w:type="dxa"/>
            <w:vMerge w:val="restart"/>
          </w:tcPr>
          <w:p w14:paraId="645C038F">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7.76</w:t>
            </w:r>
          </w:p>
        </w:tc>
        <w:tc>
          <w:tcPr>
            <w:tcW w:w="1417" w:type="dxa"/>
            <w:vMerge w:val="restart"/>
          </w:tcPr>
          <w:p w14:paraId="3C37B2E0">
            <w:pPr>
              <w:widowControl/>
              <w:spacing w:line="0" w:lineRule="atLeast"/>
              <w:ind w:leftChars="-51" w:hanging="107" w:hangingChars="51"/>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供应商网络</w:t>
            </w:r>
          </w:p>
        </w:tc>
        <w:tc>
          <w:tcPr>
            <w:tcW w:w="3969" w:type="dxa"/>
            <w:tcBorders>
              <w:bottom w:val="single" w:color="auto" w:sz="4" w:space="0"/>
            </w:tcBorders>
          </w:tcPr>
          <w:p w14:paraId="067C2296">
            <w:pPr>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本地供应商的成本竞争力</w:t>
            </w:r>
          </w:p>
        </w:tc>
        <w:tc>
          <w:tcPr>
            <w:tcW w:w="1134" w:type="dxa"/>
            <w:tcBorders>
              <w:bottom w:val="single" w:color="auto" w:sz="4" w:space="0"/>
            </w:tcBorders>
          </w:tcPr>
          <w:p w14:paraId="32F02115">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8</w:t>
            </w:r>
          </w:p>
        </w:tc>
      </w:tr>
      <w:tr w14:paraId="0CEE38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trPr>
        <w:tc>
          <w:tcPr>
            <w:tcW w:w="959" w:type="dxa"/>
            <w:vMerge w:val="continue"/>
          </w:tcPr>
          <w:p w14:paraId="4DBA60C1">
            <w:pPr>
              <w:widowControl/>
              <w:spacing w:line="0" w:lineRule="atLeast"/>
              <w:jc w:val="left"/>
              <w:rPr>
                <w:rFonts w:ascii="宋体" w:hAnsi="宋体"/>
                <w:color w:val="000000" w:themeColor="text1"/>
                <w:szCs w:val="21"/>
                <w14:textFill>
                  <w14:solidFill>
                    <w14:schemeClr w14:val="tx1"/>
                  </w14:solidFill>
                </w14:textFill>
              </w:rPr>
            </w:pPr>
          </w:p>
        </w:tc>
        <w:tc>
          <w:tcPr>
            <w:tcW w:w="1276" w:type="dxa"/>
            <w:vMerge w:val="continue"/>
          </w:tcPr>
          <w:p w14:paraId="45FA7B18">
            <w:pPr>
              <w:widowControl/>
              <w:spacing w:line="0" w:lineRule="atLeast"/>
              <w:jc w:val="left"/>
              <w:rPr>
                <w:rFonts w:ascii="宋体" w:hAnsi="宋体"/>
                <w:color w:val="000000" w:themeColor="text1"/>
                <w:szCs w:val="21"/>
                <w14:textFill>
                  <w14:solidFill>
                    <w14:schemeClr w14:val="tx1"/>
                  </w14:solidFill>
                </w14:textFill>
              </w:rPr>
            </w:pPr>
          </w:p>
        </w:tc>
        <w:tc>
          <w:tcPr>
            <w:tcW w:w="1417" w:type="dxa"/>
            <w:vMerge w:val="continue"/>
          </w:tcPr>
          <w:p w14:paraId="6BA643A2">
            <w:pPr>
              <w:widowControl/>
              <w:spacing w:line="0" w:lineRule="atLeast"/>
              <w:jc w:val="left"/>
              <w:rPr>
                <w:rFonts w:ascii="宋体" w:hAnsi="宋体"/>
                <w:color w:val="000000" w:themeColor="text1"/>
                <w:szCs w:val="21"/>
                <w14:textFill>
                  <w14:solidFill>
                    <w14:schemeClr w14:val="tx1"/>
                  </w14:solidFill>
                </w14:textFill>
              </w:rPr>
            </w:pPr>
          </w:p>
        </w:tc>
        <w:tc>
          <w:tcPr>
            <w:tcW w:w="3969" w:type="dxa"/>
            <w:tcBorders>
              <w:top w:val="single" w:color="auto" w:sz="4" w:space="0"/>
            </w:tcBorders>
          </w:tcPr>
          <w:p w14:paraId="2934CCD9">
            <w:pPr>
              <w:spacing w:line="0" w:lineRule="atLeast"/>
              <w:ind w:leftChars="-51" w:hanging="107" w:hangingChars="51"/>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供应商群体进行产品和流程革新能力</w:t>
            </w:r>
          </w:p>
        </w:tc>
        <w:tc>
          <w:tcPr>
            <w:tcW w:w="1134" w:type="dxa"/>
            <w:tcBorders>
              <w:top w:val="single" w:color="auto" w:sz="4" w:space="0"/>
            </w:tcBorders>
          </w:tcPr>
          <w:p w14:paraId="60A79A8B">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9</w:t>
            </w:r>
          </w:p>
        </w:tc>
      </w:tr>
      <w:tr w14:paraId="724CB1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8" w:hRule="atLeast"/>
        </w:trPr>
        <w:tc>
          <w:tcPr>
            <w:tcW w:w="959" w:type="dxa"/>
            <w:vMerge w:val="restart"/>
          </w:tcPr>
          <w:p w14:paraId="76487E70">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w:t>
            </w:r>
          </w:p>
        </w:tc>
        <w:tc>
          <w:tcPr>
            <w:tcW w:w="1276" w:type="dxa"/>
            <w:vMerge w:val="restart"/>
          </w:tcPr>
          <w:p w14:paraId="164FFE00">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7.60</w:t>
            </w:r>
          </w:p>
        </w:tc>
        <w:tc>
          <w:tcPr>
            <w:tcW w:w="1417" w:type="dxa"/>
            <w:vMerge w:val="restart"/>
          </w:tcPr>
          <w:p w14:paraId="76FC31CD">
            <w:pPr>
              <w:widowControl/>
              <w:spacing w:line="0" w:lineRule="atLeast"/>
              <w:ind w:leftChars="-51" w:hanging="107" w:hangingChars="51"/>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法律法规体系</w:t>
            </w:r>
          </w:p>
        </w:tc>
        <w:tc>
          <w:tcPr>
            <w:tcW w:w="3969" w:type="dxa"/>
            <w:tcBorders>
              <w:bottom w:val="single" w:color="auto" w:sz="4" w:space="0"/>
            </w:tcBorders>
          </w:tcPr>
          <w:p w14:paraId="0EC2DFEA">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法规政策的稳定性与透明度</w:t>
            </w:r>
          </w:p>
        </w:tc>
        <w:tc>
          <w:tcPr>
            <w:tcW w:w="1134" w:type="dxa"/>
            <w:tcBorders>
              <w:bottom w:val="single" w:color="auto" w:sz="4" w:space="0"/>
            </w:tcBorders>
          </w:tcPr>
          <w:p w14:paraId="40AB9D05">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7</w:t>
            </w:r>
          </w:p>
        </w:tc>
      </w:tr>
      <w:tr w14:paraId="4BB15F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 w:hRule="atLeast"/>
        </w:trPr>
        <w:tc>
          <w:tcPr>
            <w:tcW w:w="959" w:type="dxa"/>
            <w:vMerge w:val="continue"/>
          </w:tcPr>
          <w:p w14:paraId="4E1A0F0E">
            <w:pPr>
              <w:widowControl/>
              <w:spacing w:line="0" w:lineRule="atLeast"/>
              <w:jc w:val="left"/>
              <w:rPr>
                <w:rFonts w:ascii="宋体" w:hAnsi="宋体"/>
                <w:color w:val="000000" w:themeColor="text1"/>
                <w:szCs w:val="21"/>
                <w14:textFill>
                  <w14:solidFill>
                    <w14:schemeClr w14:val="tx1"/>
                  </w14:solidFill>
                </w14:textFill>
              </w:rPr>
            </w:pPr>
          </w:p>
        </w:tc>
        <w:tc>
          <w:tcPr>
            <w:tcW w:w="1276" w:type="dxa"/>
            <w:vMerge w:val="continue"/>
          </w:tcPr>
          <w:p w14:paraId="7D3E073E">
            <w:pPr>
              <w:widowControl/>
              <w:spacing w:line="0" w:lineRule="atLeast"/>
              <w:jc w:val="left"/>
              <w:rPr>
                <w:rFonts w:ascii="宋体" w:hAnsi="宋体"/>
                <w:color w:val="000000" w:themeColor="text1"/>
                <w:szCs w:val="21"/>
                <w14:textFill>
                  <w14:solidFill>
                    <w14:schemeClr w14:val="tx1"/>
                  </w14:solidFill>
                </w14:textFill>
              </w:rPr>
            </w:pPr>
          </w:p>
        </w:tc>
        <w:tc>
          <w:tcPr>
            <w:tcW w:w="1417" w:type="dxa"/>
            <w:vMerge w:val="continue"/>
          </w:tcPr>
          <w:p w14:paraId="0242450D">
            <w:pPr>
              <w:widowControl/>
              <w:spacing w:line="0" w:lineRule="atLeast"/>
              <w:ind w:leftChars="-51" w:hanging="107" w:hangingChars="51"/>
              <w:jc w:val="left"/>
              <w:rPr>
                <w:rFonts w:ascii="宋体" w:hAnsi="宋体"/>
                <w:color w:val="000000" w:themeColor="text1"/>
                <w:szCs w:val="21"/>
                <w14:textFill>
                  <w14:solidFill>
                    <w14:schemeClr w14:val="tx1"/>
                  </w14:solidFill>
                </w14:textFill>
              </w:rPr>
            </w:pPr>
          </w:p>
        </w:tc>
        <w:tc>
          <w:tcPr>
            <w:tcW w:w="3969" w:type="dxa"/>
            <w:tcBorders>
              <w:top w:val="single" w:color="auto" w:sz="4" w:space="0"/>
            </w:tcBorders>
          </w:tcPr>
          <w:p w14:paraId="2106222A">
            <w:pPr>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劳工法规</w:t>
            </w:r>
          </w:p>
        </w:tc>
        <w:tc>
          <w:tcPr>
            <w:tcW w:w="1134" w:type="dxa"/>
            <w:tcBorders>
              <w:top w:val="single" w:color="auto" w:sz="4" w:space="0"/>
            </w:tcBorders>
          </w:tcPr>
          <w:p w14:paraId="5381FF61">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w:t>
            </w:r>
          </w:p>
        </w:tc>
      </w:tr>
      <w:tr w14:paraId="2E8014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959" w:type="dxa"/>
            <w:vMerge w:val="restart"/>
          </w:tcPr>
          <w:p w14:paraId="13AB18E0">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6</w:t>
            </w:r>
          </w:p>
        </w:tc>
        <w:tc>
          <w:tcPr>
            <w:tcW w:w="1276" w:type="dxa"/>
            <w:vMerge w:val="restart"/>
          </w:tcPr>
          <w:p w14:paraId="37952B23">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6.47</w:t>
            </w:r>
          </w:p>
        </w:tc>
        <w:tc>
          <w:tcPr>
            <w:tcW w:w="1417" w:type="dxa"/>
            <w:vMerge w:val="restart"/>
          </w:tcPr>
          <w:p w14:paraId="7FE2A858">
            <w:pPr>
              <w:widowControl/>
              <w:spacing w:line="0" w:lineRule="atLeast"/>
              <w:ind w:leftChars="-51" w:hanging="107" w:hangingChars="51"/>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基础设施建设</w:t>
            </w:r>
          </w:p>
        </w:tc>
        <w:tc>
          <w:tcPr>
            <w:tcW w:w="3969" w:type="dxa"/>
            <w:tcBorders>
              <w:bottom w:val="single" w:color="auto" w:sz="4" w:space="0"/>
            </w:tcBorders>
          </w:tcPr>
          <w:p w14:paraId="3E5D74AF">
            <w:pPr>
              <w:widowControl/>
              <w:spacing w:line="0" w:lineRule="atLeast"/>
              <w:ind w:leftChars="-51" w:right="-107" w:rightChars="-51" w:hanging="107" w:hangingChars="51"/>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电力供应网、信息科技与通讯网质量与效率</w:t>
            </w:r>
          </w:p>
        </w:tc>
        <w:tc>
          <w:tcPr>
            <w:tcW w:w="1134" w:type="dxa"/>
            <w:tcBorders>
              <w:bottom w:val="single" w:color="auto" w:sz="4" w:space="0"/>
            </w:tcBorders>
          </w:tcPr>
          <w:p w14:paraId="178229F0">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w:t>
            </w:r>
          </w:p>
        </w:tc>
      </w:tr>
      <w:tr w14:paraId="619990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 w:hRule="atLeast"/>
        </w:trPr>
        <w:tc>
          <w:tcPr>
            <w:tcW w:w="959" w:type="dxa"/>
            <w:vMerge w:val="continue"/>
          </w:tcPr>
          <w:p w14:paraId="782E86FD">
            <w:pPr>
              <w:widowControl/>
              <w:spacing w:line="0" w:lineRule="atLeast"/>
              <w:jc w:val="left"/>
              <w:rPr>
                <w:rFonts w:ascii="宋体" w:hAnsi="宋体"/>
                <w:color w:val="000000" w:themeColor="text1"/>
                <w:szCs w:val="21"/>
                <w14:textFill>
                  <w14:solidFill>
                    <w14:schemeClr w14:val="tx1"/>
                  </w14:solidFill>
                </w14:textFill>
              </w:rPr>
            </w:pPr>
          </w:p>
        </w:tc>
        <w:tc>
          <w:tcPr>
            <w:tcW w:w="1276" w:type="dxa"/>
            <w:vMerge w:val="continue"/>
          </w:tcPr>
          <w:p w14:paraId="5012751F">
            <w:pPr>
              <w:widowControl/>
              <w:spacing w:line="0" w:lineRule="atLeast"/>
              <w:jc w:val="left"/>
              <w:rPr>
                <w:rFonts w:ascii="宋体" w:hAnsi="宋体"/>
                <w:color w:val="000000" w:themeColor="text1"/>
                <w:szCs w:val="21"/>
                <w14:textFill>
                  <w14:solidFill>
                    <w14:schemeClr w14:val="tx1"/>
                  </w14:solidFill>
                </w14:textFill>
              </w:rPr>
            </w:pPr>
          </w:p>
        </w:tc>
        <w:tc>
          <w:tcPr>
            <w:tcW w:w="1417" w:type="dxa"/>
            <w:vMerge w:val="continue"/>
          </w:tcPr>
          <w:p w14:paraId="32A1B31A">
            <w:pPr>
              <w:widowControl/>
              <w:spacing w:line="0" w:lineRule="atLeast"/>
              <w:jc w:val="left"/>
              <w:rPr>
                <w:rFonts w:ascii="宋体" w:hAnsi="宋体"/>
                <w:color w:val="000000" w:themeColor="text1"/>
                <w:szCs w:val="21"/>
                <w14:textFill>
                  <w14:solidFill>
                    <w14:schemeClr w14:val="tx1"/>
                  </w14:solidFill>
                </w14:textFill>
              </w:rPr>
            </w:pPr>
          </w:p>
        </w:tc>
        <w:tc>
          <w:tcPr>
            <w:tcW w:w="3969" w:type="dxa"/>
            <w:tcBorders>
              <w:top w:val="single" w:color="auto" w:sz="4" w:space="0"/>
            </w:tcBorders>
          </w:tcPr>
          <w:p w14:paraId="65A6B2C2">
            <w:pPr>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公路、机场、港口和铁路网质量与效率</w:t>
            </w:r>
          </w:p>
        </w:tc>
        <w:tc>
          <w:tcPr>
            <w:tcW w:w="1134" w:type="dxa"/>
            <w:tcBorders>
              <w:top w:val="single" w:color="auto" w:sz="4" w:space="0"/>
            </w:tcBorders>
          </w:tcPr>
          <w:p w14:paraId="753014EC">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16</w:t>
            </w:r>
          </w:p>
        </w:tc>
      </w:tr>
      <w:tr w14:paraId="6DE081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959" w:type="dxa"/>
            <w:vMerge w:val="restart"/>
          </w:tcPr>
          <w:p w14:paraId="7376E36D">
            <w:pPr>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7</w:t>
            </w:r>
          </w:p>
        </w:tc>
        <w:tc>
          <w:tcPr>
            <w:tcW w:w="1276" w:type="dxa"/>
            <w:vMerge w:val="restart"/>
          </w:tcPr>
          <w:p w14:paraId="5EB207DD">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6.25</w:t>
            </w:r>
          </w:p>
        </w:tc>
        <w:tc>
          <w:tcPr>
            <w:tcW w:w="1417" w:type="dxa"/>
            <w:vMerge w:val="restart"/>
          </w:tcPr>
          <w:p w14:paraId="2EB10782">
            <w:pPr>
              <w:widowControl/>
              <w:spacing w:line="0" w:lineRule="atLeast"/>
              <w:ind w:left="-109" w:leftChars="-52" w:right="-107" w:rightChars="-51" w:firstLine="1"/>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能源成本和政策</w:t>
            </w:r>
          </w:p>
        </w:tc>
        <w:tc>
          <w:tcPr>
            <w:tcW w:w="3969" w:type="dxa"/>
            <w:tcBorders>
              <w:bottom w:val="single" w:color="auto" w:sz="4" w:space="0"/>
            </w:tcBorders>
          </w:tcPr>
          <w:p w14:paraId="66C666D4">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能源成本竞争力</w:t>
            </w:r>
          </w:p>
        </w:tc>
        <w:tc>
          <w:tcPr>
            <w:tcW w:w="1134" w:type="dxa"/>
            <w:tcBorders>
              <w:bottom w:val="single" w:color="auto" w:sz="4" w:space="0"/>
            </w:tcBorders>
          </w:tcPr>
          <w:p w14:paraId="71907EC1">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14</w:t>
            </w:r>
          </w:p>
        </w:tc>
      </w:tr>
      <w:tr w14:paraId="4DD0D1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8" w:hRule="atLeast"/>
        </w:trPr>
        <w:tc>
          <w:tcPr>
            <w:tcW w:w="959" w:type="dxa"/>
            <w:vMerge w:val="continue"/>
            <w:tcBorders>
              <w:bottom w:val="single" w:color="auto" w:sz="4" w:space="0"/>
            </w:tcBorders>
          </w:tcPr>
          <w:p w14:paraId="17C083D2">
            <w:pPr>
              <w:spacing w:line="0" w:lineRule="atLeast"/>
              <w:jc w:val="left"/>
              <w:rPr>
                <w:rFonts w:ascii="宋体" w:hAnsi="宋体"/>
                <w:color w:val="000000" w:themeColor="text1"/>
                <w:szCs w:val="21"/>
                <w14:textFill>
                  <w14:solidFill>
                    <w14:schemeClr w14:val="tx1"/>
                  </w14:solidFill>
                </w14:textFill>
              </w:rPr>
            </w:pPr>
          </w:p>
        </w:tc>
        <w:tc>
          <w:tcPr>
            <w:tcW w:w="1276" w:type="dxa"/>
            <w:vMerge w:val="continue"/>
            <w:tcBorders>
              <w:bottom w:val="single" w:color="auto" w:sz="4" w:space="0"/>
            </w:tcBorders>
          </w:tcPr>
          <w:p w14:paraId="3FDF9AE6">
            <w:pPr>
              <w:widowControl/>
              <w:spacing w:line="0" w:lineRule="atLeast"/>
              <w:jc w:val="left"/>
              <w:rPr>
                <w:rFonts w:ascii="宋体" w:hAnsi="宋体"/>
                <w:color w:val="000000" w:themeColor="text1"/>
                <w:szCs w:val="21"/>
                <w14:textFill>
                  <w14:solidFill>
                    <w14:schemeClr w14:val="tx1"/>
                  </w14:solidFill>
                </w14:textFill>
              </w:rPr>
            </w:pPr>
          </w:p>
        </w:tc>
        <w:tc>
          <w:tcPr>
            <w:tcW w:w="1417" w:type="dxa"/>
            <w:vMerge w:val="continue"/>
            <w:tcBorders>
              <w:bottom w:val="single" w:color="auto" w:sz="4" w:space="0"/>
            </w:tcBorders>
          </w:tcPr>
          <w:p w14:paraId="6DE68D6A">
            <w:pPr>
              <w:widowControl/>
              <w:spacing w:line="0" w:lineRule="atLeast"/>
              <w:jc w:val="left"/>
              <w:rPr>
                <w:rFonts w:ascii="宋体" w:hAnsi="宋体"/>
                <w:color w:val="000000" w:themeColor="text1"/>
                <w:szCs w:val="21"/>
                <w14:textFill>
                  <w14:solidFill>
                    <w14:schemeClr w14:val="tx1"/>
                  </w14:solidFill>
                </w14:textFill>
              </w:rPr>
            </w:pPr>
          </w:p>
        </w:tc>
        <w:tc>
          <w:tcPr>
            <w:tcW w:w="3969" w:type="dxa"/>
            <w:tcBorders>
              <w:top w:val="single" w:color="auto" w:sz="4" w:space="0"/>
              <w:bottom w:val="single" w:color="auto" w:sz="4" w:space="0"/>
            </w:tcBorders>
          </w:tcPr>
          <w:p w14:paraId="2DEC29E8">
            <w:pPr>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改善及更新能源基础设施的持续投资</w:t>
            </w:r>
          </w:p>
        </w:tc>
        <w:tc>
          <w:tcPr>
            <w:tcW w:w="1134" w:type="dxa"/>
            <w:tcBorders>
              <w:top w:val="single" w:color="auto" w:sz="4" w:space="0"/>
              <w:bottom w:val="single" w:color="auto" w:sz="4" w:space="0"/>
            </w:tcBorders>
          </w:tcPr>
          <w:p w14:paraId="62A7E7BA">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20</w:t>
            </w:r>
          </w:p>
        </w:tc>
      </w:tr>
      <w:tr w14:paraId="4E4475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trPr>
        <w:tc>
          <w:tcPr>
            <w:tcW w:w="959" w:type="dxa"/>
            <w:vMerge w:val="restart"/>
            <w:tcBorders>
              <w:top w:val="single" w:color="auto" w:sz="4" w:space="0"/>
            </w:tcBorders>
          </w:tcPr>
          <w:p w14:paraId="3D8E45D2">
            <w:pPr>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8</w:t>
            </w:r>
          </w:p>
        </w:tc>
        <w:tc>
          <w:tcPr>
            <w:tcW w:w="1276" w:type="dxa"/>
            <w:vMerge w:val="restart"/>
            <w:tcBorders>
              <w:top w:val="single" w:color="auto" w:sz="4" w:space="0"/>
            </w:tcBorders>
          </w:tcPr>
          <w:p w14:paraId="5F1D12BE">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3.99</w:t>
            </w:r>
          </w:p>
        </w:tc>
        <w:tc>
          <w:tcPr>
            <w:tcW w:w="1417" w:type="dxa"/>
            <w:vMerge w:val="restart"/>
            <w:tcBorders>
              <w:top w:val="single" w:color="auto" w:sz="4" w:space="0"/>
            </w:tcBorders>
          </w:tcPr>
          <w:p w14:paraId="1C6BF16D">
            <w:pPr>
              <w:widowControl/>
              <w:spacing w:line="0" w:lineRule="atLeast"/>
              <w:ind w:left="-109" w:leftChars="-52" w:right="-107" w:rightChars="-51" w:firstLine="1"/>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本地市场吸引力</w:t>
            </w:r>
          </w:p>
        </w:tc>
        <w:tc>
          <w:tcPr>
            <w:tcW w:w="3969" w:type="dxa"/>
            <w:tcBorders>
              <w:top w:val="single" w:color="auto" w:sz="4" w:space="0"/>
              <w:bottom w:val="single" w:color="auto" w:sz="4" w:space="0"/>
            </w:tcBorders>
          </w:tcPr>
          <w:p w14:paraId="70CA01CF">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本地市场规模与进入本地市场情况</w:t>
            </w:r>
          </w:p>
        </w:tc>
        <w:tc>
          <w:tcPr>
            <w:tcW w:w="1134" w:type="dxa"/>
            <w:tcBorders>
              <w:top w:val="single" w:color="auto" w:sz="4" w:space="0"/>
              <w:bottom w:val="single" w:color="auto" w:sz="4" w:space="0"/>
            </w:tcBorders>
          </w:tcPr>
          <w:p w14:paraId="217BA8F2">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27</w:t>
            </w:r>
          </w:p>
        </w:tc>
      </w:tr>
      <w:tr w14:paraId="72D74A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959" w:type="dxa"/>
            <w:vMerge w:val="continue"/>
            <w:tcBorders>
              <w:bottom w:val="single" w:color="auto" w:sz="4" w:space="0"/>
            </w:tcBorders>
          </w:tcPr>
          <w:p w14:paraId="79658204">
            <w:pPr>
              <w:spacing w:line="0" w:lineRule="atLeast"/>
              <w:jc w:val="left"/>
              <w:rPr>
                <w:rFonts w:ascii="宋体" w:hAnsi="宋体"/>
                <w:color w:val="000000" w:themeColor="text1"/>
                <w:szCs w:val="21"/>
                <w14:textFill>
                  <w14:solidFill>
                    <w14:schemeClr w14:val="tx1"/>
                  </w14:solidFill>
                </w14:textFill>
              </w:rPr>
            </w:pPr>
          </w:p>
        </w:tc>
        <w:tc>
          <w:tcPr>
            <w:tcW w:w="1276" w:type="dxa"/>
            <w:vMerge w:val="continue"/>
            <w:tcBorders>
              <w:bottom w:val="single" w:color="auto" w:sz="4" w:space="0"/>
            </w:tcBorders>
          </w:tcPr>
          <w:p w14:paraId="6FD826B9">
            <w:pPr>
              <w:widowControl/>
              <w:spacing w:line="0" w:lineRule="atLeast"/>
              <w:jc w:val="left"/>
              <w:rPr>
                <w:rFonts w:ascii="宋体" w:hAnsi="宋体"/>
                <w:color w:val="000000" w:themeColor="text1"/>
                <w:szCs w:val="21"/>
                <w14:textFill>
                  <w14:solidFill>
                    <w14:schemeClr w14:val="tx1"/>
                  </w14:solidFill>
                </w14:textFill>
              </w:rPr>
            </w:pPr>
          </w:p>
        </w:tc>
        <w:tc>
          <w:tcPr>
            <w:tcW w:w="1417" w:type="dxa"/>
            <w:vMerge w:val="continue"/>
            <w:tcBorders>
              <w:bottom w:val="single" w:color="auto" w:sz="4" w:space="0"/>
            </w:tcBorders>
          </w:tcPr>
          <w:p w14:paraId="1E211DA4">
            <w:pPr>
              <w:widowControl/>
              <w:spacing w:line="0" w:lineRule="atLeast"/>
              <w:jc w:val="left"/>
              <w:rPr>
                <w:rFonts w:ascii="宋体" w:hAnsi="宋体"/>
                <w:color w:val="000000" w:themeColor="text1"/>
                <w:szCs w:val="21"/>
                <w14:textFill>
                  <w14:solidFill>
                    <w14:schemeClr w14:val="tx1"/>
                  </w14:solidFill>
                </w14:textFill>
              </w:rPr>
            </w:pPr>
          </w:p>
        </w:tc>
        <w:tc>
          <w:tcPr>
            <w:tcW w:w="3969" w:type="dxa"/>
            <w:tcBorders>
              <w:top w:val="single" w:color="auto" w:sz="4" w:space="0"/>
              <w:bottom w:val="single" w:color="auto" w:sz="4" w:space="0"/>
            </w:tcBorders>
          </w:tcPr>
          <w:p w14:paraId="00AEF086">
            <w:pPr>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本地市场竞争激烈程度</w:t>
            </w:r>
          </w:p>
        </w:tc>
        <w:tc>
          <w:tcPr>
            <w:tcW w:w="1134" w:type="dxa"/>
            <w:tcBorders>
              <w:top w:val="single" w:color="auto" w:sz="4" w:space="0"/>
              <w:bottom w:val="single" w:color="auto" w:sz="4" w:space="0"/>
            </w:tcBorders>
          </w:tcPr>
          <w:p w14:paraId="25C8EEDA">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36</w:t>
            </w:r>
          </w:p>
        </w:tc>
      </w:tr>
      <w:tr w14:paraId="78032C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3" w:hRule="atLeast"/>
        </w:trPr>
        <w:tc>
          <w:tcPr>
            <w:tcW w:w="959" w:type="dxa"/>
            <w:vMerge w:val="restart"/>
            <w:tcBorders>
              <w:top w:val="single" w:color="auto" w:sz="4" w:space="0"/>
            </w:tcBorders>
          </w:tcPr>
          <w:p w14:paraId="655A53E0">
            <w:pPr>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9</w:t>
            </w:r>
          </w:p>
        </w:tc>
        <w:tc>
          <w:tcPr>
            <w:tcW w:w="1276" w:type="dxa"/>
            <w:vMerge w:val="restart"/>
            <w:tcBorders>
              <w:top w:val="single" w:color="auto" w:sz="4" w:space="0"/>
            </w:tcBorders>
          </w:tcPr>
          <w:p w14:paraId="5CE2E252">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2.48</w:t>
            </w:r>
          </w:p>
        </w:tc>
        <w:tc>
          <w:tcPr>
            <w:tcW w:w="1417" w:type="dxa"/>
            <w:vMerge w:val="restart"/>
            <w:tcBorders>
              <w:top w:val="single" w:color="auto" w:sz="4" w:space="0"/>
            </w:tcBorders>
          </w:tcPr>
          <w:p w14:paraId="40038018">
            <w:pPr>
              <w:widowControl/>
              <w:spacing w:line="0" w:lineRule="atLeast"/>
              <w:ind w:leftChars="-51" w:hanging="107" w:hangingChars="51"/>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医疗保健体系</w:t>
            </w:r>
          </w:p>
        </w:tc>
        <w:tc>
          <w:tcPr>
            <w:tcW w:w="3969" w:type="dxa"/>
            <w:tcBorders>
              <w:top w:val="single" w:color="auto" w:sz="4" w:space="0"/>
              <w:bottom w:val="single" w:color="auto" w:sz="4" w:space="0"/>
            </w:tcBorders>
          </w:tcPr>
          <w:p w14:paraId="34AA551C">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为员工及社会提供高质量医疗保健成本</w:t>
            </w:r>
          </w:p>
        </w:tc>
        <w:tc>
          <w:tcPr>
            <w:tcW w:w="1134" w:type="dxa"/>
            <w:tcBorders>
              <w:top w:val="single" w:color="auto" w:sz="4" w:space="0"/>
              <w:bottom w:val="single" w:color="auto" w:sz="4" w:space="0"/>
            </w:tcBorders>
          </w:tcPr>
          <w:p w14:paraId="3339E22E">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26</w:t>
            </w:r>
          </w:p>
        </w:tc>
      </w:tr>
      <w:tr w14:paraId="53F76D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4" w:hRule="atLeast"/>
        </w:trPr>
        <w:tc>
          <w:tcPr>
            <w:tcW w:w="959" w:type="dxa"/>
            <w:vMerge w:val="continue"/>
            <w:tcBorders>
              <w:bottom w:val="single" w:color="auto" w:sz="4" w:space="0"/>
            </w:tcBorders>
          </w:tcPr>
          <w:p w14:paraId="469E249C">
            <w:pPr>
              <w:spacing w:line="0" w:lineRule="atLeast"/>
              <w:jc w:val="left"/>
              <w:rPr>
                <w:rFonts w:ascii="宋体" w:hAnsi="宋体"/>
                <w:color w:val="000000" w:themeColor="text1"/>
                <w:szCs w:val="21"/>
                <w14:textFill>
                  <w14:solidFill>
                    <w14:schemeClr w14:val="tx1"/>
                  </w14:solidFill>
                </w14:textFill>
              </w:rPr>
            </w:pPr>
          </w:p>
        </w:tc>
        <w:tc>
          <w:tcPr>
            <w:tcW w:w="1276" w:type="dxa"/>
            <w:vMerge w:val="continue"/>
            <w:tcBorders>
              <w:bottom w:val="single" w:color="auto" w:sz="4" w:space="0"/>
            </w:tcBorders>
          </w:tcPr>
          <w:p w14:paraId="01AB551D">
            <w:pPr>
              <w:widowControl/>
              <w:spacing w:line="0" w:lineRule="atLeast"/>
              <w:jc w:val="left"/>
              <w:rPr>
                <w:rFonts w:ascii="宋体" w:hAnsi="宋体"/>
                <w:color w:val="000000" w:themeColor="text1"/>
                <w:szCs w:val="21"/>
                <w14:textFill>
                  <w14:solidFill>
                    <w14:schemeClr w14:val="tx1"/>
                  </w14:solidFill>
                </w14:textFill>
              </w:rPr>
            </w:pPr>
          </w:p>
        </w:tc>
        <w:tc>
          <w:tcPr>
            <w:tcW w:w="1417" w:type="dxa"/>
            <w:vMerge w:val="continue"/>
            <w:tcBorders>
              <w:bottom w:val="single" w:color="auto" w:sz="4" w:space="0"/>
            </w:tcBorders>
          </w:tcPr>
          <w:p w14:paraId="78F38F7B">
            <w:pPr>
              <w:widowControl/>
              <w:spacing w:line="0" w:lineRule="atLeast"/>
              <w:jc w:val="left"/>
              <w:rPr>
                <w:rFonts w:ascii="宋体" w:hAnsi="宋体"/>
                <w:color w:val="000000" w:themeColor="text1"/>
                <w:szCs w:val="21"/>
                <w14:textFill>
                  <w14:solidFill>
                    <w14:schemeClr w14:val="tx1"/>
                  </w14:solidFill>
                </w14:textFill>
              </w:rPr>
            </w:pPr>
          </w:p>
        </w:tc>
        <w:tc>
          <w:tcPr>
            <w:tcW w:w="3969" w:type="dxa"/>
            <w:tcBorders>
              <w:top w:val="single" w:color="auto" w:sz="4" w:space="0"/>
              <w:bottom w:val="single" w:color="auto" w:sz="4" w:space="0"/>
            </w:tcBorders>
          </w:tcPr>
          <w:p w14:paraId="3827289E">
            <w:pPr>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保障公共卫生监管政策</w:t>
            </w:r>
          </w:p>
        </w:tc>
        <w:tc>
          <w:tcPr>
            <w:tcW w:w="1134" w:type="dxa"/>
            <w:tcBorders>
              <w:top w:val="single" w:color="auto" w:sz="4" w:space="0"/>
              <w:bottom w:val="single" w:color="auto" w:sz="4" w:space="0"/>
            </w:tcBorders>
          </w:tcPr>
          <w:p w14:paraId="05DA71B8">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33</w:t>
            </w:r>
          </w:p>
        </w:tc>
      </w:tr>
      <w:tr w14:paraId="0E350D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8" w:hRule="atLeast"/>
        </w:trPr>
        <w:tc>
          <w:tcPr>
            <w:tcW w:w="959" w:type="dxa"/>
            <w:vMerge w:val="restart"/>
            <w:tcBorders>
              <w:top w:val="single" w:color="auto" w:sz="4" w:space="0"/>
            </w:tcBorders>
          </w:tcPr>
          <w:p w14:paraId="4991F0F8">
            <w:pPr>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10</w:t>
            </w:r>
          </w:p>
        </w:tc>
        <w:tc>
          <w:tcPr>
            <w:tcW w:w="1276" w:type="dxa"/>
            <w:vMerge w:val="restart"/>
            <w:tcBorders>
              <w:top w:val="single" w:color="auto" w:sz="4" w:space="0"/>
            </w:tcBorders>
          </w:tcPr>
          <w:p w14:paraId="4DF45D3F">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1.0</w:t>
            </w:r>
          </w:p>
        </w:tc>
        <w:tc>
          <w:tcPr>
            <w:tcW w:w="1417" w:type="dxa"/>
            <w:vMerge w:val="restart"/>
            <w:tcBorders>
              <w:top w:val="single" w:color="auto" w:sz="4" w:space="0"/>
            </w:tcBorders>
          </w:tcPr>
          <w:p w14:paraId="77D6F554">
            <w:pPr>
              <w:widowControl/>
              <w:spacing w:line="0" w:lineRule="atLeast"/>
              <w:ind w:left="-109" w:leftChars="-52" w:firstLine="1"/>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政府对制造业与创新投资</w:t>
            </w:r>
          </w:p>
        </w:tc>
        <w:tc>
          <w:tcPr>
            <w:tcW w:w="3969" w:type="dxa"/>
            <w:tcBorders>
              <w:top w:val="single" w:color="auto" w:sz="4" w:space="0"/>
              <w:bottom w:val="single" w:color="auto" w:sz="4" w:space="0"/>
            </w:tcBorders>
          </w:tcPr>
          <w:p w14:paraId="19BE984F">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政府在研发上投资</w:t>
            </w:r>
          </w:p>
        </w:tc>
        <w:tc>
          <w:tcPr>
            <w:tcW w:w="1134" w:type="dxa"/>
            <w:tcBorders>
              <w:top w:val="single" w:color="auto" w:sz="4" w:space="0"/>
              <w:bottom w:val="single" w:color="auto" w:sz="4" w:space="0"/>
            </w:tcBorders>
          </w:tcPr>
          <w:p w14:paraId="2A0775AE">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29</w:t>
            </w:r>
          </w:p>
        </w:tc>
      </w:tr>
      <w:tr w14:paraId="5E02FA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trPr>
        <w:tc>
          <w:tcPr>
            <w:tcW w:w="959" w:type="dxa"/>
            <w:vMerge w:val="continue"/>
          </w:tcPr>
          <w:p w14:paraId="626D18FD">
            <w:pPr>
              <w:spacing w:line="0" w:lineRule="atLeast"/>
              <w:jc w:val="left"/>
              <w:rPr>
                <w:rFonts w:ascii="宋体" w:hAnsi="宋体"/>
                <w:color w:val="000000" w:themeColor="text1"/>
                <w:szCs w:val="21"/>
                <w14:textFill>
                  <w14:solidFill>
                    <w14:schemeClr w14:val="tx1"/>
                  </w14:solidFill>
                </w14:textFill>
              </w:rPr>
            </w:pPr>
          </w:p>
        </w:tc>
        <w:tc>
          <w:tcPr>
            <w:tcW w:w="1276" w:type="dxa"/>
            <w:vMerge w:val="continue"/>
          </w:tcPr>
          <w:p w14:paraId="2173E8BD">
            <w:pPr>
              <w:widowControl/>
              <w:spacing w:line="0" w:lineRule="atLeast"/>
              <w:jc w:val="left"/>
              <w:rPr>
                <w:rFonts w:ascii="宋体" w:hAnsi="宋体"/>
                <w:color w:val="000000" w:themeColor="text1"/>
                <w:szCs w:val="21"/>
                <w14:textFill>
                  <w14:solidFill>
                    <w14:schemeClr w14:val="tx1"/>
                  </w14:solidFill>
                </w14:textFill>
              </w:rPr>
            </w:pPr>
          </w:p>
        </w:tc>
        <w:tc>
          <w:tcPr>
            <w:tcW w:w="1417" w:type="dxa"/>
            <w:vMerge w:val="continue"/>
          </w:tcPr>
          <w:p w14:paraId="74E8285B">
            <w:pPr>
              <w:widowControl/>
              <w:spacing w:line="0" w:lineRule="atLeast"/>
              <w:jc w:val="left"/>
              <w:rPr>
                <w:rFonts w:ascii="宋体" w:hAnsi="宋体"/>
                <w:color w:val="000000" w:themeColor="text1"/>
                <w:szCs w:val="21"/>
                <w14:textFill>
                  <w14:solidFill>
                    <w14:schemeClr w14:val="tx1"/>
                  </w14:solidFill>
                </w14:textFill>
              </w:rPr>
            </w:pPr>
          </w:p>
        </w:tc>
        <w:tc>
          <w:tcPr>
            <w:tcW w:w="3969" w:type="dxa"/>
            <w:tcBorders>
              <w:top w:val="single" w:color="auto" w:sz="4" w:space="0"/>
            </w:tcBorders>
          </w:tcPr>
          <w:p w14:paraId="45704F9E">
            <w:pPr>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公私部门在长期研发投资上的合作</w:t>
            </w:r>
          </w:p>
        </w:tc>
        <w:tc>
          <w:tcPr>
            <w:tcW w:w="1134" w:type="dxa"/>
            <w:tcBorders>
              <w:top w:val="single" w:color="auto" w:sz="4" w:space="0"/>
            </w:tcBorders>
          </w:tcPr>
          <w:p w14:paraId="178FBCD1">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30</w:t>
            </w:r>
          </w:p>
        </w:tc>
      </w:tr>
    </w:tbl>
    <w:p w14:paraId="008A65CA">
      <w:pPr>
        <w:widowControl/>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      </w:t>
      </w:r>
    </w:p>
    <w:p w14:paraId="0EAA3E66">
      <w:pPr>
        <w:widowControl/>
        <w:ind w:firstLine="1446" w:firstLineChars="600"/>
        <w:jc w:val="left"/>
        <w:rPr>
          <w:rFonts w:ascii="黑体" w:hAnsi="宋体" w:eastAsia="黑体"/>
          <w:b/>
          <w:color w:val="000000" w:themeColor="text1"/>
          <w:sz w:val="24"/>
          <w14:textFill>
            <w14:solidFill>
              <w14:schemeClr w14:val="tx1"/>
            </w14:solidFill>
          </w14:textFill>
        </w:rPr>
      </w:pPr>
    </w:p>
    <w:p w14:paraId="3B639234">
      <w:pPr>
        <w:widowControl/>
        <w:ind w:firstLine="1446" w:firstLineChars="600"/>
        <w:jc w:val="left"/>
        <w:rPr>
          <w:rFonts w:ascii="黑体" w:hAnsi="宋体" w:eastAsia="黑体"/>
          <w:b/>
          <w:color w:val="000000" w:themeColor="text1"/>
          <w:sz w:val="28"/>
          <w:szCs w:val="28"/>
          <w14:textFill>
            <w14:solidFill>
              <w14:schemeClr w14:val="tx1"/>
            </w14:solidFill>
          </w14:textFill>
        </w:rPr>
      </w:pPr>
      <w:r>
        <w:rPr>
          <w:rFonts w:hint="eastAsia" w:ascii="黑体" w:hAnsi="宋体" w:eastAsia="黑体"/>
          <w:b/>
          <w:color w:val="000000" w:themeColor="text1"/>
          <w:sz w:val="24"/>
          <w14:textFill>
            <w14:solidFill>
              <w14:schemeClr w14:val="tx1"/>
            </w14:solidFill>
          </w14:textFill>
        </w:rPr>
        <w:t>表17：世界制造业大国（部分）竞争力主要驱动因素排名</w:t>
      </w:r>
    </w:p>
    <w:tbl>
      <w:tblPr>
        <w:tblStyle w:val="10"/>
        <w:tblW w:w="4937" w:type="pct"/>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620"/>
        <w:gridCol w:w="815"/>
        <w:gridCol w:w="816"/>
        <w:gridCol w:w="816"/>
        <w:gridCol w:w="816"/>
        <w:gridCol w:w="816"/>
        <w:gridCol w:w="814"/>
      </w:tblGrid>
      <w:tr w14:paraId="0619B6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6" w:type="pct"/>
          </w:tcPr>
          <w:p w14:paraId="18D8832C">
            <w:pPr>
              <w:widowControl/>
              <w:spacing w:line="0" w:lineRule="atLeast"/>
              <w:ind w:leftChars="-1" w:hanging="2"/>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主要驱动因素</w:t>
            </w:r>
          </w:p>
        </w:tc>
        <w:tc>
          <w:tcPr>
            <w:tcW w:w="479" w:type="pct"/>
          </w:tcPr>
          <w:p w14:paraId="354ECE25">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德国</w:t>
            </w:r>
          </w:p>
        </w:tc>
        <w:tc>
          <w:tcPr>
            <w:tcW w:w="479" w:type="pct"/>
          </w:tcPr>
          <w:p w14:paraId="04DA6278">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美国</w:t>
            </w:r>
          </w:p>
        </w:tc>
        <w:tc>
          <w:tcPr>
            <w:tcW w:w="479" w:type="pct"/>
          </w:tcPr>
          <w:p w14:paraId="7B1DC5FA">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日本</w:t>
            </w:r>
          </w:p>
        </w:tc>
        <w:tc>
          <w:tcPr>
            <w:tcW w:w="479" w:type="pct"/>
          </w:tcPr>
          <w:p w14:paraId="0E257544">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中国</w:t>
            </w:r>
          </w:p>
        </w:tc>
        <w:tc>
          <w:tcPr>
            <w:tcW w:w="479" w:type="pct"/>
          </w:tcPr>
          <w:p w14:paraId="55124068">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巴西</w:t>
            </w:r>
          </w:p>
        </w:tc>
        <w:tc>
          <w:tcPr>
            <w:tcW w:w="478" w:type="pct"/>
          </w:tcPr>
          <w:p w14:paraId="0013EE1F">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印度</w:t>
            </w:r>
          </w:p>
        </w:tc>
      </w:tr>
      <w:tr w14:paraId="315F95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6" w:type="pct"/>
          </w:tcPr>
          <w:p w14:paraId="5E0A51A9">
            <w:pPr>
              <w:widowControl/>
              <w:spacing w:line="0" w:lineRule="atLeast"/>
              <w:ind w:leftChars="-1" w:hanging="2"/>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人才驱动</w:t>
            </w:r>
          </w:p>
        </w:tc>
        <w:tc>
          <w:tcPr>
            <w:tcW w:w="479" w:type="pct"/>
          </w:tcPr>
          <w:p w14:paraId="5419589A">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9.47</w:t>
            </w:r>
          </w:p>
        </w:tc>
        <w:tc>
          <w:tcPr>
            <w:tcW w:w="479" w:type="pct"/>
          </w:tcPr>
          <w:p w14:paraId="1ABECB91">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8.94</w:t>
            </w:r>
          </w:p>
        </w:tc>
        <w:tc>
          <w:tcPr>
            <w:tcW w:w="479" w:type="pct"/>
          </w:tcPr>
          <w:p w14:paraId="51D7EA2F">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8.14</w:t>
            </w:r>
          </w:p>
        </w:tc>
        <w:tc>
          <w:tcPr>
            <w:tcW w:w="479" w:type="pct"/>
          </w:tcPr>
          <w:p w14:paraId="18039B81">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5.89</w:t>
            </w:r>
          </w:p>
        </w:tc>
        <w:tc>
          <w:tcPr>
            <w:tcW w:w="479" w:type="pct"/>
          </w:tcPr>
          <w:p w14:paraId="6817DC21">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4.28</w:t>
            </w:r>
          </w:p>
        </w:tc>
        <w:tc>
          <w:tcPr>
            <w:tcW w:w="478" w:type="pct"/>
          </w:tcPr>
          <w:p w14:paraId="4CB22B61">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5.82</w:t>
            </w:r>
          </w:p>
        </w:tc>
      </w:tr>
      <w:tr w14:paraId="31F9B4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6" w:type="pct"/>
          </w:tcPr>
          <w:p w14:paraId="7860D875">
            <w:pPr>
              <w:widowControl/>
              <w:spacing w:line="0" w:lineRule="atLeast"/>
              <w:ind w:leftChars="-17" w:hanging="35" w:hangingChars="17"/>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经济、贸易、金融与税务体系</w:t>
            </w:r>
          </w:p>
        </w:tc>
        <w:tc>
          <w:tcPr>
            <w:tcW w:w="479" w:type="pct"/>
          </w:tcPr>
          <w:p w14:paraId="6B4ACF3B">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7.12</w:t>
            </w:r>
          </w:p>
        </w:tc>
        <w:tc>
          <w:tcPr>
            <w:tcW w:w="479" w:type="pct"/>
          </w:tcPr>
          <w:p w14:paraId="1CDCE9B8">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6.83</w:t>
            </w:r>
          </w:p>
        </w:tc>
        <w:tc>
          <w:tcPr>
            <w:tcW w:w="479" w:type="pct"/>
          </w:tcPr>
          <w:p w14:paraId="0903A8A4">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6.19</w:t>
            </w:r>
          </w:p>
        </w:tc>
        <w:tc>
          <w:tcPr>
            <w:tcW w:w="479" w:type="pct"/>
          </w:tcPr>
          <w:p w14:paraId="0F512D05">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5.87</w:t>
            </w:r>
          </w:p>
        </w:tc>
        <w:tc>
          <w:tcPr>
            <w:tcW w:w="479" w:type="pct"/>
          </w:tcPr>
          <w:p w14:paraId="15E6B98B">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4.84</w:t>
            </w:r>
          </w:p>
        </w:tc>
        <w:tc>
          <w:tcPr>
            <w:tcW w:w="478" w:type="pct"/>
          </w:tcPr>
          <w:p w14:paraId="47C957C4">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4.01</w:t>
            </w:r>
          </w:p>
        </w:tc>
      </w:tr>
      <w:tr w14:paraId="2A670B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6" w:type="pct"/>
          </w:tcPr>
          <w:p w14:paraId="7E38C3D1">
            <w:pPr>
              <w:widowControl/>
              <w:spacing w:line="0" w:lineRule="atLeast"/>
              <w:ind w:left="-109" w:leftChars="-52" w:right="-107" w:rightChars="-51" w:firstLine="105" w:firstLineChars="50"/>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劳动力与原料成本与可得性</w:t>
            </w:r>
          </w:p>
        </w:tc>
        <w:tc>
          <w:tcPr>
            <w:tcW w:w="479" w:type="pct"/>
          </w:tcPr>
          <w:p w14:paraId="1BD4CBDD">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3.29</w:t>
            </w:r>
          </w:p>
        </w:tc>
        <w:tc>
          <w:tcPr>
            <w:tcW w:w="479" w:type="pct"/>
          </w:tcPr>
          <w:p w14:paraId="64F4F13A">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3.97</w:t>
            </w:r>
          </w:p>
        </w:tc>
        <w:tc>
          <w:tcPr>
            <w:tcW w:w="479" w:type="pct"/>
          </w:tcPr>
          <w:p w14:paraId="28209EEE">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2.59</w:t>
            </w:r>
          </w:p>
        </w:tc>
        <w:tc>
          <w:tcPr>
            <w:tcW w:w="479" w:type="pct"/>
          </w:tcPr>
          <w:p w14:paraId="17C8541D">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10.0</w:t>
            </w:r>
          </w:p>
        </w:tc>
        <w:tc>
          <w:tcPr>
            <w:tcW w:w="479" w:type="pct"/>
          </w:tcPr>
          <w:p w14:paraId="5D7C42AB">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6.07</w:t>
            </w:r>
          </w:p>
        </w:tc>
        <w:tc>
          <w:tcPr>
            <w:tcW w:w="478" w:type="pct"/>
          </w:tcPr>
          <w:p w14:paraId="03AD293E">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9.41</w:t>
            </w:r>
          </w:p>
        </w:tc>
      </w:tr>
      <w:tr w14:paraId="666855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6" w:type="pct"/>
          </w:tcPr>
          <w:p w14:paraId="46DED68D">
            <w:pPr>
              <w:widowControl/>
              <w:spacing w:line="0" w:lineRule="atLeast"/>
              <w:ind w:right="-107" w:rightChars="-51"/>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供应商网络</w:t>
            </w:r>
          </w:p>
        </w:tc>
        <w:tc>
          <w:tcPr>
            <w:tcW w:w="479" w:type="pct"/>
          </w:tcPr>
          <w:p w14:paraId="4D8213FF">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8.96</w:t>
            </w:r>
          </w:p>
        </w:tc>
        <w:tc>
          <w:tcPr>
            <w:tcW w:w="479" w:type="pct"/>
          </w:tcPr>
          <w:p w14:paraId="30021F43">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8.64</w:t>
            </w:r>
          </w:p>
        </w:tc>
        <w:tc>
          <w:tcPr>
            <w:tcW w:w="479" w:type="pct"/>
          </w:tcPr>
          <w:p w14:paraId="01DFFABD">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8.03</w:t>
            </w:r>
          </w:p>
        </w:tc>
        <w:tc>
          <w:tcPr>
            <w:tcW w:w="479" w:type="pct"/>
          </w:tcPr>
          <w:p w14:paraId="3D418547">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8.25</w:t>
            </w:r>
          </w:p>
        </w:tc>
        <w:tc>
          <w:tcPr>
            <w:tcW w:w="479" w:type="pct"/>
          </w:tcPr>
          <w:p w14:paraId="66F24622">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4.95</w:t>
            </w:r>
          </w:p>
        </w:tc>
        <w:tc>
          <w:tcPr>
            <w:tcW w:w="478" w:type="pct"/>
          </w:tcPr>
          <w:p w14:paraId="0C88B9D0">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4.82</w:t>
            </w:r>
          </w:p>
        </w:tc>
      </w:tr>
      <w:tr w14:paraId="016FDE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6" w:type="pct"/>
          </w:tcPr>
          <w:p w14:paraId="464C9EB8">
            <w:pPr>
              <w:widowControl/>
              <w:spacing w:line="0" w:lineRule="atLeast"/>
              <w:ind w:left="-109" w:leftChars="-52" w:right="-107" w:rightChars="-51" w:firstLine="105" w:firstLineChars="50"/>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法律法规体系</w:t>
            </w:r>
          </w:p>
        </w:tc>
        <w:tc>
          <w:tcPr>
            <w:tcW w:w="479" w:type="pct"/>
          </w:tcPr>
          <w:p w14:paraId="2437EBF5">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9.06</w:t>
            </w:r>
          </w:p>
        </w:tc>
        <w:tc>
          <w:tcPr>
            <w:tcW w:w="479" w:type="pct"/>
          </w:tcPr>
          <w:p w14:paraId="4CBA7B4C">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8.46</w:t>
            </w:r>
          </w:p>
        </w:tc>
        <w:tc>
          <w:tcPr>
            <w:tcW w:w="479" w:type="pct"/>
          </w:tcPr>
          <w:p w14:paraId="10A98005">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7.93</w:t>
            </w:r>
          </w:p>
        </w:tc>
        <w:tc>
          <w:tcPr>
            <w:tcW w:w="479" w:type="pct"/>
          </w:tcPr>
          <w:p w14:paraId="68783A19">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3.09</w:t>
            </w:r>
          </w:p>
        </w:tc>
        <w:tc>
          <w:tcPr>
            <w:tcW w:w="479" w:type="pct"/>
          </w:tcPr>
          <w:p w14:paraId="566DC4C6">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3.80</w:t>
            </w:r>
          </w:p>
        </w:tc>
        <w:tc>
          <w:tcPr>
            <w:tcW w:w="478" w:type="pct"/>
          </w:tcPr>
          <w:p w14:paraId="34E3DC8B">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2.75</w:t>
            </w:r>
          </w:p>
        </w:tc>
      </w:tr>
      <w:tr w14:paraId="6EA3D4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6" w:type="pct"/>
          </w:tcPr>
          <w:p w14:paraId="4F6DB9B1">
            <w:pPr>
              <w:widowControl/>
              <w:spacing w:line="0" w:lineRule="atLeast"/>
              <w:ind w:left="-109" w:leftChars="-52" w:right="-107" w:rightChars="-51" w:firstLine="105" w:firstLineChars="50"/>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基础设施建设</w:t>
            </w:r>
          </w:p>
        </w:tc>
        <w:tc>
          <w:tcPr>
            <w:tcW w:w="479" w:type="pct"/>
          </w:tcPr>
          <w:p w14:paraId="0D73A409">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9.82</w:t>
            </w:r>
          </w:p>
        </w:tc>
        <w:tc>
          <w:tcPr>
            <w:tcW w:w="479" w:type="pct"/>
          </w:tcPr>
          <w:p w14:paraId="540A33E8">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9.15</w:t>
            </w:r>
          </w:p>
        </w:tc>
        <w:tc>
          <w:tcPr>
            <w:tcW w:w="479" w:type="pct"/>
          </w:tcPr>
          <w:p w14:paraId="0AA5786C">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9.07</w:t>
            </w:r>
          </w:p>
        </w:tc>
        <w:tc>
          <w:tcPr>
            <w:tcW w:w="479" w:type="pct"/>
          </w:tcPr>
          <w:p w14:paraId="3C61E131">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6.47</w:t>
            </w:r>
          </w:p>
        </w:tc>
        <w:tc>
          <w:tcPr>
            <w:tcW w:w="479" w:type="pct"/>
          </w:tcPr>
          <w:p w14:paraId="6432EE53">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4.23</w:t>
            </w:r>
          </w:p>
        </w:tc>
        <w:tc>
          <w:tcPr>
            <w:tcW w:w="478" w:type="pct"/>
          </w:tcPr>
          <w:p w14:paraId="5F1BBEAD">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1.78</w:t>
            </w:r>
          </w:p>
        </w:tc>
      </w:tr>
      <w:tr w14:paraId="6C6619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6" w:type="pct"/>
          </w:tcPr>
          <w:p w14:paraId="78E6AB6C">
            <w:pPr>
              <w:widowControl/>
              <w:spacing w:line="0" w:lineRule="atLeast"/>
              <w:ind w:leftChars="-1" w:hanging="2"/>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能源成本和政策</w:t>
            </w:r>
          </w:p>
        </w:tc>
        <w:tc>
          <w:tcPr>
            <w:tcW w:w="479" w:type="pct"/>
          </w:tcPr>
          <w:p w14:paraId="060C1E15">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4.81</w:t>
            </w:r>
          </w:p>
        </w:tc>
        <w:tc>
          <w:tcPr>
            <w:tcW w:w="479" w:type="pct"/>
          </w:tcPr>
          <w:p w14:paraId="2EA28EC4">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6.03</w:t>
            </w:r>
          </w:p>
        </w:tc>
        <w:tc>
          <w:tcPr>
            <w:tcW w:w="479" w:type="pct"/>
          </w:tcPr>
          <w:p w14:paraId="7A8F17B9">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4.21</w:t>
            </w:r>
          </w:p>
        </w:tc>
        <w:tc>
          <w:tcPr>
            <w:tcW w:w="479" w:type="pct"/>
          </w:tcPr>
          <w:p w14:paraId="12D9FA18">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7.16</w:t>
            </w:r>
          </w:p>
        </w:tc>
        <w:tc>
          <w:tcPr>
            <w:tcW w:w="479" w:type="pct"/>
          </w:tcPr>
          <w:p w14:paraId="4994B987">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5.88</w:t>
            </w:r>
          </w:p>
        </w:tc>
        <w:tc>
          <w:tcPr>
            <w:tcW w:w="478" w:type="pct"/>
          </w:tcPr>
          <w:p w14:paraId="53BD2E6F">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5.31</w:t>
            </w:r>
          </w:p>
        </w:tc>
      </w:tr>
      <w:tr w14:paraId="5D8FCB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6" w:type="pct"/>
          </w:tcPr>
          <w:p w14:paraId="0F348CFD">
            <w:pPr>
              <w:widowControl/>
              <w:spacing w:line="0" w:lineRule="atLeast"/>
              <w:ind w:leftChars="-17" w:hanging="35" w:hangingChars="17"/>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本地市场吸引力</w:t>
            </w:r>
          </w:p>
        </w:tc>
        <w:tc>
          <w:tcPr>
            <w:tcW w:w="479" w:type="pct"/>
          </w:tcPr>
          <w:p w14:paraId="2033241A">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7.26</w:t>
            </w:r>
          </w:p>
        </w:tc>
        <w:tc>
          <w:tcPr>
            <w:tcW w:w="479" w:type="pct"/>
          </w:tcPr>
          <w:p w14:paraId="42C254EC">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7.60</w:t>
            </w:r>
          </w:p>
        </w:tc>
        <w:tc>
          <w:tcPr>
            <w:tcW w:w="479" w:type="pct"/>
          </w:tcPr>
          <w:p w14:paraId="50918426">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5.72</w:t>
            </w:r>
          </w:p>
        </w:tc>
        <w:tc>
          <w:tcPr>
            <w:tcW w:w="479" w:type="pct"/>
          </w:tcPr>
          <w:p w14:paraId="2F4303B0">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8.16</w:t>
            </w:r>
          </w:p>
        </w:tc>
        <w:tc>
          <w:tcPr>
            <w:tcW w:w="479" w:type="pct"/>
          </w:tcPr>
          <w:p w14:paraId="0A2E038D">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6.28</w:t>
            </w:r>
          </w:p>
        </w:tc>
        <w:tc>
          <w:tcPr>
            <w:tcW w:w="478" w:type="pct"/>
          </w:tcPr>
          <w:p w14:paraId="6E615504">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5.90</w:t>
            </w:r>
          </w:p>
        </w:tc>
      </w:tr>
      <w:tr w14:paraId="15A158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6" w:type="pct"/>
          </w:tcPr>
          <w:p w14:paraId="13191F67">
            <w:pPr>
              <w:widowControl/>
              <w:spacing w:line="0" w:lineRule="atLeast"/>
              <w:ind w:leftChars="-1" w:hanging="2"/>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医疗保健体系</w:t>
            </w:r>
          </w:p>
        </w:tc>
        <w:tc>
          <w:tcPr>
            <w:tcW w:w="479" w:type="pct"/>
          </w:tcPr>
          <w:p w14:paraId="30BF8D44">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9.28</w:t>
            </w:r>
          </w:p>
        </w:tc>
        <w:tc>
          <w:tcPr>
            <w:tcW w:w="479" w:type="pct"/>
          </w:tcPr>
          <w:p w14:paraId="6C80E3AB">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7.07</w:t>
            </w:r>
          </w:p>
        </w:tc>
        <w:tc>
          <w:tcPr>
            <w:tcW w:w="479" w:type="pct"/>
          </w:tcPr>
          <w:p w14:paraId="5C717772">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8.56</w:t>
            </w:r>
          </w:p>
        </w:tc>
        <w:tc>
          <w:tcPr>
            <w:tcW w:w="479" w:type="pct"/>
          </w:tcPr>
          <w:p w14:paraId="15CEA185">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2.18</w:t>
            </w:r>
          </w:p>
        </w:tc>
        <w:tc>
          <w:tcPr>
            <w:tcW w:w="479" w:type="pct"/>
          </w:tcPr>
          <w:p w14:paraId="0B0B51FD">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3.33</w:t>
            </w:r>
          </w:p>
        </w:tc>
        <w:tc>
          <w:tcPr>
            <w:tcW w:w="478" w:type="pct"/>
          </w:tcPr>
          <w:p w14:paraId="7C0E628F">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1.0</w:t>
            </w:r>
          </w:p>
        </w:tc>
      </w:tr>
      <w:tr w14:paraId="02D219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6" w:type="pct"/>
          </w:tcPr>
          <w:p w14:paraId="0B9E26E5">
            <w:pPr>
              <w:widowControl/>
              <w:spacing w:line="0" w:lineRule="atLeast"/>
              <w:ind w:leftChars="-1" w:hanging="2"/>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政府对制造业与创新投资</w:t>
            </w:r>
          </w:p>
        </w:tc>
        <w:tc>
          <w:tcPr>
            <w:tcW w:w="479" w:type="pct"/>
          </w:tcPr>
          <w:p w14:paraId="46C2558D">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7.57</w:t>
            </w:r>
          </w:p>
        </w:tc>
        <w:tc>
          <w:tcPr>
            <w:tcW w:w="479" w:type="pct"/>
          </w:tcPr>
          <w:p w14:paraId="7C5318E1">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6.34</w:t>
            </w:r>
          </w:p>
        </w:tc>
        <w:tc>
          <w:tcPr>
            <w:tcW w:w="479" w:type="pct"/>
          </w:tcPr>
          <w:p w14:paraId="0AD78C4F">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6.08</w:t>
            </w:r>
          </w:p>
        </w:tc>
        <w:tc>
          <w:tcPr>
            <w:tcW w:w="479" w:type="pct"/>
          </w:tcPr>
          <w:p w14:paraId="6BFEA080">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8.42</w:t>
            </w:r>
          </w:p>
        </w:tc>
        <w:tc>
          <w:tcPr>
            <w:tcW w:w="479" w:type="pct"/>
          </w:tcPr>
          <w:p w14:paraId="46A8D938">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4.93</w:t>
            </w:r>
          </w:p>
        </w:tc>
        <w:tc>
          <w:tcPr>
            <w:tcW w:w="478" w:type="pct"/>
          </w:tcPr>
          <w:p w14:paraId="5C5C8DF4">
            <w:pPr>
              <w:widowControl/>
              <w:spacing w:line="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5.09</w:t>
            </w:r>
          </w:p>
        </w:tc>
      </w:tr>
    </w:tbl>
    <w:p w14:paraId="44C36AFB">
      <w:pPr>
        <w:widowControl/>
        <w:jc w:val="left"/>
        <w:rPr>
          <w:rFonts w:ascii="宋体" w:hAnsi="宋体"/>
          <w:color w:val="000000" w:themeColor="text1"/>
          <w:sz w:val="28"/>
          <w:szCs w:val="28"/>
          <w14:textFill>
            <w14:solidFill>
              <w14:schemeClr w14:val="tx1"/>
            </w14:solidFill>
          </w14:textFill>
        </w:rPr>
      </w:pPr>
    </w:p>
    <w:p w14:paraId="2EE32AF5">
      <w:pPr>
        <w:widowControl/>
        <w:jc w:val="left"/>
        <w:rPr>
          <w:rFonts w:ascii="黑体" w:hAnsi="宋体" w:eastAsia="黑体"/>
          <w:b/>
          <w:color w:val="000000" w:themeColor="text1"/>
          <w:sz w:val="32"/>
          <w:szCs w:val="32"/>
          <w14:textFill>
            <w14:solidFill>
              <w14:schemeClr w14:val="tx1"/>
            </w14:solidFill>
          </w14:textFill>
        </w:rPr>
      </w:pPr>
      <w:r>
        <w:rPr>
          <w:rFonts w:hint="eastAsia" w:ascii="黑体" w:hAnsi="宋体" w:eastAsia="黑体"/>
          <w:b/>
          <w:color w:val="000000" w:themeColor="text1"/>
          <w:sz w:val="32"/>
          <w:szCs w:val="32"/>
          <w14:textFill>
            <w14:solidFill>
              <w14:schemeClr w14:val="tx1"/>
            </w14:solidFill>
          </w14:textFill>
        </w:rPr>
        <w:t>(二)人才现状及存在问题</w:t>
      </w:r>
    </w:p>
    <w:p w14:paraId="5749754F">
      <w:pPr>
        <w:widowControl/>
        <w:ind w:firstLine="63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何谓人才？人才就是人中之才，是指具有一定专业知识或专门技能，进行创造性劳动，并对社会作出贡献的人，是人力资源中能力和素质较高的一群人。人才不仅分专业，而且有层次。社会发展不仅需要人才多元，即需要专业技术多样，而且需要人才多层，即需要人才层次多样。“十三五”期间三井街道处于社会经济转型时期，各行各业发展既需要顶尖创新创业领军人才，也需要分布各个层次应用型人才。</w:t>
      </w:r>
    </w:p>
    <w:p w14:paraId="551B6BDE">
      <w:pPr>
        <w:widowControl/>
        <w:ind w:firstLine="63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在过去的发展中，三井街道坚持求贤如渴理念，由“招商引资”转变为“招才引智”，依靠服务、平台、政策、环境吸引人才，由此，三井街道汇集了各类顶尖的创新创业领军人才。</w:t>
      </w:r>
      <w:r>
        <w:rPr>
          <w:rFonts w:hint="eastAsia" w:ascii="宋体" w:hAnsi="宋体" w:cs="宋体"/>
          <w:color w:val="000000" w:themeColor="text1"/>
          <w:kern w:val="0"/>
          <w:sz w:val="28"/>
          <w:szCs w:val="28"/>
          <w14:textFill>
            <w14:solidFill>
              <w14:schemeClr w14:val="tx1"/>
            </w14:solidFill>
          </w14:textFill>
        </w:rPr>
        <w:t>“十二五”期间三井街道共</w:t>
      </w:r>
      <w:r>
        <w:rPr>
          <w:rFonts w:hint="eastAsia" w:ascii="宋体" w:hAnsi="宋体" w:cs="宋体"/>
          <w:color w:val="000000"/>
          <w:kern w:val="0"/>
          <w:sz w:val="28"/>
          <w:szCs w:val="28"/>
        </w:rPr>
        <w:t>引进国家“千人计划”人才</w:t>
      </w:r>
      <w:r>
        <w:rPr>
          <w:rFonts w:ascii="宋体" w:hAnsi="宋体" w:cs="宋体"/>
          <w:color w:val="000000"/>
          <w:kern w:val="0"/>
          <w:sz w:val="28"/>
          <w:szCs w:val="28"/>
        </w:rPr>
        <w:t>24</w:t>
      </w:r>
      <w:r>
        <w:rPr>
          <w:rFonts w:hint="eastAsia" w:ascii="宋体" w:hAnsi="宋体" w:cs="宋体"/>
          <w:color w:val="000000"/>
          <w:kern w:val="0"/>
          <w:sz w:val="28"/>
          <w:szCs w:val="28"/>
        </w:rPr>
        <w:t>人，共引进江苏省“双创计划”项目</w:t>
      </w:r>
      <w:r>
        <w:rPr>
          <w:rFonts w:ascii="宋体" w:hAnsi="宋体" w:cs="宋体"/>
          <w:color w:val="000000"/>
          <w:kern w:val="0"/>
          <w:sz w:val="28"/>
          <w:szCs w:val="28"/>
        </w:rPr>
        <w:t>25</w:t>
      </w:r>
      <w:r>
        <w:rPr>
          <w:rFonts w:hint="eastAsia" w:ascii="宋体" w:hAnsi="宋体" w:cs="宋体"/>
          <w:color w:val="000000"/>
          <w:kern w:val="0"/>
          <w:sz w:val="28"/>
          <w:szCs w:val="28"/>
        </w:rPr>
        <w:t>个（“双创”人才项目</w:t>
      </w:r>
      <w:r>
        <w:rPr>
          <w:rFonts w:ascii="宋体" w:hAnsi="宋体" w:cs="宋体"/>
          <w:color w:val="000000"/>
          <w:kern w:val="0"/>
          <w:sz w:val="28"/>
          <w:szCs w:val="28"/>
        </w:rPr>
        <w:t>12</w:t>
      </w:r>
      <w:r>
        <w:rPr>
          <w:rFonts w:hint="eastAsia" w:ascii="宋体" w:hAnsi="宋体" w:cs="宋体"/>
          <w:color w:val="000000"/>
          <w:kern w:val="0"/>
          <w:sz w:val="28"/>
          <w:szCs w:val="28"/>
        </w:rPr>
        <w:t>个、博士项目</w:t>
      </w:r>
      <w:r>
        <w:rPr>
          <w:rFonts w:ascii="宋体" w:hAnsi="宋体" w:cs="宋体"/>
          <w:color w:val="000000"/>
          <w:kern w:val="0"/>
          <w:sz w:val="28"/>
          <w:szCs w:val="28"/>
        </w:rPr>
        <w:t>13</w:t>
      </w:r>
      <w:r>
        <w:rPr>
          <w:rFonts w:hint="eastAsia" w:ascii="宋体" w:hAnsi="宋体" w:cs="宋体"/>
          <w:color w:val="000000"/>
          <w:kern w:val="0"/>
          <w:sz w:val="28"/>
          <w:szCs w:val="28"/>
        </w:rPr>
        <w:t>个），共引进常州“龙城英才计划”项目</w:t>
      </w:r>
      <w:r>
        <w:rPr>
          <w:rFonts w:ascii="宋体" w:hAnsi="宋体" w:cs="宋体"/>
          <w:color w:val="000000"/>
          <w:kern w:val="0"/>
          <w:sz w:val="28"/>
          <w:szCs w:val="28"/>
        </w:rPr>
        <w:t>92</w:t>
      </w:r>
      <w:r>
        <w:rPr>
          <w:rFonts w:hint="eastAsia" w:ascii="宋体" w:hAnsi="宋体" w:cs="宋体"/>
          <w:color w:val="000000"/>
          <w:kern w:val="0"/>
          <w:sz w:val="28"/>
          <w:szCs w:val="28"/>
        </w:rPr>
        <w:t>个（</w:t>
      </w:r>
      <w:r>
        <w:rPr>
          <w:rFonts w:ascii="宋体" w:hAnsi="宋体" w:cs="宋体"/>
          <w:color w:val="000000"/>
          <w:kern w:val="0"/>
          <w:sz w:val="28"/>
          <w:szCs w:val="28"/>
        </w:rPr>
        <w:t>A</w:t>
      </w:r>
      <w:r>
        <w:rPr>
          <w:rFonts w:hint="eastAsia" w:ascii="宋体" w:hAnsi="宋体" w:cs="宋体"/>
          <w:color w:val="000000"/>
          <w:kern w:val="0"/>
          <w:sz w:val="28"/>
          <w:szCs w:val="28"/>
        </w:rPr>
        <w:t>类项目</w:t>
      </w:r>
      <w:r>
        <w:rPr>
          <w:rFonts w:ascii="宋体" w:hAnsi="宋体" w:cs="宋体"/>
          <w:color w:val="000000"/>
          <w:kern w:val="0"/>
          <w:sz w:val="28"/>
          <w:szCs w:val="28"/>
        </w:rPr>
        <w:t>3</w:t>
      </w:r>
      <w:r>
        <w:rPr>
          <w:rFonts w:hint="eastAsia" w:ascii="宋体" w:hAnsi="宋体" w:cs="宋体"/>
          <w:color w:val="000000"/>
          <w:kern w:val="0"/>
          <w:sz w:val="28"/>
          <w:szCs w:val="28"/>
        </w:rPr>
        <w:t>个、</w:t>
      </w:r>
      <w:r>
        <w:rPr>
          <w:rFonts w:ascii="宋体" w:hAnsi="宋体" w:cs="宋体"/>
          <w:color w:val="000000"/>
          <w:kern w:val="0"/>
          <w:sz w:val="28"/>
          <w:szCs w:val="28"/>
        </w:rPr>
        <w:t>B</w:t>
      </w:r>
      <w:r>
        <w:rPr>
          <w:rFonts w:hint="eastAsia" w:ascii="宋体" w:hAnsi="宋体" w:cs="宋体"/>
          <w:color w:val="000000"/>
          <w:kern w:val="0"/>
          <w:sz w:val="28"/>
          <w:szCs w:val="28"/>
        </w:rPr>
        <w:t>类项目</w:t>
      </w:r>
      <w:r>
        <w:rPr>
          <w:rFonts w:ascii="宋体" w:hAnsi="宋体" w:cs="宋体"/>
          <w:color w:val="000000"/>
          <w:kern w:val="0"/>
          <w:sz w:val="28"/>
          <w:szCs w:val="28"/>
        </w:rPr>
        <w:t>6</w:t>
      </w:r>
      <w:r>
        <w:rPr>
          <w:rFonts w:hint="eastAsia" w:ascii="宋体" w:hAnsi="宋体" w:cs="宋体"/>
          <w:color w:val="000000"/>
          <w:kern w:val="0"/>
          <w:sz w:val="28"/>
          <w:szCs w:val="28"/>
        </w:rPr>
        <w:t>个、</w:t>
      </w:r>
      <w:r>
        <w:rPr>
          <w:rFonts w:ascii="宋体" w:hAnsi="宋体" w:cs="宋体"/>
          <w:color w:val="000000"/>
          <w:kern w:val="0"/>
          <w:sz w:val="28"/>
          <w:szCs w:val="28"/>
        </w:rPr>
        <w:t>C</w:t>
      </w:r>
      <w:r>
        <w:rPr>
          <w:rFonts w:hint="eastAsia" w:ascii="宋体" w:hAnsi="宋体" w:cs="宋体"/>
          <w:color w:val="000000"/>
          <w:kern w:val="0"/>
          <w:sz w:val="28"/>
          <w:szCs w:val="28"/>
        </w:rPr>
        <w:t>类项目</w:t>
      </w:r>
      <w:r>
        <w:rPr>
          <w:rFonts w:ascii="宋体" w:hAnsi="宋体" w:cs="宋体"/>
          <w:color w:val="000000"/>
          <w:kern w:val="0"/>
          <w:sz w:val="28"/>
          <w:szCs w:val="28"/>
        </w:rPr>
        <w:t>83</w:t>
      </w:r>
      <w:r>
        <w:rPr>
          <w:rFonts w:hint="eastAsia" w:ascii="宋体" w:hAnsi="宋体" w:cs="宋体"/>
          <w:color w:val="000000"/>
          <w:kern w:val="0"/>
          <w:sz w:val="28"/>
          <w:szCs w:val="28"/>
        </w:rPr>
        <w:t>个）</w:t>
      </w:r>
      <w:r>
        <w:rPr>
          <w:rFonts w:hint="eastAsia" w:ascii="宋体" w:hAnsi="宋体" w:cs="宋体"/>
          <w:color w:val="000000" w:themeColor="text1"/>
          <w:kern w:val="0"/>
          <w:sz w:val="28"/>
          <w:szCs w:val="28"/>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三晶信息技术孵化器、海博生物医疗器械科技园、创意产业园、广告产业园等创新创业平台已成为三井街道、常州市新北区聚集创新创业人才和科技型企业孵化平台重要基地。</w:t>
      </w:r>
    </w:p>
    <w:p w14:paraId="04148778">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应用型人才方面，凭借三井街道公共服务设施、商业服务设施的改善和常州整体房价处于相对低价状态，通过对应用人才引进和自主培养，三井街道辖区内的企业、学校、医院和社团机构中集聚了大量应用型人才，包括专业技术人才、经营管理人才、熟练技工，这为三井街道社会经济发展提供了大量人才储备。</w:t>
      </w:r>
    </w:p>
    <w:p w14:paraId="2CB47C52">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但同时三井街道在人才发展上也存在一些问题：一是重科技创新创业领军人才，轻一般创新创业人才，对一般人才创新创业项目，缺孵化平台；二是由于对人才过于求贤如渴，有时在引进人才方面存在不加甄别情况，存在“重前期引进、轻后续跟踪”和“重投入、轻产出”问题；三是政策倾斜重科技创新创业人才，轻管理经营应用人才；四是在人才引进方面重制造业人才，轻服务业人才；五是重引进人才，轻自主培育人才；六是“十二五”期间虽然三井街道引进的各类创新创业人才（项目）总量可观，但存在波动大和专业不聚焦等问题。</w:t>
      </w:r>
    </w:p>
    <w:p w14:paraId="73725CDB">
      <w:pPr>
        <w:spacing w:line="360" w:lineRule="auto"/>
        <w:rPr>
          <w:rFonts w:ascii="黑体" w:hAnsi="宋体" w:eastAsia="黑体"/>
          <w:b/>
          <w:color w:val="000000" w:themeColor="text1"/>
          <w:sz w:val="32"/>
          <w:szCs w:val="32"/>
          <w14:textFill>
            <w14:solidFill>
              <w14:schemeClr w14:val="tx1"/>
            </w14:solidFill>
          </w14:textFill>
        </w:rPr>
      </w:pPr>
    </w:p>
    <w:p w14:paraId="776AED1D">
      <w:pPr>
        <w:spacing w:line="360" w:lineRule="auto"/>
        <w:rPr>
          <w:rFonts w:ascii="黑体" w:hAnsi="宋体" w:eastAsia="黑体"/>
          <w:b/>
          <w:color w:val="000000" w:themeColor="text1"/>
          <w:sz w:val="32"/>
          <w:szCs w:val="32"/>
          <w14:textFill>
            <w14:solidFill>
              <w14:schemeClr w14:val="tx1"/>
            </w14:solidFill>
          </w14:textFill>
        </w:rPr>
      </w:pPr>
      <w:r>
        <w:rPr>
          <w:rFonts w:hint="eastAsia" w:ascii="黑体" w:hAnsi="宋体" w:eastAsia="黑体"/>
          <w:b/>
          <w:color w:val="000000" w:themeColor="text1"/>
          <w:sz w:val="32"/>
          <w:szCs w:val="32"/>
          <w14:textFill>
            <w14:solidFill>
              <w14:schemeClr w14:val="tx1"/>
            </w14:solidFill>
          </w14:textFill>
        </w:rPr>
        <w:t>(三)三井街道人才发展路径</w:t>
      </w:r>
    </w:p>
    <w:p w14:paraId="450CA84A">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合理人才结构都是“金字塔”结构，处于“塔顶”的顶尖人才永远是少数，处于“塔身”和“塔基”的人才永远是多数。“十三五”期间三井街道人才发展路径：</w:t>
      </w:r>
    </w:p>
    <w:p w14:paraId="252160E7">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一是引进和培育人才的专业结构要与三井街道社会经济发展方向相符，加大服务业人才和应用型人才引进和培育力度；</w:t>
      </w:r>
    </w:p>
    <w:p w14:paraId="0B51CF0D">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二是重视一般人才创新创业，建立创客空间和创客平台，激发社会“大众创业、万众创新”热情，鼓励和支持普通人才创新创业，创新创业“不问英雄出处”；</w:t>
      </w:r>
    </w:p>
    <w:p w14:paraId="1C0168AD">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三是对于急需高级应用型人才，应与科技创新创业人才同等地位，给予生活待遇；</w:t>
      </w:r>
    </w:p>
    <w:p w14:paraId="7BB01FEC">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四是树立唯才是举观念，不唯学历、不唯留洋背景；</w:t>
      </w:r>
    </w:p>
    <w:p w14:paraId="5B15F734">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五是全面对接全国“千人计划”、江苏“双创计划”和常州“龙城英才计划”，根据三井街道主导产业发展方向，有针对性地引进顶尖创新创业人才,并对</w:t>
      </w:r>
      <w:r>
        <w:rPr>
          <w:rFonts w:hint="eastAsia" w:asciiTheme="minorEastAsia" w:hAnsiTheme="minorEastAsia" w:eastAsiaTheme="minorEastAsia"/>
          <w:color w:val="000000" w:themeColor="text1"/>
          <w:sz w:val="28"/>
          <w:szCs w:val="28"/>
          <w14:textFill>
            <w14:solidFill>
              <w14:schemeClr w14:val="tx1"/>
            </w14:solidFill>
          </w14:textFill>
        </w:rPr>
        <w:t>并对引进的顶尖创新创业人才开展跟踪服务和跟踪研究</w:t>
      </w:r>
      <w:r>
        <w:rPr>
          <w:rFonts w:hint="eastAsia" w:ascii="宋体" w:hAnsi="宋体"/>
          <w:color w:val="000000" w:themeColor="text1"/>
          <w:sz w:val="28"/>
          <w:szCs w:val="28"/>
          <w14:textFill>
            <w14:solidFill>
              <w14:schemeClr w14:val="tx1"/>
            </w14:solidFill>
          </w14:textFill>
        </w:rPr>
        <w:t>；</w:t>
      </w:r>
    </w:p>
    <w:p w14:paraId="3F09D292">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六是完善科技企业孵化机制，建立江苏产业技术研究院专业研究所，并与外部工业园区建立战略合作协议，依靠事业发展平台引进人才、留住人才、融入人才。</w:t>
      </w:r>
    </w:p>
    <w:p w14:paraId="36E7881C">
      <w:pPr>
        <w:spacing w:line="360" w:lineRule="auto"/>
        <w:rPr>
          <w:rFonts w:ascii="宋体" w:hAnsi="宋体"/>
          <w:color w:val="000000" w:themeColor="text1"/>
          <w:sz w:val="28"/>
          <w:szCs w:val="28"/>
          <w14:textFill>
            <w14:solidFill>
              <w14:schemeClr w14:val="tx1"/>
            </w14:solidFill>
          </w14:textFill>
        </w:rPr>
      </w:pPr>
    </w:p>
    <w:p w14:paraId="659329E0">
      <w:pPr>
        <w:widowControl/>
        <w:jc w:val="left"/>
        <w:rPr>
          <w:rFonts w:ascii="宋体" w:hAnsi="宋体"/>
          <w:color w:val="000000" w:themeColor="text1"/>
          <w:sz w:val="32"/>
          <w:szCs w:val="32"/>
          <w14:textFill>
            <w14:solidFill>
              <w14:schemeClr w14:val="tx1"/>
            </w14:solidFill>
          </w14:textFill>
        </w:rPr>
      </w:pPr>
    </w:p>
    <w:sectPr>
      <w:headerReference r:id="rId4" w:type="default"/>
      <w:footerReference r:id="rId5" w:type="default"/>
      <w:pgSz w:w="11906" w:h="16838"/>
      <w:pgMar w:top="1440" w:right="1700" w:bottom="1440" w:left="1800" w:header="851" w:footer="992"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DFKai-SB">
    <w:altName w:val="Microsoft JhengHei Light"/>
    <w:panose1 w:val="00000000000000000000"/>
    <w:charset w:val="88"/>
    <w:family w:val="script"/>
    <w:pitch w:val="default"/>
    <w:sig w:usb0="00000000" w:usb1="00000000" w:usb2="00000016" w:usb3="00000000" w:csb0="00100001" w:csb1="00000000"/>
  </w:font>
  <w:font w:name="仿宋">
    <w:panose1 w:val="02010609060101010101"/>
    <w:charset w:val="86"/>
    <w:family w:val="modern"/>
    <w:pitch w:val="default"/>
    <w:sig w:usb0="800002BF" w:usb1="38CF7CFA" w:usb2="00000016" w:usb3="00000000" w:csb0="00040001" w:csb1="00000000"/>
  </w:font>
  <w:font w:name="华文隶书">
    <w:panose1 w:val="02010800040101010101"/>
    <w:charset w:val="86"/>
    <w:family w:val="auto"/>
    <w:pitch w:val="default"/>
    <w:sig w:usb0="00000001" w:usb1="080F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chs_boot">
    <w:altName w:val="宋体"/>
    <w:panose1 w:val="00000000000000000000"/>
    <w:charset w:val="86"/>
    <w:family w:val="swiss"/>
    <w:pitch w:val="default"/>
    <w:sig w:usb0="00000000" w:usb1="00000000" w:usb2="00000016" w:usb3="00000000" w:csb0="00140001" w:csb1="00000000"/>
  </w:font>
  <w:font w:name="Verdana">
    <w:panose1 w:val="020B0604030504040204"/>
    <w:charset w:val="00"/>
    <w:family w:val="swiss"/>
    <w:pitch w:val="default"/>
    <w:sig w:usb0="A00006FF" w:usb1="4000205B" w:usb2="00000010" w:usb3="00000000" w:csb0="2000019F" w:csb1="00000000"/>
  </w:font>
  <w:font w:name="方正仿宋简体">
    <w:altName w:val="宋体"/>
    <w:panose1 w:val="00000000000000000000"/>
    <w:charset w:val="86"/>
    <w:family w:val="auto"/>
    <w:pitch w:val="default"/>
    <w:sig w:usb0="00000000" w:usb1="00000000" w:usb2="00000010" w:usb3="00000000" w:csb0="00040000"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D707FF">
    <w:pPr>
      <w:pStyle w:val="6"/>
      <w:jc w:val="center"/>
    </w:pPr>
    <w:r>
      <w:fldChar w:fldCharType="begin"/>
    </w:r>
    <w:r>
      <w:instrText xml:space="preserve"> PAGE   \* MERGEFORMAT </w:instrText>
    </w:r>
    <w:r>
      <w:fldChar w:fldCharType="separate"/>
    </w:r>
    <w:r>
      <w:rPr>
        <w:lang w:val="zh-CN"/>
      </w:rPr>
      <w:t>61</w:t>
    </w:r>
    <w:r>
      <w:rPr>
        <w:lang w:val="zh-CN"/>
      </w:rPr>
      <w:fldChar w:fldCharType="end"/>
    </w:r>
  </w:p>
  <w:p w14:paraId="44E78E7A">
    <w:pPr>
      <w:pStyle w:val="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34">
    <w:p>
      <w:r>
        <w:separator/>
      </w:r>
    </w:p>
  </w:footnote>
  <w:footnote w:type="continuationSeparator" w:id="35">
    <w:p>
      <w:r>
        <w:continuationSeparator/>
      </w:r>
    </w:p>
  </w:footnote>
  <w:footnote w:id="0">
    <w:p w14:paraId="2F49ACE0">
      <w:pPr>
        <w:pStyle w:val="8"/>
      </w:pPr>
      <w:r>
        <w:rPr>
          <w:rStyle w:val="14"/>
        </w:rPr>
        <w:footnoteRef/>
      </w:r>
      <w:r>
        <w:t xml:space="preserve"> </w:t>
      </w:r>
      <w:r>
        <w:rPr>
          <w:rFonts w:hint="eastAsia"/>
        </w:rPr>
        <w:t>2014年11月习近平总书记在福建考察时提出了“三个全面”概念，2014年12月在江苏考察时扩展到“四个全面”概念。所谓“四个全面”，即全面建成小康社会，全面深化改革、全面推进依法治国、全面从严治党。“四个全面”的提出，完整地展现了以习近平为首的中央领导集体治国理政总体框架，使当前和今后一个时期党和国家各项工作关键环节、重点领域、主攻方向更加清晰，内在逻辑更加严密，并将贯彻中国实现小康社会的全过程。</w:t>
      </w:r>
    </w:p>
  </w:footnote>
  <w:footnote w:id="1">
    <w:p w14:paraId="3DCBD09C">
      <w:pPr>
        <w:pStyle w:val="8"/>
      </w:pPr>
      <w:r>
        <w:rPr>
          <w:rStyle w:val="14"/>
        </w:rPr>
        <w:footnoteRef/>
      </w:r>
      <w:r>
        <w:t xml:space="preserve"> </w:t>
      </w:r>
      <w:r>
        <w:rPr>
          <w:rFonts w:hint="eastAsia"/>
        </w:rPr>
        <w:t>“退二进三”指退出第二产业，发展第三产业；“退二优二”指退出落后传统第二产业，发展高端、先进第二产业；“退三优三”指退出发展落后第三产业，发展新兴现代服务业。</w:t>
      </w:r>
    </w:p>
  </w:footnote>
  <w:footnote w:id="2">
    <w:p w14:paraId="4731DF39">
      <w:pPr>
        <w:pStyle w:val="8"/>
        <w:spacing w:line="360" w:lineRule="auto"/>
        <w:jc w:val="both"/>
        <w:rPr>
          <w:color w:val="000000" w:themeColor="text1"/>
          <w14:textFill>
            <w14:solidFill>
              <w14:schemeClr w14:val="tx1"/>
            </w14:solidFill>
          </w14:textFill>
        </w:rPr>
      </w:pPr>
      <w:r>
        <w:rPr>
          <w:rStyle w:val="14"/>
        </w:rPr>
        <w:footnoteRef/>
      </w:r>
      <w:r>
        <w:t xml:space="preserve"> </w:t>
      </w:r>
      <w:r>
        <w:rPr>
          <w:rFonts w:hint="eastAsia" w:ascii="Arial" w:hAnsi="Arial" w:cs="Arial"/>
          <w:color w:val="000000" w:themeColor="text1"/>
          <w:kern w:val="0"/>
          <w:szCs w:val="21"/>
          <w14:textFill>
            <w14:solidFill>
              <w14:schemeClr w14:val="tx1"/>
            </w14:solidFill>
          </w14:textFill>
        </w:rPr>
        <w:t>“</w:t>
      </w:r>
      <w:r>
        <w:fldChar w:fldCharType="begin"/>
      </w:r>
      <w:r>
        <w:instrText xml:space="preserve"> HYPERLINK "http://baike.baidu.com/view/4830032.htm" \t "_blank" </w:instrText>
      </w:r>
      <w:r>
        <w:fldChar w:fldCharType="separate"/>
      </w:r>
      <w:r>
        <w:rPr>
          <w:rFonts w:ascii="Arial" w:hAnsi="Arial" w:cs="Arial"/>
          <w:color w:val="000000" w:themeColor="text1"/>
          <w:kern w:val="0"/>
          <w:szCs w:val="21"/>
          <w14:textFill>
            <w14:solidFill>
              <w14:schemeClr w14:val="tx1"/>
            </w14:solidFill>
          </w14:textFill>
        </w:rPr>
        <w:t>海外高层次人才引进计划</w:t>
      </w:r>
      <w:r>
        <w:rPr>
          <w:rFonts w:ascii="Arial" w:hAnsi="Arial" w:cs="Arial"/>
          <w:color w:val="000000" w:themeColor="text1"/>
          <w:kern w:val="0"/>
          <w:szCs w:val="21"/>
          <w14:textFill>
            <w14:solidFill>
              <w14:schemeClr w14:val="tx1"/>
            </w14:solidFill>
          </w14:textFill>
        </w:rPr>
        <w:fldChar w:fldCharType="end"/>
      </w:r>
      <w:r>
        <w:rPr>
          <w:rFonts w:hint="eastAsia" w:ascii="Arial" w:hAnsi="Arial" w:cs="Arial"/>
          <w:color w:val="000000" w:themeColor="text1"/>
          <w:kern w:val="0"/>
          <w:szCs w:val="21"/>
          <w14:textFill>
            <w14:solidFill>
              <w14:schemeClr w14:val="tx1"/>
            </w14:solidFill>
          </w14:textFill>
        </w:rPr>
        <w:t>”</w:t>
      </w:r>
      <w:r>
        <w:rPr>
          <w:rFonts w:ascii="Arial" w:hAnsi="Arial" w:cs="Arial"/>
          <w:color w:val="000000" w:themeColor="text1"/>
          <w:kern w:val="0"/>
          <w:szCs w:val="21"/>
          <w14:textFill>
            <w14:solidFill>
              <w14:schemeClr w14:val="tx1"/>
            </w14:solidFill>
          </w14:textFill>
        </w:rPr>
        <w:t>简称</w:t>
      </w:r>
      <w:r>
        <w:rPr>
          <w:rFonts w:hint="eastAsia" w:ascii="Arial" w:hAnsi="Arial" w:cs="Arial"/>
          <w:color w:val="000000" w:themeColor="text1"/>
          <w:kern w:val="0"/>
          <w:szCs w:val="21"/>
          <w14:textFill>
            <w14:solidFill>
              <w14:schemeClr w14:val="tx1"/>
            </w14:solidFill>
          </w14:textFill>
        </w:rPr>
        <w:t>“</w:t>
      </w:r>
      <w:r>
        <w:rPr>
          <w:rFonts w:ascii="Arial" w:hAnsi="Arial" w:cs="Arial"/>
          <w:color w:val="000000" w:themeColor="text1"/>
          <w:kern w:val="0"/>
          <w:szCs w:val="21"/>
          <w14:textFill>
            <w14:solidFill>
              <w14:schemeClr w14:val="tx1"/>
            </w14:solidFill>
          </w14:textFill>
        </w:rPr>
        <w:t>千人计划</w:t>
      </w:r>
      <w:r>
        <w:rPr>
          <w:rFonts w:hint="eastAsia" w:ascii="Arial" w:hAnsi="Arial" w:cs="Arial"/>
          <w:color w:val="000000" w:themeColor="text1"/>
          <w:kern w:val="0"/>
          <w:szCs w:val="21"/>
          <w14:textFill>
            <w14:solidFill>
              <w14:schemeClr w14:val="tx1"/>
            </w14:solidFill>
          </w14:textFill>
        </w:rPr>
        <w:t>”</w:t>
      </w:r>
      <w:r>
        <w:rPr>
          <w:rFonts w:ascii="Arial" w:hAnsi="Arial" w:cs="Arial"/>
          <w:color w:val="000000" w:themeColor="text1"/>
          <w:kern w:val="0"/>
          <w:szCs w:val="21"/>
          <w14:textFill>
            <w14:solidFill>
              <w14:schemeClr w14:val="tx1"/>
            </w14:solidFill>
          </w14:textFill>
        </w:rPr>
        <w:t>，主要是围绕</w:t>
      </w:r>
      <w:r>
        <w:fldChar w:fldCharType="begin"/>
      </w:r>
      <w:r>
        <w:instrText xml:space="preserve"> HYPERLINK "http://baike.baidu.com/subview/8426/6365277.htm" \t "_blank" </w:instrText>
      </w:r>
      <w:r>
        <w:fldChar w:fldCharType="separate"/>
      </w:r>
      <w:r>
        <w:rPr>
          <w:rFonts w:ascii="Arial" w:hAnsi="Arial" w:cs="Arial"/>
          <w:color w:val="000000" w:themeColor="text1"/>
          <w:kern w:val="0"/>
          <w:szCs w:val="21"/>
          <w14:textFill>
            <w14:solidFill>
              <w14:schemeClr w14:val="tx1"/>
            </w14:solidFill>
          </w14:textFill>
        </w:rPr>
        <w:t>国家</w:t>
      </w:r>
      <w:r>
        <w:rPr>
          <w:rFonts w:ascii="Arial" w:hAnsi="Arial" w:cs="Arial"/>
          <w:color w:val="000000" w:themeColor="text1"/>
          <w:kern w:val="0"/>
          <w:szCs w:val="21"/>
          <w14:textFill>
            <w14:solidFill>
              <w14:schemeClr w14:val="tx1"/>
            </w14:solidFill>
          </w14:textFill>
        </w:rPr>
        <w:fldChar w:fldCharType="end"/>
      </w:r>
      <w:r>
        <w:rPr>
          <w:rFonts w:ascii="Arial" w:hAnsi="Arial" w:cs="Arial"/>
          <w:color w:val="000000" w:themeColor="text1"/>
          <w:kern w:val="0"/>
          <w:szCs w:val="21"/>
          <w14:textFill>
            <w14:solidFill>
              <w14:schemeClr w14:val="tx1"/>
            </w14:solidFill>
          </w14:textFill>
        </w:rPr>
        <w:t>发展战略目标，从2008年开始，在国家重点创新项目、学科、实验室以及中央企业和国有商业</w:t>
      </w:r>
      <w:r>
        <w:fldChar w:fldCharType="begin"/>
      </w:r>
      <w:r>
        <w:instrText xml:space="preserve"> HYPERLINK "http://baike.baidu.com/view/56260.htm" \t "_blank" </w:instrText>
      </w:r>
      <w:r>
        <w:fldChar w:fldCharType="separate"/>
      </w:r>
      <w:r>
        <w:rPr>
          <w:rFonts w:ascii="Arial" w:hAnsi="Arial" w:cs="Arial"/>
          <w:color w:val="000000" w:themeColor="text1"/>
          <w:kern w:val="0"/>
          <w:szCs w:val="21"/>
          <w14:textFill>
            <w14:solidFill>
              <w14:schemeClr w14:val="tx1"/>
            </w14:solidFill>
          </w14:textFill>
        </w:rPr>
        <w:t>金融机构</w:t>
      </w:r>
      <w:r>
        <w:rPr>
          <w:rFonts w:ascii="Arial" w:hAnsi="Arial" w:cs="Arial"/>
          <w:color w:val="000000" w:themeColor="text1"/>
          <w:kern w:val="0"/>
          <w:szCs w:val="21"/>
          <w14:textFill>
            <w14:solidFill>
              <w14:schemeClr w14:val="tx1"/>
            </w14:solidFill>
          </w14:textFill>
        </w:rPr>
        <w:fldChar w:fldCharType="end"/>
      </w:r>
      <w:r>
        <w:rPr>
          <w:rFonts w:ascii="Arial" w:hAnsi="Arial" w:cs="Arial"/>
          <w:color w:val="000000" w:themeColor="text1"/>
          <w:kern w:val="0"/>
          <w:szCs w:val="21"/>
          <w14:textFill>
            <w14:solidFill>
              <w14:schemeClr w14:val="tx1"/>
            </w14:solidFill>
          </w14:textFill>
        </w:rPr>
        <w:t>、以高新技术产业开发区为主的各类园区等，引进2000名左右人才并有重点地支持一批能够突破关键技术、发展高新产业、带动新兴学科的战略科学家和领军人才来华创新创业。</w:t>
      </w:r>
      <w:r>
        <w:rPr>
          <w:rFonts w:hint="eastAsia" w:ascii="Arial" w:hAnsi="Arial" w:cs="Arial"/>
          <w:color w:val="000000" w:themeColor="text1"/>
          <w:szCs w:val="21"/>
          <w14:textFill>
            <w14:solidFill>
              <w14:schemeClr w14:val="tx1"/>
            </w14:solidFill>
          </w14:textFill>
        </w:rPr>
        <w:t>“</w:t>
      </w:r>
      <w:r>
        <w:fldChar w:fldCharType="begin"/>
      </w:r>
      <w:r>
        <w:instrText xml:space="preserve"> HYPERLINK "http://baike.baidu.com/view/2322627.htm" \t "_blank" </w:instrText>
      </w:r>
      <w:r>
        <w:fldChar w:fldCharType="separate"/>
      </w:r>
      <w:r>
        <w:rPr>
          <w:rFonts w:ascii="Arial" w:hAnsi="Arial" w:cs="Arial"/>
          <w:color w:val="000000" w:themeColor="text1"/>
          <w:szCs w:val="21"/>
          <w14:textFill>
            <w14:solidFill>
              <w14:schemeClr w14:val="tx1"/>
            </w14:solidFill>
          </w14:textFill>
        </w:rPr>
        <w:t>千人计划</w:t>
      </w:r>
      <w:r>
        <w:rPr>
          <w:rFonts w:ascii="Arial" w:hAnsi="Arial" w:cs="Arial"/>
          <w:color w:val="000000" w:themeColor="text1"/>
          <w:szCs w:val="21"/>
          <w14:textFill>
            <w14:solidFill>
              <w14:schemeClr w14:val="tx1"/>
            </w14:solidFill>
          </w14:textFill>
        </w:rPr>
        <w:fldChar w:fldCharType="end"/>
      </w:r>
      <w:r>
        <w:rPr>
          <w:rFonts w:hint="eastAsia" w:ascii="Arial" w:hAnsi="Arial" w:cs="Arial"/>
          <w:color w:val="000000" w:themeColor="text1"/>
          <w:szCs w:val="21"/>
          <w14:textFill>
            <w14:solidFill>
              <w14:schemeClr w14:val="tx1"/>
            </w14:solidFill>
          </w14:textFill>
        </w:rPr>
        <w:t>”</w:t>
      </w:r>
      <w:r>
        <w:rPr>
          <w:rFonts w:ascii="Arial" w:hAnsi="Arial" w:cs="Arial"/>
          <w:color w:val="000000" w:themeColor="text1"/>
          <w:szCs w:val="21"/>
          <w14:textFill>
            <w14:solidFill>
              <w14:schemeClr w14:val="tx1"/>
            </w14:solidFill>
          </w14:textFill>
        </w:rPr>
        <w:t>引进的人才，一般应在海外取得</w:t>
      </w:r>
      <w:r>
        <w:fldChar w:fldCharType="begin"/>
      </w:r>
      <w:r>
        <w:instrText xml:space="preserve"> HYPERLINK "http://baike.baidu.com/view/766369.htm" \t "_blank" </w:instrText>
      </w:r>
      <w:r>
        <w:fldChar w:fldCharType="separate"/>
      </w:r>
      <w:r>
        <w:rPr>
          <w:rFonts w:ascii="Arial" w:hAnsi="Arial" w:cs="Arial"/>
          <w:color w:val="000000" w:themeColor="text1"/>
          <w:szCs w:val="21"/>
          <w14:textFill>
            <w14:solidFill>
              <w14:schemeClr w14:val="tx1"/>
            </w14:solidFill>
          </w14:textFill>
        </w:rPr>
        <w:t>博士学位</w:t>
      </w:r>
      <w:r>
        <w:rPr>
          <w:rFonts w:ascii="Arial" w:hAnsi="Arial" w:cs="Arial"/>
          <w:color w:val="000000" w:themeColor="text1"/>
          <w:szCs w:val="21"/>
          <w14:textFill>
            <w14:solidFill>
              <w14:schemeClr w14:val="tx1"/>
            </w14:solidFill>
          </w14:textFill>
        </w:rPr>
        <w:fldChar w:fldCharType="end"/>
      </w:r>
      <w:r>
        <w:rPr>
          <w:rFonts w:ascii="Arial" w:hAnsi="Arial" w:cs="Arial"/>
          <w:color w:val="000000" w:themeColor="text1"/>
          <w:szCs w:val="21"/>
          <w14:textFill>
            <w14:solidFill>
              <w14:schemeClr w14:val="tx1"/>
            </w14:solidFill>
          </w14:textFill>
        </w:rPr>
        <w:t>，原则上不超过55岁，引进后每年在国内工作一般不少于6个月，并符合下列条件之一：在国外著名高校、科研院所担任相当于教授职务的专家学者；在国际知名企业和金融机构担任高级职务的专业技术人才和经营管理人才；拥有自主知识产权或掌握核心技术，具有海外自主创业经验，熟悉相关产业领域和国际规则的创业人才；国家急需紧缺的其它高层次创新创业人才</w:t>
      </w:r>
      <w:r>
        <w:rPr>
          <w:rFonts w:hint="eastAsia" w:ascii="Arial" w:hAnsi="Arial" w:cs="Arial"/>
          <w:color w:val="000000" w:themeColor="text1"/>
          <w:szCs w:val="21"/>
          <w14:textFill>
            <w14:solidFill>
              <w14:schemeClr w14:val="tx1"/>
            </w14:solidFill>
          </w14:textFill>
        </w:rPr>
        <w:t>。</w:t>
      </w:r>
    </w:p>
  </w:footnote>
  <w:footnote w:id="3">
    <w:p w14:paraId="72403D6F">
      <w:pPr>
        <w:pStyle w:val="8"/>
        <w:spacing w:line="360" w:lineRule="auto"/>
        <w:jc w:val="both"/>
        <w:rPr>
          <w:color w:val="000000" w:themeColor="text1"/>
          <w14:textFill>
            <w14:solidFill>
              <w14:schemeClr w14:val="tx1"/>
            </w14:solidFill>
          </w14:textFill>
        </w:rPr>
      </w:pPr>
      <w:r>
        <w:rPr>
          <w:rStyle w:val="14"/>
        </w:rPr>
        <w:footnoteRef/>
      </w:r>
      <w:r>
        <w:t xml:space="preserve"> </w:t>
      </w:r>
      <w:r>
        <w:rPr>
          <w:rFonts w:hint="eastAsia"/>
          <w:color w:val="000000" w:themeColor="text1"/>
          <w14:textFill>
            <w14:solidFill>
              <w14:schemeClr w14:val="tx1"/>
            </w14:solidFill>
          </w14:textFill>
        </w:rPr>
        <w:t>20</w:t>
      </w:r>
      <w:r>
        <w:rPr>
          <w:rFonts w:ascii="Verdana" w:hAnsi="Verdana"/>
          <w:color w:val="000000" w:themeColor="text1"/>
          <w14:textFill>
            <w14:solidFill>
              <w14:schemeClr w14:val="tx1"/>
            </w14:solidFill>
          </w14:textFill>
        </w:rPr>
        <w:t>06</w:t>
      </w:r>
      <w:r>
        <w:rPr>
          <w:rFonts w:hint="eastAsia" w:ascii="Verdana" w:hAnsi="Verdana"/>
          <w:color w:val="000000" w:themeColor="text1"/>
          <w14:textFill>
            <w14:solidFill>
              <w14:schemeClr w14:val="tx1"/>
            </w14:solidFill>
          </w14:textFill>
        </w:rPr>
        <w:t>年江苏省出台了《加强高层次创业创新人才队伍建设的意见》，</w:t>
      </w:r>
      <w:r>
        <w:rPr>
          <w:rFonts w:ascii="Verdana" w:hAnsi="Verdana"/>
          <w:color w:val="000000" w:themeColor="text1"/>
          <w14:textFill>
            <w14:solidFill>
              <w14:schemeClr w14:val="tx1"/>
            </w14:solidFill>
          </w14:textFill>
        </w:rPr>
        <w:t>2007</w:t>
      </w:r>
      <w:r>
        <w:rPr>
          <w:rFonts w:hint="eastAsia" w:ascii="Verdana" w:hAnsi="Verdana"/>
          <w:color w:val="000000" w:themeColor="text1"/>
          <w14:textFill>
            <w14:solidFill>
              <w14:schemeClr w14:val="tx1"/>
            </w14:solidFill>
          </w14:textFill>
        </w:rPr>
        <w:t>年启动实施“双创计划”，提出拿出</w:t>
      </w:r>
      <w:r>
        <w:rPr>
          <w:rFonts w:ascii="Verdana" w:hAnsi="Verdana"/>
          <w:color w:val="000000" w:themeColor="text1"/>
          <w14:textFill>
            <w14:solidFill>
              <w14:schemeClr w14:val="tx1"/>
            </w14:solidFill>
          </w14:textFill>
        </w:rPr>
        <w:t>1</w:t>
      </w:r>
      <w:r>
        <w:rPr>
          <w:rFonts w:hint="eastAsia" w:ascii="Verdana" w:hAnsi="Verdana"/>
          <w:color w:val="000000" w:themeColor="text1"/>
          <w14:textFill>
            <w14:solidFill>
              <w14:schemeClr w14:val="tx1"/>
            </w14:solidFill>
          </w14:textFill>
        </w:rPr>
        <w:t>亿元元，引进</w:t>
      </w:r>
      <w:r>
        <w:rPr>
          <w:rFonts w:ascii="Verdana" w:hAnsi="Verdana"/>
          <w:color w:val="000000" w:themeColor="text1"/>
          <w14:textFill>
            <w14:solidFill>
              <w14:schemeClr w14:val="tx1"/>
            </w14:solidFill>
          </w14:textFill>
        </w:rPr>
        <w:t>100</w:t>
      </w:r>
      <w:r>
        <w:rPr>
          <w:rFonts w:hint="eastAsia" w:ascii="Verdana" w:hAnsi="Verdana"/>
          <w:color w:val="000000" w:themeColor="text1"/>
          <w14:textFill>
            <w14:solidFill>
              <w14:schemeClr w14:val="tx1"/>
            </w14:solidFill>
          </w14:textFill>
        </w:rPr>
        <w:t>人，每人</w:t>
      </w:r>
      <w:r>
        <w:rPr>
          <w:rFonts w:ascii="Verdana" w:hAnsi="Verdana"/>
          <w:color w:val="000000" w:themeColor="text1"/>
          <w14:textFill>
            <w14:solidFill>
              <w14:schemeClr w14:val="tx1"/>
            </w14:solidFill>
          </w14:textFill>
        </w:rPr>
        <w:t>100</w:t>
      </w:r>
      <w:r>
        <w:rPr>
          <w:rFonts w:hint="eastAsia" w:ascii="Verdana" w:hAnsi="Verdana"/>
          <w:color w:val="000000" w:themeColor="text1"/>
          <w14:textFill>
            <w14:solidFill>
              <w14:schemeClr w14:val="tx1"/>
            </w14:solidFill>
          </w14:textFill>
        </w:rPr>
        <w:t>万，面向企业、面向产业、面向经济发展主阵地引进领军人才，由江苏省委组织部、江苏省科技厅、江苏省人社厅共同组织实施。“双创计划”是对接国家“千人计划”的省级品牌工程，有双创人才、双创团队、双创博士三个项目。</w:t>
      </w:r>
    </w:p>
  </w:footnote>
  <w:footnote w:id="4">
    <w:p w14:paraId="034CDBE7">
      <w:pPr>
        <w:pStyle w:val="8"/>
      </w:pPr>
      <w:r>
        <w:rPr>
          <w:rStyle w:val="14"/>
        </w:rPr>
        <w:footnoteRef/>
      </w:r>
      <w:r>
        <w:rPr>
          <w:color w:val="000000" w:themeColor="text1"/>
          <w14:textFill>
            <w14:solidFill>
              <w14:schemeClr w14:val="tx1"/>
            </w14:solidFill>
          </w14:textFill>
        </w:rPr>
        <w:t>为加快推进"科教兴市、人才强市"战略的进程，2006年9月常州</w:t>
      </w:r>
      <w:r>
        <w:rPr>
          <w:rFonts w:hint="eastAsia"/>
          <w:color w:val="000000" w:themeColor="text1"/>
          <w14:textFill>
            <w14:solidFill>
              <w14:schemeClr w14:val="tx1"/>
            </w14:solidFill>
          </w14:textFill>
        </w:rPr>
        <w:t>市</w:t>
      </w:r>
      <w:r>
        <w:rPr>
          <w:color w:val="000000" w:themeColor="text1"/>
          <w14:textFill>
            <w14:solidFill>
              <w14:schemeClr w14:val="tx1"/>
            </w14:solidFill>
          </w14:textFill>
        </w:rPr>
        <w:t>决定启动实施</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千名海外人才集聚工程</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，制定出台了</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3个100</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政策，即给予海外留学归国创业领军人才一次性资助创业启动资金100万元，同时3年内免费提供不少于100㎡的创业场所和100㎡的住所。2011年8月</w:t>
      </w:r>
      <w:r>
        <w:rPr>
          <w:rFonts w:hint="eastAsia"/>
          <w:color w:val="000000" w:themeColor="text1"/>
          <w14:textFill>
            <w14:solidFill>
              <w14:schemeClr w14:val="tx1"/>
            </w14:solidFill>
          </w14:textFill>
        </w:rPr>
        <w:t>常州市</w:t>
      </w:r>
      <w:r>
        <w:rPr>
          <w:color w:val="000000" w:themeColor="text1"/>
          <w14:textFill>
            <w14:solidFill>
              <w14:schemeClr w14:val="tx1"/>
            </w14:solidFill>
          </w14:textFill>
        </w:rPr>
        <w:t>在全面完成两轮“千名海外人才集聚工程”目标任务的基础上，启动实施“龙城英才计划”，围绕重点发展的新能源、新材料、高端装备制造、生物技术和新医药、节能环保、软件和服务外包、物联网和新一代信息技术等七大新兴产业，以更新机制、更大力度在更广领域引进和培育领军人才</w:t>
      </w:r>
      <w:r>
        <w:rPr>
          <w:rFonts w:hint="eastAsia"/>
          <w:color w:val="000000" w:themeColor="text1"/>
          <w14:textFill>
            <w14:solidFill>
              <w14:schemeClr w14:val="tx1"/>
            </w14:solidFill>
          </w14:textFill>
        </w:rPr>
        <w:t>。2014年1月起，常州市</w:t>
      </w:r>
      <w:r>
        <w:rPr>
          <w:color w:val="000000" w:themeColor="text1"/>
          <w14:textFill>
            <w14:solidFill>
              <w14:schemeClr w14:val="tx1"/>
            </w14:solidFill>
          </w14:textFill>
        </w:rPr>
        <w:t>决定进一步加大力度、完善机制、创新政策，全面深化“龙城英才计划”，围绕</w:t>
      </w:r>
      <w:r>
        <w:rPr>
          <w:rFonts w:hint="eastAsia"/>
          <w:color w:val="000000" w:themeColor="text1"/>
          <w14:textFill>
            <w14:solidFill>
              <w14:schemeClr w14:val="tx1"/>
            </w14:solidFill>
          </w14:textFill>
        </w:rPr>
        <w:t>常州</w:t>
      </w:r>
      <w:r>
        <w:rPr>
          <w:color w:val="000000" w:themeColor="text1"/>
          <w14:textFill>
            <w14:solidFill>
              <w14:schemeClr w14:val="tx1"/>
            </w14:solidFill>
          </w14:textFill>
        </w:rPr>
        <w:t>培育发展的高端装备制造、新材料、新能源、新一代信息技术和软件、智能电网、生物技术和新医药、节能环保、新能源汽车、海洋工程装备、物联网和云计算等新兴产业，重点突出轨道交通、汽车及零部件、农机和工程机械、太阳能光伏、碳材料、新医药、新光源、通用航空、智能电网、智能数控和机器人等十大产业链建设，按照“政府引导、市场主导、企业主体”的人才工作模式，大力支持引领高新技术产业发展的海内外领军人才在</w:t>
      </w:r>
      <w:r>
        <w:rPr>
          <w:rFonts w:hint="eastAsia"/>
          <w:color w:val="000000" w:themeColor="text1"/>
          <w14:textFill>
            <w14:solidFill>
              <w14:schemeClr w14:val="tx1"/>
            </w14:solidFill>
          </w14:textFill>
        </w:rPr>
        <w:t>常州</w:t>
      </w:r>
      <w:r>
        <w:rPr>
          <w:color w:val="000000" w:themeColor="text1"/>
          <w14:textFill>
            <w14:solidFill>
              <w14:schemeClr w14:val="tx1"/>
            </w14:solidFill>
          </w14:textFill>
        </w:rPr>
        <w:t>创新创业</w:t>
      </w:r>
      <w:r>
        <w:rPr>
          <w:rFonts w:hint="eastAsia"/>
          <w:color w:val="000000" w:themeColor="text1"/>
          <w14:textFill>
            <w14:solidFill>
              <w14:schemeClr w14:val="tx1"/>
            </w14:solidFill>
          </w14:textFill>
        </w:rPr>
        <w:t>。</w:t>
      </w:r>
    </w:p>
  </w:footnote>
  <w:footnote w:id="5">
    <w:p w14:paraId="6AC5B328">
      <w:pPr>
        <w:spacing w:before="100" w:beforeAutospacing="1" w:after="375" w:line="360" w:lineRule="atLeast"/>
        <w:jc w:val="left"/>
        <w:rPr>
          <w:rFonts w:ascii="宋体" w:hAnsi="宋体"/>
          <w:bCs/>
          <w:color w:val="000000" w:themeColor="text1"/>
          <w:sz w:val="18"/>
          <w:szCs w:val="18"/>
          <w14:textFill>
            <w14:solidFill>
              <w14:schemeClr w14:val="tx1"/>
            </w14:solidFill>
          </w14:textFill>
        </w:rPr>
      </w:pPr>
      <w:r>
        <w:rPr>
          <w:rStyle w:val="14"/>
          <w:sz w:val="18"/>
          <w:szCs w:val="18"/>
        </w:rPr>
        <w:footnoteRef/>
      </w:r>
      <w:r>
        <w:rPr>
          <w:rFonts w:hint="eastAsia" w:ascii="宋体" w:hAnsi="宋体"/>
          <w:color w:val="000000" w:themeColor="text1"/>
          <w:sz w:val="18"/>
          <w:szCs w:val="18"/>
          <w14:textFill>
            <w14:solidFill>
              <w14:schemeClr w14:val="tx1"/>
            </w14:solidFill>
          </w14:textFill>
        </w:rPr>
        <w:t>新常态概念由美国太平洋基金管理公司总裁埃里安（Mohamed El-Erian）在2010年40届世界经济论坛（瑞士达沃斯）率先提出，所谓新常态是指全球经济危机之后经济恢复的缓慢而痛苦的过程。</w:t>
      </w:r>
      <w:r>
        <w:rPr>
          <w:rFonts w:ascii="宋体" w:hAnsi="宋体"/>
          <w:bCs/>
          <w:color w:val="000000" w:themeColor="text1"/>
          <w:sz w:val="18"/>
          <w:szCs w:val="18"/>
          <w14:textFill>
            <w14:solidFill>
              <w14:schemeClr w14:val="tx1"/>
            </w14:solidFill>
          </w14:textFill>
        </w:rPr>
        <w:t>新常态文字解释</w:t>
      </w:r>
      <w:r>
        <w:rPr>
          <w:rFonts w:hint="eastAsia" w:ascii="宋体" w:hAnsi="宋体"/>
          <w:bCs/>
          <w:color w:val="000000" w:themeColor="text1"/>
          <w:sz w:val="18"/>
          <w:szCs w:val="18"/>
          <w14:textFill>
            <w14:solidFill>
              <w14:schemeClr w14:val="tx1"/>
            </w14:solidFill>
          </w14:textFill>
        </w:rPr>
        <w:t>：“</w:t>
      </w:r>
      <w:r>
        <w:rPr>
          <w:rFonts w:ascii="宋体" w:hAnsi="宋体"/>
          <w:bCs/>
          <w:color w:val="000000" w:themeColor="text1"/>
          <w:sz w:val="18"/>
          <w:szCs w:val="18"/>
          <w14:textFill>
            <w14:solidFill>
              <w14:schemeClr w14:val="tx1"/>
            </w14:solidFill>
          </w14:textFill>
        </w:rPr>
        <w:t>新</w:t>
      </w:r>
      <w:r>
        <w:rPr>
          <w:rFonts w:hint="eastAsia" w:ascii="宋体" w:hAnsi="宋体"/>
          <w:bCs/>
          <w:color w:val="000000" w:themeColor="text1"/>
          <w:sz w:val="18"/>
          <w:szCs w:val="18"/>
          <w14:textFill>
            <w14:solidFill>
              <w14:schemeClr w14:val="tx1"/>
            </w14:solidFill>
          </w14:textFill>
        </w:rPr>
        <w:t>”是与旧对应或不同以往，“常”是稳定，“态”是形状、状态、形态、态势，新常态就是指不同以往新出现的稳定状态、态势。</w:t>
      </w:r>
      <w:r>
        <w:rPr>
          <w:rFonts w:ascii="宋体" w:hAnsi="宋体"/>
          <w:bCs/>
          <w:color w:val="000000" w:themeColor="text1"/>
          <w:sz w:val="18"/>
          <w:szCs w:val="18"/>
          <w14:textFill>
            <w14:solidFill>
              <w14:schemeClr w14:val="tx1"/>
            </w14:solidFill>
          </w14:textFill>
        </w:rPr>
        <w:t xml:space="preserve"> </w:t>
      </w:r>
      <w:r>
        <w:rPr>
          <w:rFonts w:hint="eastAsia" w:ascii="宋体" w:hAnsi="宋体"/>
          <w:bCs/>
          <w:color w:val="000000" w:themeColor="text1"/>
          <w:sz w:val="18"/>
          <w:szCs w:val="18"/>
          <w14:textFill>
            <w14:solidFill>
              <w14:schemeClr w14:val="tx1"/>
            </w14:solidFill>
          </w14:textFill>
        </w:rPr>
        <w:t>新常态一词2010年后经一些经济学家引入中国，但在中国能够广泛传播和不断升华，始于2014年。中共中央机关报《人民日报》2014年</w:t>
      </w:r>
      <w:r>
        <w:rPr>
          <w:rFonts w:ascii="宋体" w:hAnsi="宋体"/>
          <w:bCs/>
          <w:color w:val="000000" w:themeColor="text1"/>
          <w:sz w:val="18"/>
          <w:szCs w:val="18"/>
          <w14:textFill>
            <w14:solidFill>
              <w14:schemeClr w14:val="tx1"/>
            </w14:solidFill>
          </w14:textFill>
        </w:rPr>
        <w:t>8</w:t>
      </w:r>
      <w:r>
        <w:rPr>
          <w:rFonts w:hint="eastAsia" w:ascii="宋体" w:hAnsi="宋体"/>
          <w:bCs/>
          <w:color w:val="000000" w:themeColor="text1"/>
          <w:sz w:val="18"/>
          <w:szCs w:val="18"/>
          <w14:textFill>
            <w14:solidFill>
              <w14:schemeClr w14:val="tx1"/>
            </w14:solidFill>
          </w14:textFill>
        </w:rPr>
        <w:t>月</w:t>
      </w:r>
      <w:r>
        <w:rPr>
          <w:rFonts w:ascii="宋体" w:hAnsi="宋体"/>
          <w:bCs/>
          <w:color w:val="000000" w:themeColor="text1"/>
          <w:sz w:val="18"/>
          <w:szCs w:val="18"/>
          <w14:textFill>
            <w14:solidFill>
              <w14:schemeClr w14:val="tx1"/>
            </w14:solidFill>
          </w14:textFill>
        </w:rPr>
        <w:t>5</w:t>
      </w:r>
      <w:r>
        <w:rPr>
          <w:rFonts w:hint="eastAsia" w:ascii="宋体" w:hAnsi="宋体"/>
          <w:bCs/>
          <w:color w:val="000000" w:themeColor="text1"/>
          <w:sz w:val="18"/>
          <w:szCs w:val="18"/>
          <w14:textFill>
            <w14:solidFill>
              <w14:schemeClr w14:val="tx1"/>
            </w14:solidFill>
          </w14:textFill>
        </w:rPr>
        <w:t>日、</w:t>
      </w:r>
      <w:r>
        <w:rPr>
          <w:rFonts w:ascii="宋体" w:hAnsi="宋体"/>
          <w:bCs/>
          <w:color w:val="000000" w:themeColor="text1"/>
          <w:sz w:val="18"/>
          <w:szCs w:val="18"/>
          <w14:textFill>
            <w14:solidFill>
              <w14:schemeClr w14:val="tx1"/>
            </w14:solidFill>
          </w14:textFill>
        </w:rPr>
        <w:t>6</w:t>
      </w:r>
      <w:r>
        <w:rPr>
          <w:rFonts w:hint="eastAsia" w:ascii="宋体" w:hAnsi="宋体"/>
          <w:bCs/>
          <w:color w:val="000000" w:themeColor="text1"/>
          <w:sz w:val="18"/>
          <w:szCs w:val="18"/>
          <w14:textFill>
            <w14:solidFill>
              <w14:schemeClr w14:val="tx1"/>
            </w14:solidFill>
          </w14:textFill>
        </w:rPr>
        <w:t>日、</w:t>
      </w:r>
      <w:r>
        <w:rPr>
          <w:rFonts w:ascii="宋体" w:hAnsi="宋体"/>
          <w:bCs/>
          <w:color w:val="000000" w:themeColor="text1"/>
          <w:sz w:val="18"/>
          <w:szCs w:val="18"/>
          <w14:textFill>
            <w14:solidFill>
              <w14:schemeClr w14:val="tx1"/>
            </w14:solidFill>
          </w14:textFill>
        </w:rPr>
        <w:t>7</w:t>
      </w:r>
      <w:r>
        <w:rPr>
          <w:rFonts w:hint="eastAsia" w:ascii="宋体" w:hAnsi="宋体"/>
          <w:bCs/>
          <w:color w:val="000000" w:themeColor="text1"/>
          <w:sz w:val="18"/>
          <w:szCs w:val="18"/>
          <w14:textFill>
            <w14:solidFill>
              <w14:schemeClr w14:val="tx1"/>
            </w14:solidFill>
          </w14:textFill>
        </w:rPr>
        <w:t>日连续三天在头版刊登了“新常态下的中国经济”系列评论文章（《经济形势闪耀新亮点》、《经济运行呈现新特征》、《经济发展迈入新阶段》）。</w:t>
      </w:r>
      <w:r>
        <w:rPr>
          <w:rFonts w:hint="eastAsia" w:ascii="宋体" w:hAnsi="宋体"/>
          <w:color w:val="000000" w:themeColor="text1"/>
          <w:sz w:val="18"/>
          <w:szCs w:val="18"/>
          <w14:textFill>
            <w14:solidFill>
              <w14:schemeClr w14:val="tx1"/>
            </w14:solidFill>
          </w14:textFill>
        </w:rPr>
        <w:t>作为当前经济发展的阶段性特征，新常态主要内容体现在三个方面：一是经济增长速度由高增长（地区生产总值年均增长率保持在10%以上）转为中高增长（地区生产总值年均增长率保持在7-8%乃至更低）；二是经济增长由主要依靠投资驱动和出口拉动的外延式增长转变为主要依靠创新驱动和消费拉动的内涵式增长；三是在经济结构中第三产业比重超过第二产业，由“制造业中国”转变为“服务业中国”。</w:t>
      </w:r>
    </w:p>
    <w:p w14:paraId="5E2275D5">
      <w:pPr>
        <w:pStyle w:val="8"/>
      </w:pPr>
    </w:p>
  </w:footnote>
  <w:footnote w:id="6">
    <w:p w14:paraId="70DA931F">
      <w:pPr>
        <w:pStyle w:val="8"/>
        <w:spacing w:line="360" w:lineRule="auto"/>
      </w:pPr>
      <w:r>
        <w:rPr>
          <w:rStyle w:val="14"/>
        </w:rPr>
        <w:footnoteRef/>
      </w:r>
      <w:r>
        <w:rPr>
          <w:rFonts w:ascii="Arial" w:hAnsi="Arial" w:cs="Arial"/>
          <w:color w:val="000000"/>
        </w:rPr>
        <w:t>工业4.0是以</w:t>
      </w:r>
      <w:r>
        <w:fldChar w:fldCharType="begin"/>
      </w:r>
      <w:r>
        <w:instrText xml:space="preserve"> HYPERLINK "http://baike.baidu.com/view/262577.htm" \t "_blank" </w:instrText>
      </w:r>
      <w:r>
        <w:fldChar w:fldCharType="separate"/>
      </w:r>
      <w:r>
        <w:rPr>
          <w:rFonts w:ascii="Arial" w:hAnsi="Arial" w:cs="Arial"/>
          <w:color w:val="000000"/>
        </w:rPr>
        <w:t>智能制造</w:t>
      </w:r>
      <w:r>
        <w:rPr>
          <w:rFonts w:ascii="Arial" w:hAnsi="Arial" w:cs="Arial"/>
          <w:color w:val="000000"/>
        </w:rPr>
        <w:fldChar w:fldCharType="end"/>
      </w:r>
      <w:r>
        <w:rPr>
          <w:rFonts w:ascii="Arial" w:hAnsi="Arial" w:cs="Arial"/>
          <w:color w:val="000000"/>
        </w:rPr>
        <w:t>为主导的第四次工业革命或革命性的生产方法</w:t>
      </w:r>
      <w:r>
        <w:rPr>
          <w:rFonts w:hint="eastAsia" w:ascii="Arial" w:hAnsi="Arial" w:cs="Arial"/>
          <w:color w:val="000000"/>
        </w:rPr>
        <w:t>，</w:t>
      </w:r>
      <w:r>
        <w:rPr>
          <w:rFonts w:ascii="Arial" w:hAnsi="Arial" w:cs="Arial"/>
          <w:color w:val="000000"/>
        </w:rPr>
        <w:t>通过充分利用信息通讯技术和网络空间虚拟系统—信息物理系统（Cyber-Physical System)，将制造业向智能化转型</w:t>
      </w:r>
      <w:r>
        <w:rPr>
          <w:rFonts w:hint="eastAsia" w:ascii="Arial" w:hAnsi="Arial" w:cs="Arial"/>
          <w:color w:val="000000"/>
        </w:rPr>
        <w:t>，包括智能工厂、智能生产、智能物流。</w:t>
      </w:r>
    </w:p>
  </w:footnote>
  <w:footnote w:id="7">
    <w:p w14:paraId="368BA837">
      <w:pPr>
        <w:pStyle w:val="8"/>
        <w:spacing w:line="360" w:lineRule="auto"/>
      </w:pPr>
      <w:r>
        <w:rPr>
          <w:rStyle w:val="14"/>
        </w:rPr>
        <w:footnoteRef/>
      </w:r>
      <w:r>
        <w:rPr>
          <w:rFonts w:hint="eastAsia"/>
          <w:bCs/>
        </w:rPr>
        <w:t>互联网起源于</w:t>
      </w:r>
      <w:r>
        <w:rPr>
          <w:bCs/>
        </w:rPr>
        <w:t>1969</w:t>
      </w:r>
      <w:r>
        <w:rPr>
          <w:rFonts w:hint="eastAsia"/>
          <w:bCs/>
        </w:rPr>
        <w:t>年，</w:t>
      </w:r>
      <w:r>
        <w:rPr>
          <w:bCs/>
        </w:rPr>
        <w:t>1994</w:t>
      </w:r>
      <w:r>
        <w:rPr>
          <w:rFonts w:hint="eastAsia"/>
          <w:bCs/>
        </w:rPr>
        <w:t>年引入中国。全球经历三个阶段</w:t>
      </w:r>
      <w:r>
        <w:rPr>
          <w:bCs/>
        </w:rPr>
        <w:t>:</w:t>
      </w:r>
      <w:r>
        <w:rPr>
          <w:rFonts w:hint="eastAsia"/>
          <w:bCs/>
        </w:rPr>
        <w:t>第一阶段（</w:t>
      </w:r>
      <w:r>
        <w:rPr>
          <w:bCs/>
        </w:rPr>
        <w:t>1990´S</w:t>
      </w:r>
      <w:r>
        <w:rPr>
          <w:rFonts w:hint="eastAsia"/>
          <w:bCs/>
        </w:rPr>
        <w:t>）也就是互联网1.0，以“门户”为特征，整合全球信息，人找信息；第二阶段（</w:t>
      </w:r>
      <w:r>
        <w:rPr>
          <w:bCs/>
        </w:rPr>
        <w:t>2000´S</w:t>
      </w:r>
      <w:r>
        <w:rPr>
          <w:rFonts w:hint="eastAsia"/>
          <w:bCs/>
        </w:rPr>
        <w:t>）也就是互联网2.0，以“社交”为特征，即时、互动；第三阶段（</w:t>
      </w:r>
      <w:r>
        <w:rPr>
          <w:bCs/>
        </w:rPr>
        <w:t>2010´S</w:t>
      </w:r>
      <w:r>
        <w:rPr>
          <w:rFonts w:hint="eastAsia"/>
          <w:bCs/>
        </w:rPr>
        <w:t>）也就是互联网3.0，以“社交</w:t>
      </w:r>
      <w:r>
        <w:rPr>
          <w:bCs/>
        </w:rPr>
        <w:t>+</w:t>
      </w:r>
      <w:r>
        <w:rPr>
          <w:rFonts w:hint="eastAsia"/>
          <w:bCs/>
        </w:rPr>
        <w:t>本地化</w:t>
      </w:r>
      <w:r>
        <w:rPr>
          <w:bCs/>
        </w:rPr>
        <w:t>+</w:t>
      </w:r>
      <w:r>
        <w:rPr>
          <w:rFonts w:hint="eastAsia"/>
          <w:bCs/>
        </w:rPr>
        <w:t>移动”为特征，</w:t>
      </w:r>
      <w:r>
        <w:rPr>
          <w:bCs/>
        </w:rPr>
        <w:t>Wi-Fi</w:t>
      </w:r>
      <w:r>
        <w:rPr>
          <w:rFonts w:hint="eastAsia"/>
          <w:bCs/>
        </w:rPr>
        <w:t>和移动智能终端普及。在互联网3.0时代，互联网磨平了地区、时间、个人消费能力差别，进入“地球是平的”时代。创新商业模式主要特点：在线化、碎片化、个性化、社群化、去中心化、去中介化。</w:t>
      </w:r>
    </w:p>
  </w:footnote>
  <w:footnote w:id="8">
    <w:p w14:paraId="3ADABE7F">
      <w:pPr>
        <w:pStyle w:val="8"/>
        <w:spacing w:line="360" w:lineRule="auto"/>
        <w:rPr>
          <w:color w:val="000000" w:themeColor="text1"/>
          <w14:textFill>
            <w14:solidFill>
              <w14:schemeClr w14:val="tx1"/>
            </w14:solidFill>
          </w14:textFill>
        </w:rPr>
      </w:pPr>
      <w:r>
        <w:rPr>
          <w:rStyle w:val="14"/>
        </w:rPr>
        <w:footnoteRef/>
      </w:r>
      <w:r>
        <w:t xml:space="preserve"> </w:t>
      </w:r>
      <w:r>
        <w:rPr>
          <w:rFonts w:hint="eastAsia"/>
          <w:color w:val="000000" w:themeColor="text1"/>
          <w14:textFill>
            <w14:solidFill>
              <w14:schemeClr w14:val="tx1"/>
            </w14:solidFill>
          </w14:textFill>
        </w:rPr>
        <w:t>“中国制造2025”，是中国版的“工业4.0”规划，国务院于2015年5月8日公布，规划提出了中国制造强国建设三个十年的“三步走”战略，是第一个十年行动纲领。“中国制造2025”提出，坚持“创新驱动、质量为先、绿色发展、结构优化、人才为本”的基本方针，坚持“市场主导、政府引导、立足当前、着眼长远、整体推进、重点突破、自主发展、开放合作”基本原则，通过“三步走”实现制造强国的战略目标。</w:t>
      </w:r>
    </w:p>
  </w:footnote>
  <w:footnote w:id="9">
    <w:p w14:paraId="7DE8CC39">
      <w:pPr>
        <w:pStyle w:val="8"/>
        <w:spacing w:line="360" w:lineRule="auto"/>
        <w:rPr>
          <w:color w:val="000000" w:themeColor="text1"/>
          <w14:textFill>
            <w14:solidFill>
              <w14:schemeClr w14:val="tx1"/>
            </w14:solidFill>
          </w14:textFill>
        </w:rPr>
      </w:pPr>
      <w:r>
        <w:rPr>
          <w:rStyle w:val="14"/>
          <w:color w:val="000000" w:themeColor="text1"/>
          <w14:textFill>
            <w14:solidFill>
              <w14:schemeClr w14:val="tx1"/>
            </w14:solidFill>
          </w14:textFill>
        </w:rPr>
        <w:footnoteRef/>
      </w:r>
      <w:r>
        <w:rPr>
          <w:color w:val="000000" w:themeColor="text1"/>
          <w14:textFill>
            <w14:solidFill>
              <w14:schemeClr w14:val="tx1"/>
            </w14:solidFill>
          </w14:textFill>
        </w:rPr>
        <w:t xml:space="preserve"> </w:t>
      </w:r>
      <w:r>
        <w:rPr>
          <w:rFonts w:hint="eastAsia"/>
          <w:color w:val="000000" w:themeColor="text1"/>
          <w:szCs w:val="21"/>
          <w14:textFill>
            <w14:solidFill>
              <w14:schemeClr w14:val="tx1"/>
            </w14:solidFill>
          </w14:textFill>
        </w:rPr>
        <w:t>“</w:t>
      </w:r>
      <w:r>
        <w:rPr>
          <w:rFonts w:ascii="Arial" w:hAnsi="Arial" w:cs="Arial"/>
          <w:color w:val="000000" w:themeColor="text1"/>
          <w:kern w:val="0"/>
          <w:szCs w:val="21"/>
          <w14:textFill>
            <w14:solidFill>
              <w14:schemeClr w14:val="tx1"/>
            </w14:solidFill>
          </w14:textFill>
        </w:rPr>
        <w:t>一带一路</w:t>
      </w:r>
      <w:r>
        <w:rPr>
          <w:rFonts w:hint="eastAsia" w:ascii="Arial" w:hAnsi="Arial" w:cs="Arial"/>
          <w:color w:val="000000" w:themeColor="text1"/>
          <w:kern w:val="0"/>
          <w:szCs w:val="21"/>
          <w14:textFill>
            <w14:solidFill>
              <w14:schemeClr w14:val="tx1"/>
            </w14:solidFill>
          </w14:textFill>
        </w:rPr>
        <w:t>”</w:t>
      </w:r>
      <w:r>
        <w:rPr>
          <w:rFonts w:ascii="Arial" w:hAnsi="Arial" w:cs="Arial"/>
          <w:color w:val="000000" w:themeColor="text1"/>
          <w:kern w:val="0"/>
          <w:szCs w:val="21"/>
          <w14:textFill>
            <w14:solidFill>
              <w14:schemeClr w14:val="tx1"/>
            </w14:solidFill>
          </w14:textFill>
        </w:rPr>
        <w:t>（the Silk Road Economic Belt and the 21st-Century Maritime Silk Road，简称One Belt One Road或Belt and Road，缩写OBOR或B&amp;R）是</w:t>
      </w:r>
      <w:r>
        <w:fldChar w:fldCharType="begin"/>
      </w:r>
      <w:r>
        <w:instrText xml:space="preserve"> HYPERLINK "http://baike.baidu.com/view/10896802.htm" \t "_blank" </w:instrText>
      </w:r>
      <w:r>
        <w:fldChar w:fldCharType="separate"/>
      </w:r>
      <w:r>
        <w:rPr>
          <w:rFonts w:ascii="Arial" w:hAnsi="Arial" w:cs="Arial"/>
          <w:color w:val="000000" w:themeColor="text1"/>
          <w:kern w:val="0"/>
          <w:szCs w:val="21"/>
          <w14:textFill>
            <w14:solidFill>
              <w14:schemeClr w14:val="tx1"/>
            </w14:solidFill>
          </w14:textFill>
        </w:rPr>
        <w:t>丝绸之路经济带</w:t>
      </w:r>
      <w:r>
        <w:rPr>
          <w:rFonts w:ascii="Arial" w:hAnsi="Arial" w:cs="Arial"/>
          <w:color w:val="000000" w:themeColor="text1"/>
          <w:kern w:val="0"/>
          <w:szCs w:val="21"/>
          <w14:textFill>
            <w14:solidFill>
              <w14:schemeClr w14:val="tx1"/>
            </w14:solidFill>
          </w14:textFill>
        </w:rPr>
        <w:fldChar w:fldCharType="end"/>
      </w:r>
      <w:r>
        <w:rPr>
          <w:rFonts w:ascii="Arial" w:hAnsi="Arial" w:cs="Arial"/>
          <w:color w:val="000000" w:themeColor="text1"/>
          <w:kern w:val="0"/>
          <w:szCs w:val="21"/>
          <w14:textFill>
            <w14:solidFill>
              <w14:schemeClr w14:val="tx1"/>
            </w14:solidFill>
          </w14:textFill>
        </w:rPr>
        <w:t>和</w:t>
      </w:r>
      <w:r>
        <w:fldChar w:fldCharType="begin"/>
      </w:r>
      <w:r>
        <w:instrText xml:space="preserve"> HYPERLINK "http://baike.baidu.com/view/12402338.htm" \t "_blank" </w:instrText>
      </w:r>
      <w:r>
        <w:fldChar w:fldCharType="separate"/>
      </w:r>
      <w:r>
        <w:rPr>
          <w:rFonts w:ascii="Arial" w:hAnsi="Arial" w:cs="Arial"/>
          <w:color w:val="000000" w:themeColor="text1"/>
          <w:kern w:val="0"/>
          <w:szCs w:val="21"/>
          <w14:textFill>
            <w14:solidFill>
              <w14:schemeClr w14:val="tx1"/>
            </w14:solidFill>
          </w14:textFill>
        </w:rPr>
        <w:t>21世纪海上丝绸之路</w:t>
      </w:r>
      <w:r>
        <w:rPr>
          <w:rFonts w:ascii="Arial" w:hAnsi="Arial" w:cs="Arial"/>
          <w:color w:val="000000" w:themeColor="text1"/>
          <w:kern w:val="0"/>
          <w:szCs w:val="21"/>
          <w14:textFill>
            <w14:solidFill>
              <w14:schemeClr w14:val="tx1"/>
            </w14:solidFill>
          </w14:textFill>
        </w:rPr>
        <w:fldChar w:fldCharType="end"/>
      </w:r>
      <w:r>
        <w:rPr>
          <w:rFonts w:ascii="Arial" w:hAnsi="Arial" w:cs="Arial"/>
          <w:color w:val="000000" w:themeColor="text1"/>
          <w:kern w:val="0"/>
          <w:szCs w:val="21"/>
          <w14:textFill>
            <w14:solidFill>
              <w14:schemeClr w14:val="tx1"/>
            </w14:solidFill>
          </w14:textFill>
        </w:rPr>
        <w:t>简称，2013年9月和10月</w:t>
      </w:r>
      <w:r>
        <w:fldChar w:fldCharType="begin"/>
      </w:r>
      <w:r>
        <w:instrText xml:space="preserve"> HYPERLINK "http://baike.baidu.com/view/27362.htm" \t "_blank" </w:instrText>
      </w:r>
      <w:r>
        <w:fldChar w:fldCharType="separate"/>
      </w:r>
      <w:r>
        <w:rPr>
          <w:rFonts w:ascii="Arial" w:hAnsi="Arial" w:cs="Arial"/>
          <w:color w:val="000000" w:themeColor="text1"/>
          <w:kern w:val="0"/>
          <w:szCs w:val="21"/>
          <w14:textFill>
            <w14:solidFill>
              <w14:schemeClr w14:val="tx1"/>
            </w14:solidFill>
          </w14:textFill>
        </w:rPr>
        <w:t>习近平</w:t>
      </w:r>
      <w:r>
        <w:rPr>
          <w:rFonts w:ascii="Arial" w:hAnsi="Arial" w:cs="Arial"/>
          <w:color w:val="000000" w:themeColor="text1"/>
          <w:kern w:val="0"/>
          <w:szCs w:val="21"/>
          <w14:textFill>
            <w14:solidFill>
              <w14:schemeClr w14:val="tx1"/>
            </w14:solidFill>
          </w14:textFill>
        </w:rPr>
        <w:fldChar w:fldCharType="end"/>
      </w:r>
      <w:r>
        <w:rPr>
          <w:rFonts w:ascii="Arial" w:hAnsi="Arial" w:cs="Arial"/>
          <w:color w:val="000000" w:themeColor="text1"/>
          <w:kern w:val="0"/>
          <w:szCs w:val="21"/>
          <w14:textFill>
            <w14:solidFill>
              <w14:schemeClr w14:val="tx1"/>
            </w14:solidFill>
          </w14:textFill>
        </w:rPr>
        <w:t>分别提出</w:t>
      </w:r>
      <w:r>
        <w:rPr>
          <w:rFonts w:hint="eastAsia" w:ascii="Arial" w:hAnsi="Arial" w:cs="Arial"/>
          <w:color w:val="000000" w:themeColor="text1"/>
          <w:kern w:val="0"/>
          <w:szCs w:val="21"/>
          <w14:textFill>
            <w14:solidFill>
              <w14:schemeClr w14:val="tx1"/>
            </w14:solidFill>
          </w14:textFill>
        </w:rPr>
        <w:t>了</w:t>
      </w:r>
      <w:r>
        <w:rPr>
          <w:rFonts w:ascii="Arial" w:hAnsi="Arial" w:cs="Arial"/>
          <w:color w:val="000000" w:themeColor="text1"/>
          <w:kern w:val="0"/>
          <w:szCs w:val="21"/>
          <w14:textFill>
            <w14:solidFill>
              <w14:schemeClr w14:val="tx1"/>
            </w14:solidFill>
          </w14:textFill>
        </w:rPr>
        <w:t>建设“新丝绸之路经济带”和“21世纪海上丝绸之路”的战略构想。</w:t>
      </w:r>
      <w:r>
        <w:rPr>
          <w:rFonts w:hint="eastAsia"/>
          <w:color w:val="000000" w:themeColor="text1"/>
          <w:szCs w:val="21"/>
          <w14:textFill>
            <w14:solidFill>
              <w14:schemeClr w14:val="tx1"/>
            </w14:solidFill>
          </w14:textFill>
        </w:rPr>
        <w:t>所谓“</w:t>
      </w:r>
      <w:r>
        <w:rPr>
          <w:rFonts w:hint="eastAsia" w:ascii="宋体" w:hAnsi="宋体"/>
          <w:bCs/>
          <w:color w:val="000000" w:themeColor="text1"/>
          <w:szCs w:val="21"/>
          <w14:textFill>
            <w14:solidFill>
              <w14:schemeClr w14:val="tx1"/>
            </w14:solidFill>
          </w14:textFill>
        </w:rPr>
        <w:t>一带一路”</w:t>
      </w:r>
      <w:r>
        <w:rPr>
          <w:rFonts w:hint="eastAsia" w:ascii="宋体" w:hAnsi="宋体"/>
          <w:bCs/>
          <w:color w:val="000000" w:themeColor="text1"/>
          <w:szCs w:val="21"/>
          <w:lang w:val="en-US" w:eastAsia="zh-CN"/>
          <w14:textFill>
            <w14:solidFill>
              <w14:schemeClr w14:val="tx1"/>
            </w14:solidFill>
          </w14:textFill>
        </w:rPr>
        <w:t>倡议</w:t>
      </w:r>
      <w:bookmarkStart w:id="0" w:name="_GoBack"/>
      <w:bookmarkEnd w:id="0"/>
      <w:r>
        <w:rPr>
          <w:rFonts w:hint="eastAsia" w:ascii="宋体" w:hAnsi="宋体"/>
          <w:bCs/>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就是充分依靠中国与有关国家既有的双边、多边机制，借助既有的行之有效区域合作平台，旨在借用古代“丝绸之路”的历史符号，高举和平发展的旗帜，积极主动地发展与沿线国家的经济合作伙伴关系，共同打造政治互信、经济融合、文化包容的利益共同体、命运共同体和责任共同体。</w:t>
      </w:r>
      <w:r>
        <w:rPr>
          <w:rFonts w:hint="eastAsia" w:ascii="宋体" w:hAnsi="宋体"/>
          <w:color w:val="000000" w:themeColor="text1"/>
          <w:szCs w:val="21"/>
          <w14:textFill>
            <w14:solidFill>
              <w14:schemeClr w14:val="tx1"/>
            </w14:solidFill>
          </w14:textFill>
        </w:rPr>
        <w:t>“一带一路”</w:t>
      </w:r>
      <w:r>
        <w:rPr>
          <w:rFonts w:hint="eastAsia" w:ascii="宋体" w:hAnsi="宋体"/>
          <w:color w:val="000000" w:themeColor="text1"/>
          <w:szCs w:val="21"/>
          <w:lang w:val="en-US" w:eastAsia="zh-CN"/>
          <w14:textFill>
            <w14:solidFill>
              <w14:schemeClr w14:val="tx1"/>
            </w14:solidFill>
          </w14:textFill>
        </w:rPr>
        <w:t>倡议</w:t>
      </w:r>
      <w:r>
        <w:rPr>
          <w:rFonts w:hint="eastAsia" w:ascii="宋体" w:hAnsi="宋体"/>
          <w:color w:val="000000" w:themeColor="text1"/>
          <w:szCs w:val="21"/>
          <w14:textFill>
            <w14:solidFill>
              <w14:schemeClr w14:val="tx1"/>
            </w14:solidFill>
          </w14:textFill>
        </w:rPr>
        <w:t>破土而出和付诸实施，表明中国不仅需要与发达国家和地区发生经济贸易往来，同样也需要与发展中国家和地区发生经济贸易往来。在 “新常态”下，中国将由单纯出口劳动密集型产品为主国家转变为出口劳动密集型产品和技术/资本密集型产品并举国家，由主要吸引外商直接投资为主国家转变为吸引外资和输出资本并举国家。</w:t>
      </w:r>
    </w:p>
  </w:footnote>
  <w:footnote w:id="10">
    <w:p w14:paraId="14DC23FC">
      <w:pPr>
        <w:pStyle w:val="8"/>
      </w:pPr>
      <w:r>
        <w:rPr>
          <w:rStyle w:val="14"/>
        </w:rPr>
        <w:footnoteRef/>
      </w:r>
      <w:r>
        <w:t xml:space="preserve"> </w:t>
      </w:r>
      <w:r>
        <w:rPr>
          <w:rFonts w:hint="eastAsia"/>
        </w:rPr>
        <w:t>2014年三井街道家庭户数、人口数量数据来自《2015年常州统计年鉴》（中国统计出版社2015年版）</w:t>
      </w:r>
    </w:p>
  </w:footnote>
  <w:footnote w:id="11">
    <w:p w14:paraId="2D2238F1">
      <w:pPr>
        <w:shd w:val="clear" w:color="auto" w:fill="FFFFFF"/>
        <w:spacing w:line="276" w:lineRule="auto"/>
        <w:rPr>
          <w:rFonts w:ascii="宋体" w:hAnsi="宋体" w:cs="Arial"/>
          <w:color w:val="000000"/>
          <w:kern w:val="0"/>
          <w:sz w:val="18"/>
          <w:szCs w:val="18"/>
        </w:rPr>
      </w:pPr>
      <w:r>
        <w:rPr>
          <w:rStyle w:val="14"/>
          <w:rFonts w:ascii="宋体" w:hAnsi="宋体"/>
          <w:color w:val="000000"/>
          <w:sz w:val="18"/>
          <w:szCs w:val="18"/>
        </w:rPr>
        <w:footnoteRef/>
      </w:r>
      <w:r>
        <w:rPr>
          <w:rFonts w:ascii="宋体" w:hAnsi="宋体"/>
          <w:color w:val="000000"/>
          <w:sz w:val="18"/>
          <w:szCs w:val="18"/>
        </w:rPr>
        <w:t xml:space="preserve"> </w:t>
      </w:r>
      <w:r>
        <w:rPr>
          <w:rFonts w:hint="eastAsia" w:ascii="宋体" w:hAnsi="宋体"/>
          <w:color w:val="000000"/>
          <w:sz w:val="18"/>
          <w:szCs w:val="18"/>
        </w:rPr>
        <w:t>定位战略理论由美国战略营销家杰克·特劳特（Jack·Trout）率先提出，</w:t>
      </w:r>
      <w:r>
        <w:rPr>
          <w:rFonts w:ascii="宋体" w:hAnsi="宋体" w:cs="Arial"/>
          <w:color w:val="000000"/>
          <w:kern w:val="0"/>
          <w:sz w:val="18"/>
          <w:szCs w:val="18"/>
        </w:rPr>
        <w:t>他于1969年以《定位：同质化时代的竞争之道》（发展为后来的《定位：新竞争时期企业经营之道》）论文首次提出了商业中的“定位（Positioning）”观念，1972年以《定位时代》论文开创了</w:t>
      </w:r>
      <w:r>
        <w:fldChar w:fldCharType="begin"/>
      </w:r>
      <w:r>
        <w:instrText xml:space="preserve"> HYPERLINK "http://baike.baidu.com/view/3901294.htm" \t "_blank" </w:instrText>
      </w:r>
      <w:r>
        <w:fldChar w:fldCharType="separate"/>
      </w:r>
      <w:r>
        <w:rPr>
          <w:rFonts w:ascii="宋体" w:hAnsi="宋体" w:cs="Arial"/>
          <w:color w:val="000000"/>
          <w:kern w:val="0"/>
          <w:sz w:val="18"/>
          <w:szCs w:val="18"/>
        </w:rPr>
        <w:t>定位理论</w:t>
      </w:r>
      <w:r>
        <w:rPr>
          <w:rFonts w:ascii="宋体" w:hAnsi="宋体" w:cs="Arial"/>
          <w:color w:val="000000"/>
          <w:kern w:val="0"/>
          <w:sz w:val="18"/>
          <w:szCs w:val="18"/>
        </w:rPr>
        <w:fldChar w:fldCharType="end"/>
      </w:r>
      <w:r>
        <w:rPr>
          <w:rFonts w:ascii="宋体" w:hAnsi="宋体" w:cs="Arial"/>
          <w:color w:val="000000"/>
          <w:kern w:val="0"/>
          <w:sz w:val="18"/>
          <w:szCs w:val="18"/>
        </w:rPr>
        <w:t>，1981年出版专著《定位》</w:t>
      </w:r>
      <w:r>
        <w:rPr>
          <w:rFonts w:hint="eastAsia" w:ascii="宋体" w:hAnsi="宋体" w:cs="Arial"/>
          <w:color w:val="000000"/>
          <w:kern w:val="0"/>
          <w:sz w:val="18"/>
          <w:szCs w:val="18"/>
        </w:rPr>
        <w:t>，</w:t>
      </w:r>
      <w:r>
        <w:rPr>
          <w:rFonts w:ascii="宋体" w:hAnsi="宋体" w:cs="Arial"/>
          <w:color w:val="000000"/>
          <w:kern w:val="0"/>
          <w:sz w:val="18"/>
          <w:szCs w:val="18"/>
        </w:rPr>
        <w:t>1996年</w:t>
      </w:r>
      <w:r>
        <w:rPr>
          <w:rFonts w:hint="eastAsia" w:ascii="宋体" w:hAnsi="宋体" w:cs="Arial"/>
          <w:color w:val="000000"/>
          <w:kern w:val="0"/>
          <w:sz w:val="18"/>
          <w:szCs w:val="18"/>
        </w:rPr>
        <w:t>又</w:t>
      </w:r>
      <w:r>
        <w:rPr>
          <w:rFonts w:ascii="宋体" w:hAnsi="宋体" w:cs="Arial"/>
          <w:color w:val="000000"/>
          <w:kern w:val="0"/>
          <w:sz w:val="18"/>
          <w:szCs w:val="18"/>
        </w:rPr>
        <w:t>推出了定位论刷新之作《新定位》</w:t>
      </w:r>
      <w:r>
        <w:rPr>
          <w:rFonts w:hint="eastAsia" w:ascii="宋体" w:hAnsi="宋体" w:cs="Arial"/>
          <w:color w:val="000000"/>
          <w:kern w:val="0"/>
          <w:sz w:val="18"/>
          <w:szCs w:val="18"/>
        </w:rPr>
        <w:t>，</w:t>
      </w:r>
      <w:r>
        <w:rPr>
          <w:rFonts w:ascii="宋体" w:hAnsi="宋体" w:cs="Arial"/>
          <w:color w:val="000000"/>
          <w:kern w:val="0"/>
          <w:sz w:val="18"/>
          <w:szCs w:val="18"/>
        </w:rPr>
        <w:t>2009年推出定位论落定之作《重新定位》。2001年</w:t>
      </w:r>
      <w:r>
        <w:rPr>
          <w:rFonts w:hint="eastAsia" w:ascii="宋体" w:hAnsi="宋体"/>
          <w:color w:val="000000"/>
          <w:sz w:val="18"/>
          <w:szCs w:val="18"/>
        </w:rPr>
        <w:t>杰克·特劳特</w:t>
      </w:r>
      <w:r>
        <w:rPr>
          <w:rFonts w:ascii="宋体" w:hAnsi="宋体" w:cs="Arial"/>
          <w:color w:val="000000"/>
          <w:kern w:val="0"/>
          <w:sz w:val="18"/>
          <w:szCs w:val="18"/>
        </w:rPr>
        <w:t>定位理论压倒菲利普·科特勒、迈克尔·波特，被美国营销学会评为</w:t>
      </w:r>
      <w:r>
        <w:rPr>
          <w:rFonts w:hint="eastAsia" w:ascii="宋体" w:hAnsi="宋体" w:cs="Arial"/>
          <w:color w:val="000000"/>
          <w:kern w:val="0"/>
          <w:sz w:val="18"/>
          <w:szCs w:val="18"/>
        </w:rPr>
        <w:t>“</w:t>
      </w:r>
      <w:r>
        <w:rPr>
          <w:rFonts w:ascii="宋体" w:hAnsi="宋体" w:cs="Arial"/>
          <w:color w:val="000000"/>
          <w:kern w:val="0"/>
          <w:sz w:val="18"/>
          <w:szCs w:val="18"/>
        </w:rPr>
        <w:t>有史以来对美国营销影响最大的观念</w:t>
      </w:r>
      <w:r>
        <w:rPr>
          <w:rFonts w:hint="eastAsia" w:ascii="宋体" w:hAnsi="宋体" w:cs="Arial"/>
          <w:color w:val="000000"/>
          <w:kern w:val="0"/>
          <w:sz w:val="18"/>
          <w:szCs w:val="18"/>
        </w:rPr>
        <w:t>”</w:t>
      </w:r>
      <w:r>
        <w:rPr>
          <w:rFonts w:ascii="宋体" w:hAnsi="宋体" w:cs="Arial"/>
          <w:color w:val="000000"/>
          <w:kern w:val="0"/>
          <w:sz w:val="18"/>
          <w:szCs w:val="18"/>
        </w:rPr>
        <w:t>。</w:t>
      </w:r>
    </w:p>
  </w:footnote>
  <w:footnote w:id="12">
    <w:p w14:paraId="2E776987">
      <w:pPr>
        <w:pStyle w:val="8"/>
        <w:spacing w:line="360" w:lineRule="auto"/>
      </w:pPr>
      <w:r>
        <w:rPr>
          <w:rStyle w:val="14"/>
        </w:rPr>
        <w:footnoteRef/>
      </w:r>
      <w:r>
        <w:rPr>
          <w:rFonts w:hint="eastAsia"/>
        </w:rPr>
        <w:t>台湾宏碁集团创办人施振荣在1992年为“再造宏碁”提出了有名的“微笑曲线”（Smiling Curve）理论，以作为宏碁的策略方向。后施振荣将"微笑曲线"加以修正，推出了“产业微笑曲线”，以此作为台湾各种产业的中长期发展策略之方向。 微笑曲线是微笑嘴型的一条曲线,两端朝上，附加值更多地体现在两端的设计和销售，而处于中间环节的制造附加值最低。</w:t>
      </w:r>
    </w:p>
  </w:footnote>
  <w:footnote w:id="13">
    <w:p w14:paraId="07088309">
      <w:pPr>
        <w:pStyle w:val="8"/>
      </w:pPr>
      <w:r>
        <w:rPr>
          <w:rStyle w:val="14"/>
        </w:rPr>
        <w:footnoteRef/>
      </w:r>
      <w:r>
        <w:t xml:space="preserve"> </w:t>
      </w:r>
      <w:r>
        <w:rPr>
          <w:rFonts w:hint="eastAsia"/>
        </w:rPr>
        <w:t>来源：苏州科技大学“常州市新北区房地产可持续开发策略研究”课题组，2015年10月。</w:t>
      </w:r>
    </w:p>
  </w:footnote>
  <w:footnote w:id="14">
    <w:p w14:paraId="72D58DA2">
      <w:pPr>
        <w:pStyle w:val="8"/>
      </w:pPr>
      <w:r>
        <w:rPr>
          <w:rStyle w:val="14"/>
        </w:rPr>
        <w:footnoteRef/>
      </w:r>
      <w:r>
        <w:t xml:space="preserve"> </w:t>
      </w:r>
      <w:r>
        <w:rPr>
          <w:rFonts w:hint="eastAsia"/>
        </w:rPr>
        <w:t>常州高新区（新北区）确定了“一核三区”发展空间布局，其中，“一核”是指北部新城，“三区”是指常州空港产业园区、常州滨江经济开发区、常州新北现代农业产业园区。</w:t>
      </w:r>
    </w:p>
  </w:footnote>
  <w:footnote w:id="15">
    <w:p w14:paraId="7AF20E65">
      <w:pPr>
        <w:pStyle w:val="8"/>
      </w:pPr>
      <w:r>
        <w:rPr>
          <w:rStyle w:val="14"/>
        </w:rPr>
        <w:footnoteRef/>
      </w:r>
      <w:r>
        <w:t xml:space="preserve"> </w:t>
      </w:r>
      <w:r>
        <w:rPr>
          <w:rFonts w:hint="eastAsia"/>
        </w:rPr>
        <w:t>在中国当前全社会固定资产投资中，房地产投资与基础设施投资、工业投资构成了最重要三大投资领域。</w:t>
      </w:r>
    </w:p>
  </w:footnote>
  <w:footnote w:id="16">
    <w:p w14:paraId="2CFCA0DB">
      <w:pPr>
        <w:pStyle w:val="8"/>
        <w:rPr>
          <w:rFonts w:ascii="宋体" w:hAnsi="宋体"/>
        </w:rPr>
      </w:pPr>
      <w:r>
        <w:rPr>
          <w:rStyle w:val="14"/>
        </w:rPr>
        <w:footnoteRef/>
      </w:r>
      <w:r>
        <w:t xml:space="preserve"> </w:t>
      </w:r>
      <w:r>
        <w:rPr>
          <w:rFonts w:hint="eastAsia" w:ascii="宋体" w:hAnsi="宋体"/>
        </w:rPr>
        <w:t>2007年亚洲开发银行率先提出“包容性增长”概念，而“包容性”本身也是联合国千年发展目标提出的概念之一。“包容性发展”成为2011年博鳌亚洲论坛年会主题。由“增长”到“发展”，不仅仅是指经济的增长，还包括社会、教育、医疗等各个方面的共同发展。</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F45F89">
    <w:pPr>
      <w:pStyle w:val="7"/>
    </w:pPr>
    <w:r>
      <w:fldChar w:fldCharType="begin"/>
    </w:r>
    <w:r>
      <w:instrText xml:space="preserve"> PAGE   \* MERGEFORMAT </w:instrText>
    </w:r>
    <w:r>
      <w:fldChar w:fldCharType="separate"/>
    </w:r>
    <w:r>
      <w:rPr>
        <w:lang w:val="zh-CN"/>
      </w:rPr>
      <w:t>61</w:t>
    </w:r>
    <w:r>
      <w:rPr>
        <w:lang w:val="zh-C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6EB1592"/>
    <w:multiLevelType w:val="multilevel"/>
    <w:tmpl w:val="36EB1592"/>
    <w:lvl w:ilvl="0" w:tentative="0">
      <w:start w:val="1"/>
      <w:numFmt w:val="japaneseCounting"/>
      <w:lvlText w:val="%1、"/>
      <w:lvlJc w:val="left"/>
      <w:pPr>
        <w:ind w:left="720" w:hanging="720"/>
      </w:pPr>
      <w:rPr>
        <w:rFonts w:hint="default"/>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45FC186F"/>
    <w:multiLevelType w:val="multilevel"/>
    <w:tmpl w:val="45FC186F"/>
    <w:lvl w:ilvl="0" w:tentative="0">
      <w:start w:val="3"/>
      <w:numFmt w:val="japaneseCounting"/>
      <w:lvlText w:val="（%1）"/>
      <w:lvlJc w:val="left"/>
      <w:pPr>
        <w:ind w:left="855" w:hanging="85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34"/>
    <w:footnote w:id="35"/>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NjMzdkZWU4YmZkZDFhYWM4N2Y5MjM0MmMyYzg3MmIifQ=="/>
  </w:docVars>
  <w:rsids>
    <w:rsidRoot w:val="000D7C52"/>
    <w:rsid w:val="00002608"/>
    <w:rsid w:val="00003D65"/>
    <w:rsid w:val="0000563E"/>
    <w:rsid w:val="0000779F"/>
    <w:rsid w:val="00010AC1"/>
    <w:rsid w:val="00011AE2"/>
    <w:rsid w:val="00012338"/>
    <w:rsid w:val="00012B33"/>
    <w:rsid w:val="00013EE4"/>
    <w:rsid w:val="00017B1B"/>
    <w:rsid w:val="00022BA0"/>
    <w:rsid w:val="00027ADA"/>
    <w:rsid w:val="00027BC6"/>
    <w:rsid w:val="00032891"/>
    <w:rsid w:val="0003340A"/>
    <w:rsid w:val="00033D1F"/>
    <w:rsid w:val="00036CE1"/>
    <w:rsid w:val="000374B0"/>
    <w:rsid w:val="00041BEE"/>
    <w:rsid w:val="000421F7"/>
    <w:rsid w:val="00044478"/>
    <w:rsid w:val="00045CD7"/>
    <w:rsid w:val="00047128"/>
    <w:rsid w:val="00053C46"/>
    <w:rsid w:val="0006367F"/>
    <w:rsid w:val="000637E7"/>
    <w:rsid w:val="00065275"/>
    <w:rsid w:val="000704C5"/>
    <w:rsid w:val="00074E5F"/>
    <w:rsid w:val="00077514"/>
    <w:rsid w:val="00077A39"/>
    <w:rsid w:val="00080E76"/>
    <w:rsid w:val="0008104B"/>
    <w:rsid w:val="00083F51"/>
    <w:rsid w:val="00084477"/>
    <w:rsid w:val="00085364"/>
    <w:rsid w:val="0008750A"/>
    <w:rsid w:val="0009381A"/>
    <w:rsid w:val="000964FD"/>
    <w:rsid w:val="000A02FC"/>
    <w:rsid w:val="000A1C6E"/>
    <w:rsid w:val="000A650E"/>
    <w:rsid w:val="000A6708"/>
    <w:rsid w:val="000C259A"/>
    <w:rsid w:val="000C7524"/>
    <w:rsid w:val="000D1B5A"/>
    <w:rsid w:val="000D30CB"/>
    <w:rsid w:val="000D4E1C"/>
    <w:rsid w:val="000D568C"/>
    <w:rsid w:val="000D7014"/>
    <w:rsid w:val="000D7C52"/>
    <w:rsid w:val="000E29F4"/>
    <w:rsid w:val="000E4A43"/>
    <w:rsid w:val="000E596B"/>
    <w:rsid w:val="000F0B0D"/>
    <w:rsid w:val="000F260F"/>
    <w:rsid w:val="000F3CED"/>
    <w:rsid w:val="000F3CFE"/>
    <w:rsid w:val="000F7414"/>
    <w:rsid w:val="000F7EEB"/>
    <w:rsid w:val="00105317"/>
    <w:rsid w:val="0011271D"/>
    <w:rsid w:val="0011322F"/>
    <w:rsid w:val="00113766"/>
    <w:rsid w:val="0011783A"/>
    <w:rsid w:val="0012207D"/>
    <w:rsid w:val="00125F67"/>
    <w:rsid w:val="00127E2F"/>
    <w:rsid w:val="00132E12"/>
    <w:rsid w:val="001367E6"/>
    <w:rsid w:val="001368B1"/>
    <w:rsid w:val="001375DB"/>
    <w:rsid w:val="001429E6"/>
    <w:rsid w:val="0015273A"/>
    <w:rsid w:val="00157DE7"/>
    <w:rsid w:val="001621AF"/>
    <w:rsid w:val="00162675"/>
    <w:rsid w:val="001646DD"/>
    <w:rsid w:val="00164CF8"/>
    <w:rsid w:val="0016517B"/>
    <w:rsid w:val="00165B26"/>
    <w:rsid w:val="00166CD1"/>
    <w:rsid w:val="0017621B"/>
    <w:rsid w:val="00182DD5"/>
    <w:rsid w:val="00184239"/>
    <w:rsid w:val="00190ED5"/>
    <w:rsid w:val="001933AC"/>
    <w:rsid w:val="00195076"/>
    <w:rsid w:val="00195CA3"/>
    <w:rsid w:val="0019650F"/>
    <w:rsid w:val="001A00C6"/>
    <w:rsid w:val="001A2E68"/>
    <w:rsid w:val="001A59C0"/>
    <w:rsid w:val="001B1BE6"/>
    <w:rsid w:val="001B29B1"/>
    <w:rsid w:val="001B3F92"/>
    <w:rsid w:val="001B4177"/>
    <w:rsid w:val="001B6E0E"/>
    <w:rsid w:val="001B74BE"/>
    <w:rsid w:val="001C082A"/>
    <w:rsid w:val="001C13CB"/>
    <w:rsid w:val="001C17D2"/>
    <w:rsid w:val="001C36E8"/>
    <w:rsid w:val="001C4988"/>
    <w:rsid w:val="001C5108"/>
    <w:rsid w:val="001C7152"/>
    <w:rsid w:val="001D04CB"/>
    <w:rsid w:val="001D0DF0"/>
    <w:rsid w:val="001D19FF"/>
    <w:rsid w:val="001D22C6"/>
    <w:rsid w:val="001D7892"/>
    <w:rsid w:val="001E25DD"/>
    <w:rsid w:val="001E41C9"/>
    <w:rsid w:val="001E7976"/>
    <w:rsid w:val="001F1051"/>
    <w:rsid w:val="001F4D1C"/>
    <w:rsid w:val="001F7E15"/>
    <w:rsid w:val="002021B7"/>
    <w:rsid w:val="00214BCC"/>
    <w:rsid w:val="002160AB"/>
    <w:rsid w:val="0021701D"/>
    <w:rsid w:val="00220DCC"/>
    <w:rsid w:val="00223BA2"/>
    <w:rsid w:val="00224AB1"/>
    <w:rsid w:val="00225AD1"/>
    <w:rsid w:val="00230407"/>
    <w:rsid w:val="00232486"/>
    <w:rsid w:val="0023597C"/>
    <w:rsid w:val="0024307D"/>
    <w:rsid w:val="002442EF"/>
    <w:rsid w:val="00252A7F"/>
    <w:rsid w:val="0025390E"/>
    <w:rsid w:val="0025698A"/>
    <w:rsid w:val="00256B6C"/>
    <w:rsid w:val="002570A5"/>
    <w:rsid w:val="002574D1"/>
    <w:rsid w:val="0026101A"/>
    <w:rsid w:val="002611D1"/>
    <w:rsid w:val="00261D56"/>
    <w:rsid w:val="00262147"/>
    <w:rsid w:val="002663E2"/>
    <w:rsid w:val="00266BB8"/>
    <w:rsid w:val="00271774"/>
    <w:rsid w:val="00271E18"/>
    <w:rsid w:val="00274AC0"/>
    <w:rsid w:val="002750A5"/>
    <w:rsid w:val="00276083"/>
    <w:rsid w:val="00277E60"/>
    <w:rsid w:val="002821EB"/>
    <w:rsid w:val="00287C03"/>
    <w:rsid w:val="00287C6E"/>
    <w:rsid w:val="00290B25"/>
    <w:rsid w:val="00292E96"/>
    <w:rsid w:val="00293C66"/>
    <w:rsid w:val="002961A2"/>
    <w:rsid w:val="002A3A4B"/>
    <w:rsid w:val="002A3B6D"/>
    <w:rsid w:val="002A5DD4"/>
    <w:rsid w:val="002A6617"/>
    <w:rsid w:val="002B0C42"/>
    <w:rsid w:val="002B184C"/>
    <w:rsid w:val="002C0248"/>
    <w:rsid w:val="002C1623"/>
    <w:rsid w:val="002C5039"/>
    <w:rsid w:val="002D2ED1"/>
    <w:rsid w:val="002D4E18"/>
    <w:rsid w:val="002D56D1"/>
    <w:rsid w:val="002D6D10"/>
    <w:rsid w:val="002D7CB1"/>
    <w:rsid w:val="002E5E39"/>
    <w:rsid w:val="002E601B"/>
    <w:rsid w:val="002E7184"/>
    <w:rsid w:val="00306AFD"/>
    <w:rsid w:val="0030725D"/>
    <w:rsid w:val="0030740D"/>
    <w:rsid w:val="00312D29"/>
    <w:rsid w:val="00315360"/>
    <w:rsid w:val="00316479"/>
    <w:rsid w:val="00322D2C"/>
    <w:rsid w:val="0032446D"/>
    <w:rsid w:val="00325440"/>
    <w:rsid w:val="00326D1C"/>
    <w:rsid w:val="00327D2C"/>
    <w:rsid w:val="003316D2"/>
    <w:rsid w:val="00332571"/>
    <w:rsid w:val="00335978"/>
    <w:rsid w:val="00336D34"/>
    <w:rsid w:val="003377B2"/>
    <w:rsid w:val="00340BB0"/>
    <w:rsid w:val="0034208C"/>
    <w:rsid w:val="003430F8"/>
    <w:rsid w:val="0034317B"/>
    <w:rsid w:val="0034473F"/>
    <w:rsid w:val="00345260"/>
    <w:rsid w:val="00346941"/>
    <w:rsid w:val="00347C92"/>
    <w:rsid w:val="00350830"/>
    <w:rsid w:val="003657A4"/>
    <w:rsid w:val="00367C31"/>
    <w:rsid w:val="00373566"/>
    <w:rsid w:val="003749AC"/>
    <w:rsid w:val="00375054"/>
    <w:rsid w:val="00380A12"/>
    <w:rsid w:val="00387E4D"/>
    <w:rsid w:val="00392969"/>
    <w:rsid w:val="003A3F70"/>
    <w:rsid w:val="003A447A"/>
    <w:rsid w:val="003A72B2"/>
    <w:rsid w:val="003B0AB5"/>
    <w:rsid w:val="003B5D9B"/>
    <w:rsid w:val="003C354E"/>
    <w:rsid w:val="003C4C2D"/>
    <w:rsid w:val="003D03B5"/>
    <w:rsid w:val="003D1579"/>
    <w:rsid w:val="003E32EE"/>
    <w:rsid w:val="003E38C1"/>
    <w:rsid w:val="003E3BF0"/>
    <w:rsid w:val="003E4811"/>
    <w:rsid w:val="003E50FF"/>
    <w:rsid w:val="003F5A79"/>
    <w:rsid w:val="00404221"/>
    <w:rsid w:val="00410AB0"/>
    <w:rsid w:val="00412419"/>
    <w:rsid w:val="0042297D"/>
    <w:rsid w:val="004259CF"/>
    <w:rsid w:val="0042757F"/>
    <w:rsid w:val="00433140"/>
    <w:rsid w:val="004376E0"/>
    <w:rsid w:val="004412D3"/>
    <w:rsid w:val="00442B8D"/>
    <w:rsid w:val="00444112"/>
    <w:rsid w:val="00444AFB"/>
    <w:rsid w:val="00445C3D"/>
    <w:rsid w:val="00451EE5"/>
    <w:rsid w:val="004550BB"/>
    <w:rsid w:val="00455BFF"/>
    <w:rsid w:val="004574BE"/>
    <w:rsid w:val="00462BB5"/>
    <w:rsid w:val="00463C51"/>
    <w:rsid w:val="00463C65"/>
    <w:rsid w:val="004673F7"/>
    <w:rsid w:val="0047373E"/>
    <w:rsid w:val="00481E2A"/>
    <w:rsid w:val="00485E06"/>
    <w:rsid w:val="004A13D0"/>
    <w:rsid w:val="004A579B"/>
    <w:rsid w:val="004B20F4"/>
    <w:rsid w:val="004B7F8E"/>
    <w:rsid w:val="004C0F9B"/>
    <w:rsid w:val="004C177D"/>
    <w:rsid w:val="004D47AD"/>
    <w:rsid w:val="004D5631"/>
    <w:rsid w:val="004E5761"/>
    <w:rsid w:val="004F1814"/>
    <w:rsid w:val="004F2013"/>
    <w:rsid w:val="005056C9"/>
    <w:rsid w:val="005071EF"/>
    <w:rsid w:val="00507354"/>
    <w:rsid w:val="005145E3"/>
    <w:rsid w:val="00515230"/>
    <w:rsid w:val="00517A1A"/>
    <w:rsid w:val="0052104D"/>
    <w:rsid w:val="00521A70"/>
    <w:rsid w:val="00521C64"/>
    <w:rsid w:val="00530E71"/>
    <w:rsid w:val="00531B58"/>
    <w:rsid w:val="005325C0"/>
    <w:rsid w:val="00532729"/>
    <w:rsid w:val="0054126A"/>
    <w:rsid w:val="00541908"/>
    <w:rsid w:val="00544C2D"/>
    <w:rsid w:val="005506CE"/>
    <w:rsid w:val="00551BB3"/>
    <w:rsid w:val="0055266C"/>
    <w:rsid w:val="005559B6"/>
    <w:rsid w:val="0056074F"/>
    <w:rsid w:val="005632A6"/>
    <w:rsid w:val="005726E1"/>
    <w:rsid w:val="00575485"/>
    <w:rsid w:val="00575D30"/>
    <w:rsid w:val="00576550"/>
    <w:rsid w:val="00576A6E"/>
    <w:rsid w:val="0057740E"/>
    <w:rsid w:val="00577F16"/>
    <w:rsid w:val="005801A9"/>
    <w:rsid w:val="005821D2"/>
    <w:rsid w:val="00582265"/>
    <w:rsid w:val="0058589A"/>
    <w:rsid w:val="00591E8A"/>
    <w:rsid w:val="00592553"/>
    <w:rsid w:val="00593FEF"/>
    <w:rsid w:val="005954DD"/>
    <w:rsid w:val="005A10C4"/>
    <w:rsid w:val="005A46EE"/>
    <w:rsid w:val="005A66BD"/>
    <w:rsid w:val="005B359A"/>
    <w:rsid w:val="005B4B32"/>
    <w:rsid w:val="005C015B"/>
    <w:rsid w:val="005C2A00"/>
    <w:rsid w:val="005C3DFC"/>
    <w:rsid w:val="005C4E17"/>
    <w:rsid w:val="005C7645"/>
    <w:rsid w:val="005D623F"/>
    <w:rsid w:val="005E1A50"/>
    <w:rsid w:val="005E4991"/>
    <w:rsid w:val="005F0298"/>
    <w:rsid w:val="005F1397"/>
    <w:rsid w:val="005F35C1"/>
    <w:rsid w:val="005F4F96"/>
    <w:rsid w:val="005F6738"/>
    <w:rsid w:val="005F7893"/>
    <w:rsid w:val="005F79E8"/>
    <w:rsid w:val="005F7F72"/>
    <w:rsid w:val="006052BA"/>
    <w:rsid w:val="00607249"/>
    <w:rsid w:val="00613E09"/>
    <w:rsid w:val="00617475"/>
    <w:rsid w:val="00620310"/>
    <w:rsid w:val="00622D3A"/>
    <w:rsid w:val="0063264F"/>
    <w:rsid w:val="0063296F"/>
    <w:rsid w:val="006347A5"/>
    <w:rsid w:val="00634FA6"/>
    <w:rsid w:val="00637835"/>
    <w:rsid w:val="00637903"/>
    <w:rsid w:val="006407C8"/>
    <w:rsid w:val="00642F57"/>
    <w:rsid w:val="0064404C"/>
    <w:rsid w:val="006464E0"/>
    <w:rsid w:val="00646B8E"/>
    <w:rsid w:val="00647F16"/>
    <w:rsid w:val="00654E47"/>
    <w:rsid w:val="00661887"/>
    <w:rsid w:val="00665F10"/>
    <w:rsid w:val="0066658A"/>
    <w:rsid w:val="00670976"/>
    <w:rsid w:val="006715BD"/>
    <w:rsid w:val="00672927"/>
    <w:rsid w:val="00675EF3"/>
    <w:rsid w:val="006777A3"/>
    <w:rsid w:val="00680F96"/>
    <w:rsid w:val="00682DA1"/>
    <w:rsid w:val="00686919"/>
    <w:rsid w:val="0069066C"/>
    <w:rsid w:val="00690FE6"/>
    <w:rsid w:val="00693323"/>
    <w:rsid w:val="00694B7B"/>
    <w:rsid w:val="00697D85"/>
    <w:rsid w:val="00697DAA"/>
    <w:rsid w:val="006A0DDE"/>
    <w:rsid w:val="006A76D3"/>
    <w:rsid w:val="006B1C17"/>
    <w:rsid w:val="006B401D"/>
    <w:rsid w:val="006B61DA"/>
    <w:rsid w:val="006B6EB1"/>
    <w:rsid w:val="006B7391"/>
    <w:rsid w:val="006C4616"/>
    <w:rsid w:val="006D42A3"/>
    <w:rsid w:val="006D6893"/>
    <w:rsid w:val="006E323F"/>
    <w:rsid w:val="006E6A21"/>
    <w:rsid w:val="006E71B8"/>
    <w:rsid w:val="006E7549"/>
    <w:rsid w:val="007020A4"/>
    <w:rsid w:val="0070212D"/>
    <w:rsid w:val="00703EF1"/>
    <w:rsid w:val="00706FE1"/>
    <w:rsid w:val="0071698D"/>
    <w:rsid w:val="00717280"/>
    <w:rsid w:val="00730E5D"/>
    <w:rsid w:val="00733BB3"/>
    <w:rsid w:val="00733DBB"/>
    <w:rsid w:val="0073415D"/>
    <w:rsid w:val="00735051"/>
    <w:rsid w:val="007358C5"/>
    <w:rsid w:val="00737A34"/>
    <w:rsid w:val="007401A3"/>
    <w:rsid w:val="00742A40"/>
    <w:rsid w:val="00745472"/>
    <w:rsid w:val="007504AA"/>
    <w:rsid w:val="0075228C"/>
    <w:rsid w:val="00753823"/>
    <w:rsid w:val="00753FE2"/>
    <w:rsid w:val="00760E71"/>
    <w:rsid w:val="0076378E"/>
    <w:rsid w:val="007639AC"/>
    <w:rsid w:val="00765CF4"/>
    <w:rsid w:val="00770479"/>
    <w:rsid w:val="00776A38"/>
    <w:rsid w:val="00776D77"/>
    <w:rsid w:val="00786F89"/>
    <w:rsid w:val="0079144B"/>
    <w:rsid w:val="0079288D"/>
    <w:rsid w:val="00792921"/>
    <w:rsid w:val="00794B2A"/>
    <w:rsid w:val="00794BB9"/>
    <w:rsid w:val="007A1B44"/>
    <w:rsid w:val="007A3B21"/>
    <w:rsid w:val="007A5CF1"/>
    <w:rsid w:val="007B0519"/>
    <w:rsid w:val="007C2490"/>
    <w:rsid w:val="007C35F5"/>
    <w:rsid w:val="007C71BC"/>
    <w:rsid w:val="007C744B"/>
    <w:rsid w:val="007C7CA7"/>
    <w:rsid w:val="007D03A1"/>
    <w:rsid w:val="007D08CF"/>
    <w:rsid w:val="007D0CDA"/>
    <w:rsid w:val="007D1485"/>
    <w:rsid w:val="007D796C"/>
    <w:rsid w:val="007D7FA5"/>
    <w:rsid w:val="007E1722"/>
    <w:rsid w:val="007E2AE2"/>
    <w:rsid w:val="007E43FA"/>
    <w:rsid w:val="007E5B7D"/>
    <w:rsid w:val="007F12A2"/>
    <w:rsid w:val="007F19AD"/>
    <w:rsid w:val="007F719F"/>
    <w:rsid w:val="00800286"/>
    <w:rsid w:val="008012B3"/>
    <w:rsid w:val="0080694A"/>
    <w:rsid w:val="00811FC7"/>
    <w:rsid w:val="0081227E"/>
    <w:rsid w:val="00813BFB"/>
    <w:rsid w:val="008145FD"/>
    <w:rsid w:val="008153C5"/>
    <w:rsid w:val="0081793D"/>
    <w:rsid w:val="00822B05"/>
    <w:rsid w:val="008400F6"/>
    <w:rsid w:val="0084063B"/>
    <w:rsid w:val="00840A55"/>
    <w:rsid w:val="00841380"/>
    <w:rsid w:val="00841383"/>
    <w:rsid w:val="00842145"/>
    <w:rsid w:val="00842B36"/>
    <w:rsid w:val="00842C55"/>
    <w:rsid w:val="00845107"/>
    <w:rsid w:val="00847255"/>
    <w:rsid w:val="0085008B"/>
    <w:rsid w:val="008541EE"/>
    <w:rsid w:val="00855BA1"/>
    <w:rsid w:val="00860F14"/>
    <w:rsid w:val="0086172B"/>
    <w:rsid w:val="008627F6"/>
    <w:rsid w:val="0086579C"/>
    <w:rsid w:val="008742CE"/>
    <w:rsid w:val="008746B7"/>
    <w:rsid w:val="00877778"/>
    <w:rsid w:val="0088236D"/>
    <w:rsid w:val="0088258C"/>
    <w:rsid w:val="00882AC8"/>
    <w:rsid w:val="00887256"/>
    <w:rsid w:val="0089155E"/>
    <w:rsid w:val="00893325"/>
    <w:rsid w:val="008944B6"/>
    <w:rsid w:val="0089661B"/>
    <w:rsid w:val="008973CD"/>
    <w:rsid w:val="008977E6"/>
    <w:rsid w:val="008A08C7"/>
    <w:rsid w:val="008A3955"/>
    <w:rsid w:val="008A5097"/>
    <w:rsid w:val="008B0EA6"/>
    <w:rsid w:val="008B1B82"/>
    <w:rsid w:val="008B1D31"/>
    <w:rsid w:val="008B3C86"/>
    <w:rsid w:val="008B7A7F"/>
    <w:rsid w:val="008C3332"/>
    <w:rsid w:val="008C3529"/>
    <w:rsid w:val="008C3B83"/>
    <w:rsid w:val="008C75C1"/>
    <w:rsid w:val="008D1BE1"/>
    <w:rsid w:val="008D1FC7"/>
    <w:rsid w:val="008D3D1D"/>
    <w:rsid w:val="008D4E6B"/>
    <w:rsid w:val="008D7C11"/>
    <w:rsid w:val="008E0B1C"/>
    <w:rsid w:val="008E61FF"/>
    <w:rsid w:val="008F3BBF"/>
    <w:rsid w:val="008F6C40"/>
    <w:rsid w:val="0090109B"/>
    <w:rsid w:val="00901D85"/>
    <w:rsid w:val="009041D4"/>
    <w:rsid w:val="00912798"/>
    <w:rsid w:val="009213C1"/>
    <w:rsid w:val="0092207F"/>
    <w:rsid w:val="009232E8"/>
    <w:rsid w:val="00923A5F"/>
    <w:rsid w:val="00923ECB"/>
    <w:rsid w:val="009264AE"/>
    <w:rsid w:val="00926E52"/>
    <w:rsid w:val="00931B1A"/>
    <w:rsid w:val="0093702B"/>
    <w:rsid w:val="0094591F"/>
    <w:rsid w:val="0094606A"/>
    <w:rsid w:val="00950ADB"/>
    <w:rsid w:val="00952DA3"/>
    <w:rsid w:val="009537F5"/>
    <w:rsid w:val="009550AC"/>
    <w:rsid w:val="00955AF0"/>
    <w:rsid w:val="00957B2D"/>
    <w:rsid w:val="009614B3"/>
    <w:rsid w:val="00962AB1"/>
    <w:rsid w:val="009655EA"/>
    <w:rsid w:val="009659C0"/>
    <w:rsid w:val="00965F1A"/>
    <w:rsid w:val="00966567"/>
    <w:rsid w:val="00966590"/>
    <w:rsid w:val="0096728B"/>
    <w:rsid w:val="00972033"/>
    <w:rsid w:val="0097259D"/>
    <w:rsid w:val="00972E02"/>
    <w:rsid w:val="00973B8E"/>
    <w:rsid w:val="0098251F"/>
    <w:rsid w:val="00986940"/>
    <w:rsid w:val="00992C62"/>
    <w:rsid w:val="009939D8"/>
    <w:rsid w:val="00993AD6"/>
    <w:rsid w:val="00994625"/>
    <w:rsid w:val="00994FC8"/>
    <w:rsid w:val="009978FC"/>
    <w:rsid w:val="009A4806"/>
    <w:rsid w:val="009B083B"/>
    <w:rsid w:val="009B3B42"/>
    <w:rsid w:val="009B5C30"/>
    <w:rsid w:val="009B6247"/>
    <w:rsid w:val="009B71E0"/>
    <w:rsid w:val="009C1E11"/>
    <w:rsid w:val="009C2C98"/>
    <w:rsid w:val="009C5C73"/>
    <w:rsid w:val="009D0ABD"/>
    <w:rsid w:val="009D1392"/>
    <w:rsid w:val="009D1C59"/>
    <w:rsid w:val="009E0E1C"/>
    <w:rsid w:val="009E2808"/>
    <w:rsid w:val="009E50C8"/>
    <w:rsid w:val="009E64A1"/>
    <w:rsid w:val="009F18C7"/>
    <w:rsid w:val="009F5012"/>
    <w:rsid w:val="00A00347"/>
    <w:rsid w:val="00A064CA"/>
    <w:rsid w:val="00A0657C"/>
    <w:rsid w:val="00A06AAC"/>
    <w:rsid w:val="00A10A2E"/>
    <w:rsid w:val="00A1538F"/>
    <w:rsid w:val="00A16861"/>
    <w:rsid w:val="00A20013"/>
    <w:rsid w:val="00A240DF"/>
    <w:rsid w:val="00A2620F"/>
    <w:rsid w:val="00A26A50"/>
    <w:rsid w:val="00A271FF"/>
    <w:rsid w:val="00A27FD4"/>
    <w:rsid w:val="00A31950"/>
    <w:rsid w:val="00A334DC"/>
    <w:rsid w:val="00A4021C"/>
    <w:rsid w:val="00A40627"/>
    <w:rsid w:val="00A44150"/>
    <w:rsid w:val="00A45FBD"/>
    <w:rsid w:val="00A466BE"/>
    <w:rsid w:val="00A469DD"/>
    <w:rsid w:val="00A52917"/>
    <w:rsid w:val="00A62C4B"/>
    <w:rsid w:val="00A6466F"/>
    <w:rsid w:val="00A66C60"/>
    <w:rsid w:val="00A720E1"/>
    <w:rsid w:val="00A72E69"/>
    <w:rsid w:val="00A7452C"/>
    <w:rsid w:val="00A7502E"/>
    <w:rsid w:val="00A76C70"/>
    <w:rsid w:val="00A77664"/>
    <w:rsid w:val="00A9065B"/>
    <w:rsid w:val="00A90C99"/>
    <w:rsid w:val="00A91F20"/>
    <w:rsid w:val="00A944BE"/>
    <w:rsid w:val="00A96654"/>
    <w:rsid w:val="00AA2961"/>
    <w:rsid w:val="00AA3112"/>
    <w:rsid w:val="00AA688E"/>
    <w:rsid w:val="00AB1B06"/>
    <w:rsid w:val="00AB1DF9"/>
    <w:rsid w:val="00AB421B"/>
    <w:rsid w:val="00AB4AE9"/>
    <w:rsid w:val="00AB6B81"/>
    <w:rsid w:val="00AC4091"/>
    <w:rsid w:val="00AC459B"/>
    <w:rsid w:val="00AC5C9D"/>
    <w:rsid w:val="00AD26D4"/>
    <w:rsid w:val="00AD6B1C"/>
    <w:rsid w:val="00AE1E8E"/>
    <w:rsid w:val="00AF0A13"/>
    <w:rsid w:val="00AF5464"/>
    <w:rsid w:val="00AF6427"/>
    <w:rsid w:val="00AF66E6"/>
    <w:rsid w:val="00AF7ABC"/>
    <w:rsid w:val="00B008CE"/>
    <w:rsid w:val="00B01349"/>
    <w:rsid w:val="00B01B37"/>
    <w:rsid w:val="00B05112"/>
    <w:rsid w:val="00B10243"/>
    <w:rsid w:val="00B11D5F"/>
    <w:rsid w:val="00B134D5"/>
    <w:rsid w:val="00B16B4F"/>
    <w:rsid w:val="00B20698"/>
    <w:rsid w:val="00B3442B"/>
    <w:rsid w:val="00B34C68"/>
    <w:rsid w:val="00B352E0"/>
    <w:rsid w:val="00B36675"/>
    <w:rsid w:val="00B366DF"/>
    <w:rsid w:val="00B401AB"/>
    <w:rsid w:val="00B4048E"/>
    <w:rsid w:val="00B44820"/>
    <w:rsid w:val="00B44F75"/>
    <w:rsid w:val="00B46D08"/>
    <w:rsid w:val="00B46F20"/>
    <w:rsid w:val="00B50135"/>
    <w:rsid w:val="00B512D9"/>
    <w:rsid w:val="00B52926"/>
    <w:rsid w:val="00B5474E"/>
    <w:rsid w:val="00B621DA"/>
    <w:rsid w:val="00B63FB6"/>
    <w:rsid w:val="00B64AF3"/>
    <w:rsid w:val="00B7185F"/>
    <w:rsid w:val="00B71A52"/>
    <w:rsid w:val="00B72370"/>
    <w:rsid w:val="00B73348"/>
    <w:rsid w:val="00B74A0C"/>
    <w:rsid w:val="00B80A83"/>
    <w:rsid w:val="00B81F9C"/>
    <w:rsid w:val="00B83162"/>
    <w:rsid w:val="00B92901"/>
    <w:rsid w:val="00B94378"/>
    <w:rsid w:val="00B968C0"/>
    <w:rsid w:val="00BA1C67"/>
    <w:rsid w:val="00BA2DD0"/>
    <w:rsid w:val="00BA5FAE"/>
    <w:rsid w:val="00BA6E98"/>
    <w:rsid w:val="00BB6640"/>
    <w:rsid w:val="00BB6BA9"/>
    <w:rsid w:val="00BC22F7"/>
    <w:rsid w:val="00BC314D"/>
    <w:rsid w:val="00BD0A6C"/>
    <w:rsid w:val="00BD1A46"/>
    <w:rsid w:val="00BD33FF"/>
    <w:rsid w:val="00BD4181"/>
    <w:rsid w:val="00BD787D"/>
    <w:rsid w:val="00BD7D45"/>
    <w:rsid w:val="00BE0059"/>
    <w:rsid w:val="00BE0F61"/>
    <w:rsid w:val="00BE1C6F"/>
    <w:rsid w:val="00BF6514"/>
    <w:rsid w:val="00C00F64"/>
    <w:rsid w:val="00C10352"/>
    <w:rsid w:val="00C11FB1"/>
    <w:rsid w:val="00C12523"/>
    <w:rsid w:val="00C15996"/>
    <w:rsid w:val="00C20955"/>
    <w:rsid w:val="00C21FF9"/>
    <w:rsid w:val="00C22369"/>
    <w:rsid w:val="00C24936"/>
    <w:rsid w:val="00C301AC"/>
    <w:rsid w:val="00C31781"/>
    <w:rsid w:val="00C37A77"/>
    <w:rsid w:val="00C41903"/>
    <w:rsid w:val="00C4238F"/>
    <w:rsid w:val="00C463C7"/>
    <w:rsid w:val="00C543D4"/>
    <w:rsid w:val="00C60D2C"/>
    <w:rsid w:val="00C61257"/>
    <w:rsid w:val="00C64D3B"/>
    <w:rsid w:val="00C71465"/>
    <w:rsid w:val="00C81316"/>
    <w:rsid w:val="00C8366C"/>
    <w:rsid w:val="00C8532B"/>
    <w:rsid w:val="00C8754B"/>
    <w:rsid w:val="00C90371"/>
    <w:rsid w:val="00C95B35"/>
    <w:rsid w:val="00CA2D31"/>
    <w:rsid w:val="00CA2DAA"/>
    <w:rsid w:val="00CA2FD7"/>
    <w:rsid w:val="00CA4E6B"/>
    <w:rsid w:val="00CA5586"/>
    <w:rsid w:val="00CA5E01"/>
    <w:rsid w:val="00CB153B"/>
    <w:rsid w:val="00CB7CA9"/>
    <w:rsid w:val="00CC420D"/>
    <w:rsid w:val="00CC63E9"/>
    <w:rsid w:val="00CD370D"/>
    <w:rsid w:val="00CD41D5"/>
    <w:rsid w:val="00CD611E"/>
    <w:rsid w:val="00CD61C2"/>
    <w:rsid w:val="00CE22BF"/>
    <w:rsid w:val="00CF013F"/>
    <w:rsid w:val="00CF07E4"/>
    <w:rsid w:val="00CF0F69"/>
    <w:rsid w:val="00CF74A2"/>
    <w:rsid w:val="00D00CC0"/>
    <w:rsid w:val="00D0128F"/>
    <w:rsid w:val="00D058F9"/>
    <w:rsid w:val="00D07CD2"/>
    <w:rsid w:val="00D105E9"/>
    <w:rsid w:val="00D106A8"/>
    <w:rsid w:val="00D12807"/>
    <w:rsid w:val="00D16122"/>
    <w:rsid w:val="00D207EA"/>
    <w:rsid w:val="00D24715"/>
    <w:rsid w:val="00D268AE"/>
    <w:rsid w:val="00D31159"/>
    <w:rsid w:val="00D346CF"/>
    <w:rsid w:val="00D37139"/>
    <w:rsid w:val="00D468EE"/>
    <w:rsid w:val="00D505F4"/>
    <w:rsid w:val="00D52865"/>
    <w:rsid w:val="00D53C5A"/>
    <w:rsid w:val="00D612F7"/>
    <w:rsid w:val="00D64E02"/>
    <w:rsid w:val="00D72AD2"/>
    <w:rsid w:val="00D77535"/>
    <w:rsid w:val="00D81753"/>
    <w:rsid w:val="00D82994"/>
    <w:rsid w:val="00D8441C"/>
    <w:rsid w:val="00D86ADC"/>
    <w:rsid w:val="00D943C5"/>
    <w:rsid w:val="00D96A99"/>
    <w:rsid w:val="00D97031"/>
    <w:rsid w:val="00DA105C"/>
    <w:rsid w:val="00DA7A2D"/>
    <w:rsid w:val="00DB1493"/>
    <w:rsid w:val="00DB17F9"/>
    <w:rsid w:val="00DB5A15"/>
    <w:rsid w:val="00DB6C64"/>
    <w:rsid w:val="00DC70D0"/>
    <w:rsid w:val="00DC7412"/>
    <w:rsid w:val="00DD28EF"/>
    <w:rsid w:val="00DD44C7"/>
    <w:rsid w:val="00DD50BB"/>
    <w:rsid w:val="00DE0255"/>
    <w:rsid w:val="00DE1584"/>
    <w:rsid w:val="00DE3B38"/>
    <w:rsid w:val="00DE5491"/>
    <w:rsid w:val="00DE6DEF"/>
    <w:rsid w:val="00DE6FC7"/>
    <w:rsid w:val="00DF2F3E"/>
    <w:rsid w:val="00DF4ED7"/>
    <w:rsid w:val="00E02186"/>
    <w:rsid w:val="00E02250"/>
    <w:rsid w:val="00E04BF2"/>
    <w:rsid w:val="00E112D7"/>
    <w:rsid w:val="00E21EDF"/>
    <w:rsid w:val="00E233AE"/>
    <w:rsid w:val="00E2694E"/>
    <w:rsid w:val="00E33433"/>
    <w:rsid w:val="00E341C8"/>
    <w:rsid w:val="00E3723C"/>
    <w:rsid w:val="00E432C2"/>
    <w:rsid w:val="00E4362B"/>
    <w:rsid w:val="00E43D69"/>
    <w:rsid w:val="00E46AEC"/>
    <w:rsid w:val="00E474A2"/>
    <w:rsid w:val="00E50555"/>
    <w:rsid w:val="00E509BE"/>
    <w:rsid w:val="00E54385"/>
    <w:rsid w:val="00E54782"/>
    <w:rsid w:val="00E63675"/>
    <w:rsid w:val="00E640C1"/>
    <w:rsid w:val="00E673E2"/>
    <w:rsid w:val="00E73AC8"/>
    <w:rsid w:val="00E77F09"/>
    <w:rsid w:val="00E833B4"/>
    <w:rsid w:val="00E85C8A"/>
    <w:rsid w:val="00E915AB"/>
    <w:rsid w:val="00E94AB8"/>
    <w:rsid w:val="00EA13DE"/>
    <w:rsid w:val="00EA492C"/>
    <w:rsid w:val="00EB05B0"/>
    <w:rsid w:val="00EC113D"/>
    <w:rsid w:val="00EC16A8"/>
    <w:rsid w:val="00EC33B5"/>
    <w:rsid w:val="00EC5D14"/>
    <w:rsid w:val="00EC6598"/>
    <w:rsid w:val="00ED3DDC"/>
    <w:rsid w:val="00ED5718"/>
    <w:rsid w:val="00ED598F"/>
    <w:rsid w:val="00ED70E4"/>
    <w:rsid w:val="00ED78F6"/>
    <w:rsid w:val="00EE25DC"/>
    <w:rsid w:val="00EF1062"/>
    <w:rsid w:val="00EF2533"/>
    <w:rsid w:val="00EF2732"/>
    <w:rsid w:val="00EF4F0B"/>
    <w:rsid w:val="00EF7ED7"/>
    <w:rsid w:val="00F005E3"/>
    <w:rsid w:val="00F00B23"/>
    <w:rsid w:val="00F02D6F"/>
    <w:rsid w:val="00F046FC"/>
    <w:rsid w:val="00F05886"/>
    <w:rsid w:val="00F07161"/>
    <w:rsid w:val="00F1186B"/>
    <w:rsid w:val="00F13125"/>
    <w:rsid w:val="00F16738"/>
    <w:rsid w:val="00F17906"/>
    <w:rsid w:val="00F17F57"/>
    <w:rsid w:val="00F201E5"/>
    <w:rsid w:val="00F3098C"/>
    <w:rsid w:val="00F31CE9"/>
    <w:rsid w:val="00F37346"/>
    <w:rsid w:val="00F37582"/>
    <w:rsid w:val="00F377A6"/>
    <w:rsid w:val="00F42B80"/>
    <w:rsid w:val="00F44873"/>
    <w:rsid w:val="00F45F01"/>
    <w:rsid w:val="00F45FC0"/>
    <w:rsid w:val="00F47939"/>
    <w:rsid w:val="00F47D97"/>
    <w:rsid w:val="00F651D6"/>
    <w:rsid w:val="00F7004A"/>
    <w:rsid w:val="00F71591"/>
    <w:rsid w:val="00F73445"/>
    <w:rsid w:val="00F80475"/>
    <w:rsid w:val="00F827B0"/>
    <w:rsid w:val="00F831FF"/>
    <w:rsid w:val="00F84CA5"/>
    <w:rsid w:val="00FA0A66"/>
    <w:rsid w:val="00FA0D93"/>
    <w:rsid w:val="00FA6078"/>
    <w:rsid w:val="00FA6C24"/>
    <w:rsid w:val="00FB0B33"/>
    <w:rsid w:val="00FB0DB0"/>
    <w:rsid w:val="00FB3B6E"/>
    <w:rsid w:val="00FB52F0"/>
    <w:rsid w:val="00FB7A3F"/>
    <w:rsid w:val="00FC0E06"/>
    <w:rsid w:val="00FC14E9"/>
    <w:rsid w:val="00FC2145"/>
    <w:rsid w:val="00FC3B65"/>
    <w:rsid w:val="00FC41D4"/>
    <w:rsid w:val="00FD4EE5"/>
    <w:rsid w:val="00FE1623"/>
    <w:rsid w:val="00FE1941"/>
    <w:rsid w:val="00FE704B"/>
    <w:rsid w:val="00FF09F5"/>
    <w:rsid w:val="00FF16B6"/>
    <w:rsid w:val="00FF2593"/>
    <w:rsid w:val="0DE065A7"/>
    <w:rsid w:val="6F414AD5"/>
    <w:rsid w:val="7A2A6C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
    <w:qFormat/>
    <w:uiPriority w:val="0"/>
    <w:pPr>
      <w:keepNext/>
      <w:keepLines/>
      <w:spacing w:before="340" w:after="330" w:line="578" w:lineRule="auto"/>
      <w:outlineLvl w:val="0"/>
    </w:pPr>
    <w:rPr>
      <w:b/>
      <w:bCs/>
      <w:kern w:val="44"/>
      <w:sz w:val="44"/>
      <w:szCs w:val="44"/>
    </w:rPr>
  </w:style>
  <w:style w:type="character" w:default="1" w:styleId="12">
    <w:name w:val="Default Paragraph Font"/>
    <w:semiHidden/>
    <w:unhideWhenUsed/>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3">
    <w:name w:val="Body Text Indent"/>
    <w:basedOn w:val="1"/>
    <w:link w:val="24"/>
    <w:qFormat/>
    <w:uiPriority w:val="0"/>
    <w:pPr>
      <w:spacing w:after="120"/>
      <w:ind w:left="420" w:leftChars="200"/>
    </w:pPr>
  </w:style>
  <w:style w:type="paragraph" w:styleId="4">
    <w:name w:val="Body Text Indent 2"/>
    <w:basedOn w:val="1"/>
    <w:link w:val="23"/>
    <w:autoRedefine/>
    <w:qFormat/>
    <w:uiPriority w:val="0"/>
    <w:pPr>
      <w:widowControl/>
      <w:ind w:firstLine="560" w:firstLineChars="200"/>
      <w:jc w:val="left"/>
    </w:pPr>
    <w:rPr>
      <w:rFonts w:ascii="仿宋_GB2312" w:eastAsia="仿宋_GB2312"/>
      <w:sz w:val="28"/>
    </w:rPr>
  </w:style>
  <w:style w:type="paragraph" w:styleId="5">
    <w:name w:val="Balloon Text"/>
    <w:basedOn w:val="1"/>
    <w:link w:val="26"/>
    <w:autoRedefine/>
    <w:qFormat/>
    <w:uiPriority w:val="0"/>
    <w:rPr>
      <w:sz w:val="18"/>
      <w:szCs w:val="18"/>
    </w:rPr>
  </w:style>
  <w:style w:type="paragraph" w:styleId="6">
    <w:name w:val="footer"/>
    <w:basedOn w:val="1"/>
    <w:link w:val="18"/>
    <w:qFormat/>
    <w:uiPriority w:val="99"/>
    <w:pPr>
      <w:tabs>
        <w:tab w:val="center" w:pos="4153"/>
        <w:tab w:val="right" w:pos="8306"/>
      </w:tabs>
      <w:snapToGrid w:val="0"/>
      <w:jc w:val="left"/>
    </w:pPr>
    <w:rPr>
      <w:sz w:val="18"/>
      <w:szCs w:val="18"/>
    </w:rPr>
  </w:style>
  <w:style w:type="paragraph" w:styleId="7">
    <w:name w:val="header"/>
    <w:basedOn w:val="1"/>
    <w:link w:val="17"/>
    <w:qFormat/>
    <w:uiPriority w:val="99"/>
    <w:pPr>
      <w:pBdr>
        <w:bottom w:val="single" w:color="auto" w:sz="6" w:space="1"/>
      </w:pBdr>
      <w:tabs>
        <w:tab w:val="center" w:pos="4153"/>
        <w:tab w:val="right" w:pos="8306"/>
      </w:tabs>
      <w:snapToGrid w:val="0"/>
      <w:jc w:val="center"/>
    </w:pPr>
    <w:rPr>
      <w:sz w:val="18"/>
      <w:szCs w:val="18"/>
    </w:rPr>
  </w:style>
  <w:style w:type="paragraph" w:styleId="8">
    <w:name w:val="footnote text"/>
    <w:basedOn w:val="1"/>
    <w:link w:val="15"/>
    <w:qFormat/>
    <w:uiPriority w:val="0"/>
    <w:pPr>
      <w:snapToGrid w:val="0"/>
      <w:jc w:val="left"/>
    </w:pPr>
    <w:rPr>
      <w:sz w:val="18"/>
      <w:szCs w:val="18"/>
    </w:rPr>
  </w:style>
  <w:style w:type="paragraph" w:styleId="9">
    <w:name w:val="Normal (Web)"/>
    <w:basedOn w:val="1"/>
    <w:autoRedefine/>
    <w:unhideWhenUsed/>
    <w:qFormat/>
    <w:uiPriority w:val="99"/>
    <w:pPr>
      <w:widowControl/>
      <w:spacing w:before="100" w:beforeAutospacing="1" w:after="100" w:afterAutospacing="1"/>
      <w:jc w:val="left"/>
    </w:pPr>
    <w:rPr>
      <w:rFonts w:ascii="宋体" w:hAnsi="宋体" w:cs="宋体"/>
      <w:kern w:val="0"/>
      <w:sz w:val="24"/>
    </w:rPr>
  </w:style>
  <w:style w:type="table" w:styleId="11">
    <w:name w:val="Table Grid"/>
    <w:basedOn w:val="10"/>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3">
    <w:name w:val="Hyperlink"/>
    <w:basedOn w:val="12"/>
    <w:autoRedefine/>
    <w:unhideWhenUsed/>
    <w:qFormat/>
    <w:uiPriority w:val="99"/>
    <w:rPr>
      <w:color w:val="0000FF"/>
      <w:u w:val="single"/>
    </w:rPr>
  </w:style>
  <w:style w:type="character" w:styleId="14">
    <w:name w:val="footnote reference"/>
    <w:autoRedefine/>
    <w:qFormat/>
    <w:uiPriority w:val="0"/>
    <w:rPr>
      <w:vertAlign w:val="superscript"/>
    </w:rPr>
  </w:style>
  <w:style w:type="character" w:customStyle="1" w:styleId="15">
    <w:name w:val="脚注文本 Char"/>
    <w:link w:val="8"/>
    <w:autoRedefine/>
    <w:qFormat/>
    <w:uiPriority w:val="0"/>
    <w:rPr>
      <w:kern w:val="2"/>
      <w:sz w:val="18"/>
      <w:szCs w:val="18"/>
    </w:rPr>
  </w:style>
  <w:style w:type="paragraph" w:customStyle="1" w:styleId="16">
    <w:name w:val="p0"/>
    <w:basedOn w:val="1"/>
    <w:qFormat/>
    <w:uiPriority w:val="0"/>
    <w:pPr>
      <w:widowControl/>
    </w:pPr>
    <w:rPr>
      <w:kern w:val="0"/>
      <w:szCs w:val="21"/>
    </w:rPr>
  </w:style>
  <w:style w:type="character" w:customStyle="1" w:styleId="17">
    <w:name w:val="页眉 Char"/>
    <w:link w:val="7"/>
    <w:qFormat/>
    <w:uiPriority w:val="99"/>
    <w:rPr>
      <w:kern w:val="2"/>
      <w:sz w:val="18"/>
      <w:szCs w:val="18"/>
    </w:rPr>
  </w:style>
  <w:style w:type="character" w:customStyle="1" w:styleId="18">
    <w:name w:val="页脚 Char"/>
    <w:link w:val="6"/>
    <w:qFormat/>
    <w:uiPriority w:val="99"/>
    <w:rPr>
      <w:kern w:val="2"/>
      <w:sz w:val="18"/>
      <w:szCs w:val="18"/>
    </w:rPr>
  </w:style>
  <w:style w:type="paragraph" w:styleId="19">
    <w:name w:val="List Paragraph"/>
    <w:basedOn w:val="1"/>
    <w:qFormat/>
    <w:uiPriority w:val="34"/>
    <w:pPr>
      <w:ind w:firstLine="420" w:firstLineChars="200"/>
    </w:pPr>
  </w:style>
  <w:style w:type="character" w:customStyle="1" w:styleId="20">
    <w:name w:val="description5"/>
    <w:basedOn w:val="12"/>
    <w:qFormat/>
    <w:uiPriority w:val="0"/>
  </w:style>
  <w:style w:type="character" w:customStyle="1" w:styleId="21">
    <w:name w:val="biao_wenzi Char"/>
    <w:basedOn w:val="12"/>
    <w:link w:val="22"/>
    <w:autoRedefine/>
    <w:qFormat/>
    <w:uiPriority w:val="0"/>
    <w:rPr>
      <w:rFonts w:ascii="宋体" w:hAnsi="宋体" w:cs="宋体"/>
      <w:color w:val="000000"/>
      <w:sz w:val="21"/>
      <w:szCs w:val="21"/>
      <w:lang w:val="en-US" w:eastAsia="zh-CN" w:bidi="ar-SA"/>
    </w:rPr>
  </w:style>
  <w:style w:type="paragraph" w:customStyle="1" w:styleId="22">
    <w:name w:val="biao_wenzi"/>
    <w:link w:val="21"/>
    <w:qFormat/>
    <w:uiPriority w:val="0"/>
    <w:pPr>
      <w:snapToGrid w:val="0"/>
    </w:pPr>
    <w:rPr>
      <w:rFonts w:ascii="宋体" w:hAnsi="宋体" w:eastAsia="宋体" w:cs="宋体"/>
      <w:color w:val="000000"/>
      <w:sz w:val="21"/>
      <w:szCs w:val="21"/>
      <w:lang w:val="en-US" w:eastAsia="zh-CN" w:bidi="ar-SA"/>
    </w:rPr>
  </w:style>
  <w:style w:type="character" w:customStyle="1" w:styleId="23">
    <w:name w:val="正文文本缩进 2 Char"/>
    <w:basedOn w:val="12"/>
    <w:link w:val="4"/>
    <w:autoRedefine/>
    <w:qFormat/>
    <w:uiPriority w:val="0"/>
    <w:rPr>
      <w:rFonts w:ascii="仿宋_GB2312" w:eastAsia="仿宋_GB2312"/>
      <w:kern w:val="2"/>
      <w:sz w:val="28"/>
      <w:szCs w:val="24"/>
    </w:rPr>
  </w:style>
  <w:style w:type="character" w:customStyle="1" w:styleId="24">
    <w:name w:val="正文文本缩进 Char"/>
    <w:basedOn w:val="12"/>
    <w:link w:val="3"/>
    <w:autoRedefine/>
    <w:qFormat/>
    <w:uiPriority w:val="0"/>
    <w:rPr>
      <w:kern w:val="2"/>
      <w:sz w:val="21"/>
      <w:szCs w:val="24"/>
    </w:rPr>
  </w:style>
  <w:style w:type="character" w:customStyle="1" w:styleId="25">
    <w:name w:val="標題3 內文 字元 字元 字元 字元1 字元 字元 字元"/>
    <w:basedOn w:val="12"/>
    <w:autoRedefine/>
    <w:qFormat/>
    <w:uiPriority w:val="0"/>
    <w:rPr>
      <w:rFonts w:eastAsia="DFKai-SB"/>
      <w:spacing w:val="20"/>
      <w:kern w:val="2"/>
      <w:sz w:val="24"/>
      <w:lang w:val="en-US" w:eastAsia="zh-TW" w:bidi="ar-SA"/>
    </w:rPr>
  </w:style>
  <w:style w:type="character" w:customStyle="1" w:styleId="26">
    <w:name w:val="批注框文本 Char"/>
    <w:basedOn w:val="12"/>
    <w:link w:val="5"/>
    <w:autoRedefine/>
    <w:qFormat/>
    <w:uiPriority w:val="0"/>
    <w:rPr>
      <w:kern w:val="2"/>
      <w:sz w:val="18"/>
      <w:szCs w:val="18"/>
    </w:rPr>
  </w:style>
  <w:style w:type="paragraph" w:customStyle="1" w:styleId="27">
    <w:name w:val="List Paragraph1"/>
    <w:basedOn w:val="1"/>
    <w:qFormat/>
    <w:uiPriority w:val="0"/>
    <w:pPr>
      <w:ind w:firstLine="420" w:firstLineChars="200"/>
    </w:pPr>
    <w:rPr>
      <w:rFonts w:ascii="Calibri" w:hAnsi="Calibri" w:cs="Calibri"/>
      <w:szCs w:val="21"/>
    </w:rPr>
  </w:style>
  <w:style w:type="character" w:customStyle="1" w:styleId="28">
    <w:name w:val="标题 1 Char"/>
    <w:basedOn w:val="12"/>
    <w:link w:val="2"/>
    <w:autoRedefine/>
    <w:qFormat/>
    <w:uiPriority w:val="0"/>
    <w:rPr>
      <w:b/>
      <w:bCs/>
      <w:kern w:val="44"/>
      <w:sz w:val="44"/>
      <w:szCs w:val="44"/>
    </w:rPr>
  </w:style>
  <w:style w:type="paragraph" w:styleId="29">
    <w:name w:val="No Spacing"/>
    <w:qFormat/>
    <w:uiPriority w:val="1"/>
    <w:pPr>
      <w:widowControl w:val="0"/>
      <w:ind w:firstLine="640" w:firstLineChars="200"/>
      <w:jc w:val="both"/>
    </w:pPr>
    <w:rPr>
      <w:rFonts w:ascii="仿宋" w:hAnsi="仿宋" w:eastAsia="仿宋_GB2312" w:cstheme="minorBidi"/>
      <w:kern w:val="2"/>
      <w:sz w:val="32"/>
      <w:szCs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0" Type="http://schemas.openxmlformats.org/officeDocument/2006/relationships/fontTable" Target="fontTable.xml"/><Relationship Id="rId4" Type="http://schemas.openxmlformats.org/officeDocument/2006/relationships/header" Target="header1.xml"/><Relationship Id="rId39" Type="http://schemas.openxmlformats.org/officeDocument/2006/relationships/customXml" Target="../customXml/item2.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3.jpeg"/><Relationship Id="rId35" Type="http://schemas.openxmlformats.org/officeDocument/2006/relationships/image" Target="media/image22.jpeg"/><Relationship Id="rId34" Type="http://schemas.openxmlformats.org/officeDocument/2006/relationships/image" Target="media/image21.jpeg"/><Relationship Id="rId33" Type="http://schemas.openxmlformats.org/officeDocument/2006/relationships/image" Target="media/image20.jpeg"/><Relationship Id="rId32" Type="http://schemas.openxmlformats.org/officeDocument/2006/relationships/image" Target="media/image19.jpe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footnotes" Target="footnotes.xml"/><Relationship Id="rId29" Type="http://schemas.openxmlformats.org/officeDocument/2006/relationships/image" Target="media/image16.jpeg"/><Relationship Id="rId28" Type="http://schemas.openxmlformats.org/officeDocument/2006/relationships/chart" Target="charts/chart1.xml"/><Relationship Id="rId27" Type="http://schemas.openxmlformats.org/officeDocument/2006/relationships/image" Target="media/image15.jpeg"/><Relationship Id="rId26" Type="http://schemas.openxmlformats.org/officeDocument/2006/relationships/image" Target="media/image14.jpeg"/><Relationship Id="rId25" Type="http://schemas.openxmlformats.org/officeDocument/2006/relationships/image" Target="media/image13.jpeg"/><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hyperlink" Target="http://image.baidu.com/search/detail?ct=503316480%26z=%26tn=baiduimagedetail%26ipn=d%26word=%E5%B8%B8%E5%B7%9E%E4%BC%A0%E5%AA%92%E5%A4%A7%E5%8E%A6%26step_word=%26ie=utf-8%26in=%26cl=2%26lm=-1%26st=-1%26cs=2474600618,2061454052%26os=253947473,298213482%26pn=4%26rn=1%26di=69768213020%26ln=1000%26fr=%26fmq=1443965114506_R%26ic=0%26s=undefined%26se=%26sme=%26tab=0%26width=%26height=%26face=undefined%26is=%26istype=0%26ist=%26jit=%26bdtype=0%26gsm=0%26objurl=http://pic22.nipic.com/20120720/6475766_090248429175_2.jpg" TargetMode="External"/><Relationship Id="rId21" Type="http://schemas.openxmlformats.org/officeDocument/2006/relationships/image" Target="media/image10.pn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microsoft.com/office/2007/relationships/diagramDrawing" Target="diagrams/drawing1.xml"/><Relationship Id="rId15" Type="http://schemas.openxmlformats.org/officeDocument/2006/relationships/diagramColors" Target="diagrams/colors1.xml"/><Relationship Id="rId14" Type="http://schemas.openxmlformats.org/officeDocument/2006/relationships/diagramQuickStyle" Target="diagrams/quickStyle1.xml"/><Relationship Id="rId13" Type="http://schemas.openxmlformats.org/officeDocument/2006/relationships/diagramLayout" Target="diagrams/layout1.xml"/><Relationship Id="rId12" Type="http://schemas.openxmlformats.org/officeDocument/2006/relationships/diagramData" Target="diagrams/data1.xml"/><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G:\MyDocuments\&#19977;&#20117;&#34903;&#36947;\&#20159;&#20803;&#20225;&#19994;14.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en-US" altLang="zh-CN" sz="1600"/>
              <a:t>2014</a:t>
            </a:r>
            <a:r>
              <a:rPr lang="zh-CN" altLang="en-US" sz="1600"/>
              <a:t>年三井街道</a:t>
            </a:r>
            <a:r>
              <a:rPr lang="en-US" altLang="zh-CN" sz="1600"/>
              <a:t>19</a:t>
            </a:r>
            <a:r>
              <a:rPr lang="zh-CN" altLang="en-US" sz="1600"/>
              <a:t>个工业行业产值同比增长（</a:t>
            </a:r>
            <a:r>
              <a:rPr lang="en-US" altLang="zh-CN" sz="1600"/>
              <a:t>%</a:t>
            </a:r>
            <a:r>
              <a:rPr lang="zh-CN" altLang="en-US" sz="1600"/>
              <a:t>）</a:t>
            </a:r>
            <a:endParaRPr lang="zh-CN" altLang="en-US" sz="1600"/>
          </a:p>
        </c:rich>
      </c:tx>
      <c:layout/>
      <c:overlay val="0"/>
    </c:title>
    <c:autoTitleDeleted val="0"/>
    <c:plotArea>
      <c:layout/>
      <c:barChart>
        <c:barDir val="col"/>
        <c:grouping val="clustered"/>
        <c:varyColors val="0"/>
        <c:ser>
          <c:idx val="0"/>
          <c:order val="0"/>
          <c:tx>
            <c:strRef>
              <c:f>分行业!$D$6</c:f>
              <c:strCache>
                <c:ptCount val="1"/>
                <c:pt idx="0">
                  <c:v>增长</c:v>
                </c:pt>
              </c:strCache>
            </c:strRef>
          </c:tx>
          <c:invertIfNegative val="0"/>
          <c:dLbls>
            <c:delete val="1"/>
          </c:dLbls>
          <c:cat>
            <c:strRef>
              <c:f>分行业!$A$7:$A$25</c:f>
              <c:strCache>
                <c:ptCount val="19"/>
                <c:pt idx="0">
                  <c:v>农副食品加工业</c:v>
                </c:pt>
                <c:pt idx="1">
                  <c:v>食品制造业</c:v>
                </c:pt>
                <c:pt idx="2">
                  <c:v>酒、饮料和精制茶制造业</c:v>
                </c:pt>
                <c:pt idx="3">
                  <c:v>纺织业</c:v>
                </c:pt>
                <c:pt idx="4">
                  <c:v>纺织服装、服饰业</c:v>
                </c:pt>
                <c:pt idx="5">
                  <c:v>化学原料和化学制品制造业</c:v>
                </c:pt>
                <c:pt idx="6">
                  <c:v>医药制造业</c:v>
                </c:pt>
                <c:pt idx="7">
                  <c:v>橡胶和塑料制品业</c:v>
                </c:pt>
                <c:pt idx="8">
                  <c:v>非金属矿物制品业</c:v>
                </c:pt>
                <c:pt idx="9">
                  <c:v>黑色金属冶炼和压延加工业</c:v>
                </c:pt>
                <c:pt idx="10">
                  <c:v>有色金属冶炼和压延加工业</c:v>
                </c:pt>
                <c:pt idx="11">
                  <c:v>金属制品业</c:v>
                </c:pt>
                <c:pt idx="12">
                  <c:v>通用设备制造业</c:v>
                </c:pt>
                <c:pt idx="13">
                  <c:v>专用设备制造业</c:v>
                </c:pt>
                <c:pt idx="14">
                  <c:v>汽车制造业</c:v>
                </c:pt>
                <c:pt idx="15">
                  <c:v>铁路、船舶、航空航天和其他运输设备制造业</c:v>
                </c:pt>
                <c:pt idx="16">
                  <c:v>电气机械和器材制造业</c:v>
                </c:pt>
                <c:pt idx="17">
                  <c:v>计算机、通信和其他电子设备制造</c:v>
                </c:pt>
                <c:pt idx="18">
                  <c:v>仪器仪表制造业</c:v>
                </c:pt>
              </c:strCache>
            </c:strRef>
          </c:cat>
          <c:val>
            <c:numRef>
              <c:f>分行业!$D$7:$D$25</c:f>
              <c:numCache>
                <c:formatCode>0.00_ </c:formatCode>
                <c:ptCount val="19"/>
                <c:pt idx="0">
                  <c:v>-23.7082593442765</c:v>
                </c:pt>
                <c:pt idx="1">
                  <c:v>-7.18041445599676</c:v>
                </c:pt>
                <c:pt idx="2">
                  <c:v>6.04809715305335</c:v>
                </c:pt>
                <c:pt idx="3">
                  <c:v>-52.0941838331929</c:v>
                </c:pt>
                <c:pt idx="4">
                  <c:v>-10.41688993677</c:v>
                </c:pt>
                <c:pt idx="5">
                  <c:v>2.19856352181222</c:v>
                </c:pt>
                <c:pt idx="6">
                  <c:v>21.6893878987245</c:v>
                </c:pt>
                <c:pt idx="7">
                  <c:v>9.0197280637232</c:v>
                </c:pt>
                <c:pt idx="8">
                  <c:v>-15.5831313345358</c:v>
                </c:pt>
                <c:pt idx="9">
                  <c:v>-29.1073014337987</c:v>
                </c:pt>
                <c:pt idx="10">
                  <c:v>-0.184715102926238</c:v>
                </c:pt>
                <c:pt idx="11">
                  <c:v>-1.24756250102416</c:v>
                </c:pt>
                <c:pt idx="12">
                  <c:v>5.4987856337126</c:v>
                </c:pt>
                <c:pt idx="13">
                  <c:v>4.04288436177214</c:v>
                </c:pt>
                <c:pt idx="14">
                  <c:v>21.5642009458374</c:v>
                </c:pt>
                <c:pt idx="15">
                  <c:v>24.9645543335599</c:v>
                </c:pt>
                <c:pt idx="16">
                  <c:v>8.02713765020351</c:v>
                </c:pt>
                <c:pt idx="17">
                  <c:v>2.1046454395995</c:v>
                </c:pt>
                <c:pt idx="18">
                  <c:v>11.5564866316249</c:v>
                </c:pt>
              </c:numCache>
            </c:numRef>
          </c:val>
        </c:ser>
        <c:dLbls>
          <c:showLegendKey val="0"/>
          <c:showVal val="0"/>
          <c:showCatName val="0"/>
          <c:showSerName val="0"/>
          <c:showPercent val="0"/>
          <c:showBubbleSize val="0"/>
        </c:dLbls>
        <c:gapWidth val="150"/>
        <c:axId val="148866176"/>
        <c:axId val="148946944"/>
      </c:barChart>
      <c:catAx>
        <c:axId val="148866176"/>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48946944"/>
        <c:crosses val="autoZero"/>
        <c:auto val="1"/>
        <c:lblAlgn val="ctr"/>
        <c:lblOffset val="100"/>
        <c:noMultiLvlLbl val="0"/>
      </c:catAx>
      <c:valAx>
        <c:axId val="148946944"/>
        <c:scaling>
          <c:orientation val="minMax"/>
        </c:scaling>
        <c:delete val="0"/>
        <c:axPos val="l"/>
        <c:majorGridlines/>
        <c:numFmt formatCode="0.00_ "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48866176"/>
        <c:crosses val="autoZero"/>
        <c:crossBetween val="between"/>
      </c:valAx>
    </c:plotArea>
    <c:plotVisOnly val="1"/>
    <c:dispBlanksAs val="gap"/>
    <c:showDLblsOverMax val="0"/>
  </c:chart>
  <c:txPr>
    <a:bodyPr/>
    <a:lstStyle/>
    <a:p>
      <a:pPr>
        <a:defRPr lang="zh-CN"/>
      </a:pP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44398CE4-9491-4CC6-A54F-92E65B8F0AA6}" type="doc">
      <dgm:prSet loTypeId="urn:microsoft.com/office/officeart/2005/8/layout/radial5" loCatId="relationship" qsTypeId="urn:microsoft.com/office/officeart/2005/8/quickstyle/simple1" qsCatId="simple" csTypeId="urn:microsoft.com/office/officeart/2005/8/colors/accent0_1" csCatId="mainScheme" phldr="1"/>
      <dgm:spPr/>
      <dgm:t>
        <a:bodyPr/>
        <a:p>
          <a:endParaRPr lang="zh-CN" altLang="en-US"/>
        </a:p>
      </dgm:t>
    </dgm:pt>
    <dgm:pt modelId="{6DA7C18C-3220-47B8-8CFC-D8DBB061C776}">
      <dgm:prSet phldrT="[文本]"/>
      <dgm:spPr/>
      <dgm:t>
        <a:bodyPr/>
        <a:p>
          <a:r>
            <a:rPr lang="zh-CN" altLang="en-US" b="1"/>
            <a:t>三井街道</a:t>
          </a:r>
          <a:endParaRPr lang="en-US" altLang="zh-CN" b="1"/>
        </a:p>
        <a:p>
          <a:r>
            <a:rPr lang="zh-CN" altLang="en-US" b="1"/>
            <a:t>功能定位</a:t>
          </a:r>
          <a:endParaRPr lang="zh-CN" altLang="en-US"/>
        </a:p>
      </dgm:t>
    </dgm:pt>
    <dgm:pt modelId="{A4BB87A0-2770-49E4-B291-AD85F6383A6E}" cxnId="{FEAF3FEF-F531-462C-8A4A-C509CEE8FC64}" type="parTrans">
      <dgm:prSet/>
      <dgm:spPr/>
      <dgm:t>
        <a:bodyPr/>
        <a:p>
          <a:endParaRPr lang="zh-CN" altLang="en-US"/>
        </a:p>
      </dgm:t>
    </dgm:pt>
    <dgm:pt modelId="{2BA80D65-100B-41AE-82EF-D8BD447403A6}" cxnId="{FEAF3FEF-F531-462C-8A4A-C509CEE8FC64}" type="sibTrans">
      <dgm:prSet/>
      <dgm:spPr/>
      <dgm:t>
        <a:bodyPr/>
        <a:p>
          <a:endParaRPr lang="zh-CN" altLang="en-US"/>
        </a:p>
      </dgm:t>
    </dgm:pt>
    <dgm:pt modelId="{AF9181E3-C08C-4DC5-92F7-E41D64D1798A}">
      <dgm:prSet phldrT="[文本]"/>
      <dgm:spPr/>
      <dgm:t>
        <a:bodyPr/>
        <a:p>
          <a:r>
            <a:rPr lang="zh-CN" altLang="en-US" b="1"/>
            <a:t>中心</a:t>
          </a:r>
          <a:endParaRPr lang="en-US" altLang="zh-CN" b="1"/>
        </a:p>
        <a:p>
          <a:r>
            <a:rPr lang="zh-CN" altLang="en-US" b="1"/>
            <a:t>政务区</a:t>
          </a:r>
          <a:endParaRPr lang="zh-CN" altLang="en-US"/>
        </a:p>
      </dgm:t>
    </dgm:pt>
    <dgm:pt modelId="{7832898E-B66F-4DC9-B04A-6F7C9030828A}" cxnId="{83F21DE4-3BAD-4334-A765-D8CF17B86E55}" type="parTrans">
      <dgm:prSet/>
      <dgm:spPr/>
      <dgm:t>
        <a:bodyPr/>
        <a:p>
          <a:endParaRPr lang="zh-CN" altLang="en-US"/>
        </a:p>
      </dgm:t>
    </dgm:pt>
    <dgm:pt modelId="{DA057296-F04A-487E-95E4-398544768CB3}" cxnId="{83F21DE4-3BAD-4334-A765-D8CF17B86E55}" type="sibTrans">
      <dgm:prSet/>
      <dgm:spPr/>
      <dgm:t>
        <a:bodyPr/>
        <a:p>
          <a:endParaRPr lang="zh-CN" altLang="en-US"/>
        </a:p>
      </dgm:t>
    </dgm:pt>
    <dgm:pt modelId="{C4A6E5A7-261F-4E5C-A1C8-6CE93126B875}">
      <dgm:prSet phldrT="[文本]"/>
      <dgm:spPr/>
      <dgm:t>
        <a:bodyPr/>
        <a:p>
          <a:r>
            <a:rPr lang="zh-CN" altLang="en-US" b="1"/>
            <a:t>创意</a:t>
          </a:r>
          <a:endParaRPr lang="en-US" altLang="zh-CN" b="1"/>
        </a:p>
        <a:p>
          <a:r>
            <a:rPr lang="zh-CN" altLang="en-US" b="1"/>
            <a:t>产业区</a:t>
          </a:r>
          <a:endParaRPr lang="zh-CN" altLang="en-US"/>
        </a:p>
      </dgm:t>
    </dgm:pt>
    <dgm:pt modelId="{164D85E9-E102-44B7-8A29-C72C508D9164}" cxnId="{A104F040-048C-475B-B400-DE6479AD26A3}" type="parTrans">
      <dgm:prSet/>
      <dgm:spPr/>
      <dgm:t>
        <a:bodyPr/>
        <a:p>
          <a:endParaRPr lang="zh-CN" altLang="en-US"/>
        </a:p>
      </dgm:t>
    </dgm:pt>
    <dgm:pt modelId="{3083AC6A-DD6B-4CB4-9D8D-8D755F17E49A}" cxnId="{A104F040-048C-475B-B400-DE6479AD26A3}" type="sibTrans">
      <dgm:prSet/>
      <dgm:spPr/>
      <dgm:t>
        <a:bodyPr/>
        <a:p>
          <a:endParaRPr lang="zh-CN" altLang="en-US"/>
        </a:p>
      </dgm:t>
    </dgm:pt>
    <dgm:pt modelId="{D4B12EEA-147D-490E-A37F-9C33CE5B574A}">
      <dgm:prSet phldrT="[文本]"/>
      <dgm:spPr/>
      <dgm:t>
        <a:bodyPr/>
        <a:p>
          <a:r>
            <a:rPr lang="zh-CN" altLang="en-US"/>
            <a:t>生态宜居区</a:t>
          </a:r>
        </a:p>
      </dgm:t>
    </dgm:pt>
    <dgm:pt modelId="{D7218A85-53AB-40D0-826C-42BC47ADBF1B}" cxnId="{32AA2514-3D46-40C5-97E0-76A0035AACF4}" type="parTrans">
      <dgm:prSet/>
      <dgm:spPr/>
      <dgm:t>
        <a:bodyPr/>
        <a:p>
          <a:endParaRPr lang="zh-CN" altLang="en-US"/>
        </a:p>
      </dgm:t>
    </dgm:pt>
    <dgm:pt modelId="{332AA089-81CD-4FB6-A294-406C5B16BBA6}" cxnId="{32AA2514-3D46-40C5-97E0-76A0035AACF4}" type="sibTrans">
      <dgm:prSet/>
      <dgm:spPr/>
      <dgm:t>
        <a:bodyPr/>
        <a:p>
          <a:endParaRPr lang="zh-CN" altLang="en-US"/>
        </a:p>
      </dgm:t>
    </dgm:pt>
    <dgm:pt modelId="{D6516B30-80AE-4CA4-A415-080260BDDD3E}">
      <dgm:prSet phldrT="[文本]"/>
      <dgm:spPr/>
      <dgm:t>
        <a:bodyPr/>
        <a:p>
          <a:r>
            <a:rPr lang="zh-CN" altLang="en-US" b="1"/>
            <a:t>中心</a:t>
          </a:r>
          <a:endParaRPr lang="en-US" altLang="zh-CN" b="1"/>
        </a:p>
        <a:p>
          <a:r>
            <a:rPr lang="zh-CN" altLang="en-US" b="1"/>
            <a:t>商务区</a:t>
          </a:r>
          <a:endParaRPr lang="zh-CN" altLang="en-US"/>
        </a:p>
      </dgm:t>
    </dgm:pt>
    <dgm:pt modelId="{834A7D2A-4C86-404E-A239-0F98AD0346F0}" cxnId="{DA55E293-D755-4970-857D-E79C2B9701A4}" type="parTrans">
      <dgm:prSet/>
      <dgm:spPr/>
      <dgm:t>
        <a:bodyPr/>
        <a:p>
          <a:endParaRPr lang="zh-CN" altLang="en-US"/>
        </a:p>
      </dgm:t>
    </dgm:pt>
    <dgm:pt modelId="{8EB891FF-8962-4293-9A1C-801726E8CE48}" cxnId="{DA55E293-D755-4970-857D-E79C2B9701A4}" type="sibTrans">
      <dgm:prSet/>
      <dgm:spPr/>
      <dgm:t>
        <a:bodyPr/>
        <a:p>
          <a:endParaRPr lang="zh-CN" altLang="en-US"/>
        </a:p>
      </dgm:t>
    </dgm:pt>
    <dgm:pt modelId="{178E8B85-D7BA-4EC7-9E79-39BF3C48B5FF}">
      <dgm:prSet/>
      <dgm:spPr/>
      <dgm:t>
        <a:bodyPr/>
        <a:p>
          <a:r>
            <a:rPr lang="zh-CN" altLang="en-US" b="1"/>
            <a:t>创新创业区</a:t>
          </a:r>
        </a:p>
      </dgm:t>
    </dgm:pt>
    <dgm:pt modelId="{DF59BB42-EC46-4887-AA77-6A0A584800B6}" cxnId="{5C9CF36A-A046-4FCD-A802-3A1E77CF97C9}" type="parTrans">
      <dgm:prSet/>
      <dgm:spPr/>
      <dgm:t>
        <a:bodyPr/>
        <a:p>
          <a:endParaRPr lang="zh-CN" altLang="en-US"/>
        </a:p>
      </dgm:t>
    </dgm:pt>
    <dgm:pt modelId="{F65D947B-36F3-435E-AC33-4A363EEFE50A}" cxnId="{5C9CF36A-A046-4FCD-A802-3A1E77CF97C9}" type="sibTrans">
      <dgm:prSet/>
      <dgm:spPr/>
      <dgm:t>
        <a:bodyPr/>
        <a:p>
          <a:endParaRPr lang="zh-CN" altLang="en-US"/>
        </a:p>
      </dgm:t>
    </dgm:pt>
    <dgm:pt modelId="{FAEF2B01-5190-4739-8165-3C712E2D563C}" type="pres">
      <dgm:prSet presAssocID="{44398CE4-9491-4CC6-A54F-92E65B8F0AA6}" presName="Name0" presStyleCnt="0">
        <dgm:presLayoutVars>
          <dgm:chMax val="1"/>
          <dgm:dir/>
          <dgm:animLvl val="ctr"/>
          <dgm:resizeHandles val="exact"/>
        </dgm:presLayoutVars>
      </dgm:prSet>
      <dgm:spPr/>
      <dgm:t>
        <a:bodyPr/>
        <a:p>
          <a:endParaRPr lang="zh-CN" altLang="en-US"/>
        </a:p>
      </dgm:t>
    </dgm:pt>
    <dgm:pt modelId="{305310BD-6D98-46D8-9C04-0305CCA6B4EB}" type="pres">
      <dgm:prSet presAssocID="{6DA7C18C-3220-47B8-8CFC-D8DBB061C776}" presName="centerShape" presStyleLbl="node0" presStyleIdx="0" presStyleCnt="1"/>
      <dgm:spPr/>
      <dgm:t>
        <a:bodyPr/>
        <a:p>
          <a:endParaRPr lang="zh-CN" altLang="en-US"/>
        </a:p>
      </dgm:t>
    </dgm:pt>
    <dgm:pt modelId="{9204C7A6-3AFF-431A-B2B0-CF53EE6B5E02}" type="pres">
      <dgm:prSet presAssocID="{7832898E-B66F-4DC9-B04A-6F7C9030828A}" presName="parTrans" presStyleLbl="sibTrans2D1" presStyleIdx="0" presStyleCnt="5"/>
      <dgm:spPr/>
      <dgm:t>
        <a:bodyPr/>
        <a:p>
          <a:endParaRPr lang="zh-CN" altLang="en-US"/>
        </a:p>
      </dgm:t>
    </dgm:pt>
    <dgm:pt modelId="{64B5BD42-BC01-4360-992C-9631A9F1F9F6}" type="pres">
      <dgm:prSet presAssocID="{7832898E-B66F-4DC9-B04A-6F7C9030828A}" presName="connectorText" presStyleLbl="sibTrans2D1" presStyleIdx="0" presStyleCnt="5"/>
      <dgm:spPr/>
      <dgm:t>
        <a:bodyPr/>
        <a:p>
          <a:endParaRPr lang="zh-CN" altLang="en-US"/>
        </a:p>
      </dgm:t>
    </dgm:pt>
    <dgm:pt modelId="{138B9307-5223-4C8A-937C-7404E4876735}" type="pres">
      <dgm:prSet presAssocID="{AF9181E3-C08C-4DC5-92F7-E41D64D1798A}" presName="node" presStyleLbl="node1" presStyleIdx="0" presStyleCnt="5" custScaleX="142536">
        <dgm:presLayoutVars>
          <dgm:bulletEnabled val="1"/>
        </dgm:presLayoutVars>
      </dgm:prSet>
      <dgm:spPr/>
      <dgm:t>
        <a:bodyPr/>
        <a:p>
          <a:endParaRPr lang="zh-CN" altLang="en-US"/>
        </a:p>
      </dgm:t>
    </dgm:pt>
    <dgm:pt modelId="{EC571BF4-6389-47D7-BA0A-48211E44A271}" type="pres">
      <dgm:prSet presAssocID="{164D85E9-E102-44B7-8A29-C72C508D9164}" presName="parTrans" presStyleLbl="sibTrans2D1" presStyleIdx="1" presStyleCnt="5"/>
      <dgm:spPr/>
      <dgm:t>
        <a:bodyPr/>
        <a:p>
          <a:endParaRPr lang="zh-CN" altLang="en-US"/>
        </a:p>
      </dgm:t>
    </dgm:pt>
    <dgm:pt modelId="{20F85416-AF1E-40BC-836F-527A1CAD0E88}" type="pres">
      <dgm:prSet presAssocID="{164D85E9-E102-44B7-8A29-C72C508D9164}" presName="connectorText" presStyleLbl="sibTrans2D1" presStyleIdx="1" presStyleCnt="5"/>
      <dgm:spPr/>
      <dgm:t>
        <a:bodyPr/>
        <a:p>
          <a:endParaRPr lang="zh-CN" altLang="en-US"/>
        </a:p>
      </dgm:t>
    </dgm:pt>
    <dgm:pt modelId="{C4BA8031-8B6D-4C9F-AEB4-94DA5E3CAC79}" type="pres">
      <dgm:prSet presAssocID="{C4A6E5A7-261F-4E5C-A1C8-6CE93126B875}" presName="node" presStyleLbl="node1" presStyleIdx="1" presStyleCnt="5" custScaleX="131834">
        <dgm:presLayoutVars>
          <dgm:bulletEnabled val="1"/>
        </dgm:presLayoutVars>
      </dgm:prSet>
      <dgm:spPr/>
      <dgm:t>
        <a:bodyPr/>
        <a:p>
          <a:endParaRPr lang="zh-CN" altLang="en-US"/>
        </a:p>
      </dgm:t>
    </dgm:pt>
    <dgm:pt modelId="{E66FE24C-16C4-469E-AC54-DBA5028FC26D}" type="pres">
      <dgm:prSet presAssocID="{DF59BB42-EC46-4887-AA77-6A0A584800B6}" presName="parTrans" presStyleLbl="sibTrans2D1" presStyleIdx="2" presStyleCnt="5"/>
      <dgm:spPr/>
      <dgm:t>
        <a:bodyPr/>
        <a:p>
          <a:endParaRPr lang="zh-CN" altLang="en-US"/>
        </a:p>
      </dgm:t>
    </dgm:pt>
    <dgm:pt modelId="{BDDB109F-0708-4BA6-8454-5628BC1C6455}" type="pres">
      <dgm:prSet presAssocID="{DF59BB42-EC46-4887-AA77-6A0A584800B6}" presName="connectorText" presStyleLbl="sibTrans2D1" presStyleIdx="2" presStyleCnt="5"/>
      <dgm:spPr/>
      <dgm:t>
        <a:bodyPr/>
        <a:p>
          <a:endParaRPr lang="zh-CN" altLang="en-US"/>
        </a:p>
      </dgm:t>
    </dgm:pt>
    <dgm:pt modelId="{339CFB46-6225-4706-A618-3E066A8560E8}" type="pres">
      <dgm:prSet presAssocID="{178E8B85-D7BA-4EC7-9E79-39BF3C48B5FF}" presName="node" presStyleLbl="node1" presStyleIdx="2" presStyleCnt="5" custScaleX="130701">
        <dgm:presLayoutVars>
          <dgm:bulletEnabled val="1"/>
        </dgm:presLayoutVars>
      </dgm:prSet>
      <dgm:spPr/>
      <dgm:t>
        <a:bodyPr/>
        <a:p>
          <a:endParaRPr lang="zh-CN" altLang="en-US"/>
        </a:p>
      </dgm:t>
    </dgm:pt>
    <dgm:pt modelId="{998DC63C-732A-44C2-8019-C68317AFF563}" type="pres">
      <dgm:prSet presAssocID="{D7218A85-53AB-40D0-826C-42BC47ADBF1B}" presName="parTrans" presStyleLbl="sibTrans2D1" presStyleIdx="3" presStyleCnt="5"/>
      <dgm:spPr/>
      <dgm:t>
        <a:bodyPr/>
        <a:p>
          <a:endParaRPr lang="zh-CN" altLang="en-US"/>
        </a:p>
      </dgm:t>
    </dgm:pt>
    <dgm:pt modelId="{5ADA1F1B-D0B4-4384-973B-5619A3A5C357}" type="pres">
      <dgm:prSet presAssocID="{D7218A85-53AB-40D0-826C-42BC47ADBF1B}" presName="connectorText" presStyleLbl="sibTrans2D1" presStyleIdx="3" presStyleCnt="5"/>
      <dgm:spPr/>
      <dgm:t>
        <a:bodyPr/>
        <a:p>
          <a:endParaRPr lang="zh-CN" altLang="en-US"/>
        </a:p>
      </dgm:t>
    </dgm:pt>
    <dgm:pt modelId="{DC5BC33F-3606-4640-AA33-A8B076D916EC}" type="pres">
      <dgm:prSet presAssocID="{D4B12EEA-147D-490E-A37F-9C33CE5B574A}" presName="node" presStyleLbl="node1" presStyleIdx="3" presStyleCnt="5" custScaleX="138102">
        <dgm:presLayoutVars>
          <dgm:bulletEnabled val="1"/>
        </dgm:presLayoutVars>
      </dgm:prSet>
      <dgm:spPr/>
      <dgm:t>
        <a:bodyPr/>
        <a:p>
          <a:endParaRPr lang="zh-CN" altLang="en-US"/>
        </a:p>
      </dgm:t>
    </dgm:pt>
    <dgm:pt modelId="{C5FA95F2-1A37-48C8-B9D7-AFFECA0FB663}" type="pres">
      <dgm:prSet presAssocID="{834A7D2A-4C86-404E-A239-0F98AD0346F0}" presName="parTrans" presStyleLbl="sibTrans2D1" presStyleIdx="4" presStyleCnt="5"/>
      <dgm:spPr/>
      <dgm:t>
        <a:bodyPr/>
        <a:p>
          <a:endParaRPr lang="zh-CN" altLang="en-US"/>
        </a:p>
      </dgm:t>
    </dgm:pt>
    <dgm:pt modelId="{62C60104-DE36-4604-9EDA-D16483D760A1}" type="pres">
      <dgm:prSet presAssocID="{834A7D2A-4C86-404E-A239-0F98AD0346F0}" presName="connectorText" presStyleLbl="sibTrans2D1" presStyleIdx="4" presStyleCnt="5"/>
      <dgm:spPr/>
      <dgm:t>
        <a:bodyPr/>
        <a:p>
          <a:endParaRPr lang="zh-CN" altLang="en-US"/>
        </a:p>
      </dgm:t>
    </dgm:pt>
    <dgm:pt modelId="{C4B43ECF-F38F-4767-82DC-AB1E190FCA73}" type="pres">
      <dgm:prSet presAssocID="{D6516B30-80AE-4CA4-A415-080260BDDD3E}" presName="node" presStyleLbl="node1" presStyleIdx="4" presStyleCnt="5" custScaleX="141032">
        <dgm:presLayoutVars>
          <dgm:bulletEnabled val="1"/>
        </dgm:presLayoutVars>
      </dgm:prSet>
      <dgm:spPr/>
      <dgm:t>
        <a:bodyPr/>
        <a:p>
          <a:endParaRPr lang="zh-CN" altLang="en-US"/>
        </a:p>
      </dgm:t>
    </dgm:pt>
  </dgm:ptLst>
  <dgm:cxnLst>
    <dgm:cxn modelId="{FCBC4E85-A203-4B96-B9BE-6D255F85F1B0}" type="presOf" srcId="{D4B12EEA-147D-490E-A37F-9C33CE5B574A}" destId="{DC5BC33F-3606-4640-AA33-A8B076D916EC}" srcOrd="0" destOrd="0" presId="urn:microsoft.com/office/officeart/2005/8/layout/radial5"/>
    <dgm:cxn modelId="{83F21DE4-3BAD-4334-A765-D8CF17B86E55}" srcId="{6DA7C18C-3220-47B8-8CFC-D8DBB061C776}" destId="{AF9181E3-C08C-4DC5-92F7-E41D64D1798A}" srcOrd="0" destOrd="0" parTransId="{7832898E-B66F-4DC9-B04A-6F7C9030828A}" sibTransId="{DA057296-F04A-487E-95E4-398544768CB3}"/>
    <dgm:cxn modelId="{32AA2514-3D46-40C5-97E0-76A0035AACF4}" srcId="{6DA7C18C-3220-47B8-8CFC-D8DBB061C776}" destId="{D4B12EEA-147D-490E-A37F-9C33CE5B574A}" srcOrd="3" destOrd="0" parTransId="{D7218A85-53AB-40D0-826C-42BC47ADBF1B}" sibTransId="{332AA089-81CD-4FB6-A294-406C5B16BBA6}"/>
    <dgm:cxn modelId="{D751F0FD-A654-40E5-B513-665DDBF684EC}" type="presOf" srcId="{D7218A85-53AB-40D0-826C-42BC47ADBF1B}" destId="{5ADA1F1B-D0B4-4384-973B-5619A3A5C357}" srcOrd="1" destOrd="0" presId="urn:microsoft.com/office/officeart/2005/8/layout/radial5"/>
    <dgm:cxn modelId="{DA55E293-D755-4970-857D-E79C2B9701A4}" srcId="{6DA7C18C-3220-47B8-8CFC-D8DBB061C776}" destId="{D6516B30-80AE-4CA4-A415-080260BDDD3E}" srcOrd="4" destOrd="0" parTransId="{834A7D2A-4C86-404E-A239-0F98AD0346F0}" sibTransId="{8EB891FF-8962-4293-9A1C-801726E8CE48}"/>
    <dgm:cxn modelId="{FD03EF0A-2CE9-4575-9785-FC28BCB5D8B1}" type="presOf" srcId="{D7218A85-53AB-40D0-826C-42BC47ADBF1B}" destId="{998DC63C-732A-44C2-8019-C68317AFF563}" srcOrd="0" destOrd="0" presId="urn:microsoft.com/office/officeart/2005/8/layout/radial5"/>
    <dgm:cxn modelId="{EB7BE68E-D3C5-47D9-8F75-854581828CCE}" type="presOf" srcId="{DF59BB42-EC46-4887-AA77-6A0A584800B6}" destId="{BDDB109F-0708-4BA6-8454-5628BC1C6455}" srcOrd="1" destOrd="0" presId="urn:microsoft.com/office/officeart/2005/8/layout/radial5"/>
    <dgm:cxn modelId="{824BE084-C8C9-4B09-85E0-FF68A1160A7E}" type="presOf" srcId="{44398CE4-9491-4CC6-A54F-92E65B8F0AA6}" destId="{FAEF2B01-5190-4739-8165-3C712E2D563C}" srcOrd="0" destOrd="0" presId="urn:microsoft.com/office/officeart/2005/8/layout/radial5"/>
    <dgm:cxn modelId="{9A005301-5A31-473A-AF87-FAF4E7F389ED}" type="presOf" srcId="{178E8B85-D7BA-4EC7-9E79-39BF3C48B5FF}" destId="{339CFB46-6225-4706-A618-3E066A8560E8}" srcOrd="0" destOrd="0" presId="urn:microsoft.com/office/officeart/2005/8/layout/radial5"/>
    <dgm:cxn modelId="{22080C9E-A5D7-447C-BEE4-80CFC2CFB64A}" type="presOf" srcId="{D6516B30-80AE-4CA4-A415-080260BDDD3E}" destId="{C4B43ECF-F38F-4767-82DC-AB1E190FCA73}" srcOrd="0" destOrd="0" presId="urn:microsoft.com/office/officeart/2005/8/layout/radial5"/>
    <dgm:cxn modelId="{5C9CF36A-A046-4FCD-A802-3A1E77CF97C9}" srcId="{6DA7C18C-3220-47B8-8CFC-D8DBB061C776}" destId="{178E8B85-D7BA-4EC7-9E79-39BF3C48B5FF}" srcOrd="2" destOrd="0" parTransId="{DF59BB42-EC46-4887-AA77-6A0A584800B6}" sibTransId="{F65D947B-36F3-435E-AC33-4A363EEFE50A}"/>
    <dgm:cxn modelId="{A6CEBEB2-F1A9-4EA4-A71D-5826C2DC8373}" type="presOf" srcId="{C4A6E5A7-261F-4E5C-A1C8-6CE93126B875}" destId="{C4BA8031-8B6D-4C9F-AEB4-94DA5E3CAC79}" srcOrd="0" destOrd="0" presId="urn:microsoft.com/office/officeart/2005/8/layout/radial5"/>
    <dgm:cxn modelId="{1683BC63-88CF-4700-B595-1A09D04B02B4}" type="presOf" srcId="{7832898E-B66F-4DC9-B04A-6F7C9030828A}" destId="{9204C7A6-3AFF-431A-B2B0-CF53EE6B5E02}" srcOrd="0" destOrd="0" presId="urn:microsoft.com/office/officeart/2005/8/layout/radial5"/>
    <dgm:cxn modelId="{FEAF3FEF-F531-462C-8A4A-C509CEE8FC64}" srcId="{44398CE4-9491-4CC6-A54F-92E65B8F0AA6}" destId="{6DA7C18C-3220-47B8-8CFC-D8DBB061C776}" srcOrd="0" destOrd="0" parTransId="{A4BB87A0-2770-49E4-B291-AD85F6383A6E}" sibTransId="{2BA80D65-100B-41AE-82EF-D8BD447403A6}"/>
    <dgm:cxn modelId="{A104F040-048C-475B-B400-DE6479AD26A3}" srcId="{6DA7C18C-3220-47B8-8CFC-D8DBB061C776}" destId="{C4A6E5A7-261F-4E5C-A1C8-6CE93126B875}" srcOrd="1" destOrd="0" parTransId="{164D85E9-E102-44B7-8A29-C72C508D9164}" sibTransId="{3083AC6A-DD6B-4CB4-9D8D-8D755F17E49A}"/>
    <dgm:cxn modelId="{32B129EC-7779-4514-89F0-8D5B0484EE60}" type="presOf" srcId="{834A7D2A-4C86-404E-A239-0F98AD0346F0}" destId="{62C60104-DE36-4604-9EDA-D16483D760A1}" srcOrd="1" destOrd="0" presId="urn:microsoft.com/office/officeart/2005/8/layout/radial5"/>
    <dgm:cxn modelId="{E8CC4B12-B032-4E8F-BE40-089802BDBC55}" type="presOf" srcId="{164D85E9-E102-44B7-8A29-C72C508D9164}" destId="{EC571BF4-6389-47D7-BA0A-48211E44A271}" srcOrd="0" destOrd="0" presId="urn:microsoft.com/office/officeart/2005/8/layout/radial5"/>
    <dgm:cxn modelId="{9A879145-628D-46EA-BA0A-2D91809DA530}" type="presOf" srcId="{AF9181E3-C08C-4DC5-92F7-E41D64D1798A}" destId="{138B9307-5223-4C8A-937C-7404E4876735}" srcOrd="0" destOrd="0" presId="urn:microsoft.com/office/officeart/2005/8/layout/radial5"/>
    <dgm:cxn modelId="{29B5B6DD-8485-47FB-A95B-B2AF45B72EC7}" type="presOf" srcId="{834A7D2A-4C86-404E-A239-0F98AD0346F0}" destId="{C5FA95F2-1A37-48C8-B9D7-AFFECA0FB663}" srcOrd="0" destOrd="0" presId="urn:microsoft.com/office/officeart/2005/8/layout/radial5"/>
    <dgm:cxn modelId="{4A7BA7D6-0615-4886-A84B-4388F2B5C3C6}" type="presOf" srcId="{7832898E-B66F-4DC9-B04A-6F7C9030828A}" destId="{64B5BD42-BC01-4360-992C-9631A9F1F9F6}" srcOrd="1" destOrd="0" presId="urn:microsoft.com/office/officeart/2005/8/layout/radial5"/>
    <dgm:cxn modelId="{80C2D747-4731-4859-B236-4C2E76A85DF2}" type="presOf" srcId="{DF59BB42-EC46-4887-AA77-6A0A584800B6}" destId="{E66FE24C-16C4-469E-AC54-DBA5028FC26D}" srcOrd="0" destOrd="0" presId="urn:microsoft.com/office/officeart/2005/8/layout/radial5"/>
    <dgm:cxn modelId="{6246C5CF-BEE8-4923-9089-98009651CE54}" type="presOf" srcId="{6DA7C18C-3220-47B8-8CFC-D8DBB061C776}" destId="{305310BD-6D98-46D8-9C04-0305CCA6B4EB}" srcOrd="0" destOrd="0" presId="urn:microsoft.com/office/officeart/2005/8/layout/radial5"/>
    <dgm:cxn modelId="{417CF048-5E9C-4595-94C6-114F8A24203E}" type="presOf" srcId="{164D85E9-E102-44B7-8A29-C72C508D9164}" destId="{20F85416-AF1E-40BC-836F-527A1CAD0E88}" srcOrd="1" destOrd="0" presId="urn:microsoft.com/office/officeart/2005/8/layout/radial5"/>
    <dgm:cxn modelId="{A39B9B02-83C1-4745-B54A-4DDD569009F6}" type="presParOf" srcId="{FAEF2B01-5190-4739-8165-3C712E2D563C}" destId="{305310BD-6D98-46D8-9C04-0305CCA6B4EB}" srcOrd="0" destOrd="0" presId="urn:microsoft.com/office/officeart/2005/8/layout/radial5"/>
    <dgm:cxn modelId="{CBB674AD-172D-4C6E-9F59-47048E1209D0}" type="presParOf" srcId="{FAEF2B01-5190-4739-8165-3C712E2D563C}" destId="{9204C7A6-3AFF-431A-B2B0-CF53EE6B5E02}" srcOrd="1" destOrd="0" presId="urn:microsoft.com/office/officeart/2005/8/layout/radial5"/>
    <dgm:cxn modelId="{80C8062D-CC29-432A-8725-A8A35F01196E}" type="presParOf" srcId="{9204C7A6-3AFF-431A-B2B0-CF53EE6B5E02}" destId="{64B5BD42-BC01-4360-992C-9631A9F1F9F6}" srcOrd="0" destOrd="0" presId="urn:microsoft.com/office/officeart/2005/8/layout/radial5"/>
    <dgm:cxn modelId="{1A7DAE78-8383-486D-B710-F4A8F18C9205}" type="presParOf" srcId="{FAEF2B01-5190-4739-8165-3C712E2D563C}" destId="{138B9307-5223-4C8A-937C-7404E4876735}" srcOrd="2" destOrd="0" presId="urn:microsoft.com/office/officeart/2005/8/layout/radial5"/>
    <dgm:cxn modelId="{45CEB36B-522C-4461-B4EE-9FE612D93673}" type="presParOf" srcId="{FAEF2B01-5190-4739-8165-3C712E2D563C}" destId="{EC571BF4-6389-47D7-BA0A-48211E44A271}" srcOrd="3" destOrd="0" presId="urn:microsoft.com/office/officeart/2005/8/layout/radial5"/>
    <dgm:cxn modelId="{F1C3E748-EFA7-4D8F-A203-14769B871BAF}" type="presParOf" srcId="{EC571BF4-6389-47D7-BA0A-48211E44A271}" destId="{20F85416-AF1E-40BC-836F-527A1CAD0E88}" srcOrd="0" destOrd="0" presId="urn:microsoft.com/office/officeart/2005/8/layout/radial5"/>
    <dgm:cxn modelId="{86781C29-EE87-48AC-8D64-BE5B32BB9224}" type="presParOf" srcId="{FAEF2B01-5190-4739-8165-3C712E2D563C}" destId="{C4BA8031-8B6D-4C9F-AEB4-94DA5E3CAC79}" srcOrd="4" destOrd="0" presId="urn:microsoft.com/office/officeart/2005/8/layout/radial5"/>
    <dgm:cxn modelId="{9B5794B7-8276-4714-8403-E95F00FB1DBC}" type="presParOf" srcId="{FAEF2B01-5190-4739-8165-3C712E2D563C}" destId="{E66FE24C-16C4-469E-AC54-DBA5028FC26D}" srcOrd="5" destOrd="0" presId="urn:microsoft.com/office/officeart/2005/8/layout/radial5"/>
    <dgm:cxn modelId="{7CC1CCFB-9116-4BFA-9D3A-2C8E44B60B2E}" type="presParOf" srcId="{E66FE24C-16C4-469E-AC54-DBA5028FC26D}" destId="{BDDB109F-0708-4BA6-8454-5628BC1C6455}" srcOrd="0" destOrd="0" presId="urn:microsoft.com/office/officeart/2005/8/layout/radial5"/>
    <dgm:cxn modelId="{5D56E06E-B6FF-41E7-A0AA-848AF3728E3C}" type="presParOf" srcId="{FAEF2B01-5190-4739-8165-3C712E2D563C}" destId="{339CFB46-6225-4706-A618-3E066A8560E8}" srcOrd="6" destOrd="0" presId="urn:microsoft.com/office/officeart/2005/8/layout/radial5"/>
    <dgm:cxn modelId="{B2E7593C-B341-4B55-9E54-C3C15E7F9E3D}" type="presParOf" srcId="{FAEF2B01-5190-4739-8165-3C712E2D563C}" destId="{998DC63C-732A-44C2-8019-C68317AFF563}" srcOrd="7" destOrd="0" presId="urn:microsoft.com/office/officeart/2005/8/layout/radial5"/>
    <dgm:cxn modelId="{4502A88F-C105-4B92-876E-CF086A263001}" type="presParOf" srcId="{998DC63C-732A-44C2-8019-C68317AFF563}" destId="{5ADA1F1B-D0B4-4384-973B-5619A3A5C357}" srcOrd="0" destOrd="0" presId="urn:microsoft.com/office/officeart/2005/8/layout/radial5"/>
    <dgm:cxn modelId="{C3D634A9-7320-4F96-8CF7-C5966C297BB8}" type="presParOf" srcId="{FAEF2B01-5190-4739-8165-3C712E2D563C}" destId="{DC5BC33F-3606-4640-AA33-A8B076D916EC}" srcOrd="8" destOrd="0" presId="urn:microsoft.com/office/officeart/2005/8/layout/radial5"/>
    <dgm:cxn modelId="{4A431E35-7A6A-4D50-BE17-9CA7C74F899B}" type="presParOf" srcId="{FAEF2B01-5190-4739-8165-3C712E2D563C}" destId="{C5FA95F2-1A37-48C8-B9D7-AFFECA0FB663}" srcOrd="9" destOrd="0" presId="urn:microsoft.com/office/officeart/2005/8/layout/radial5"/>
    <dgm:cxn modelId="{58859388-D7EE-4169-AF4D-E8A15E279B53}" type="presParOf" srcId="{C5FA95F2-1A37-48C8-B9D7-AFFECA0FB663}" destId="{62C60104-DE36-4604-9EDA-D16483D760A1}" srcOrd="0" destOrd="0" presId="urn:microsoft.com/office/officeart/2005/8/layout/radial5"/>
    <dgm:cxn modelId="{05434F20-C40D-4D08-8D64-BEBF6A4E100C}" type="presParOf" srcId="{FAEF2B01-5190-4739-8165-3C712E2D563C}" destId="{C4B43ECF-F38F-4767-82DC-AB1E190FCA73}" srcOrd="10" destOrd="0" presId="urn:microsoft.com/office/officeart/2005/8/layout/radial5"/>
  </dgm:cxnLst>
  <dgm:bg/>
  <dgm:whole>
    <a:ln>
      <a:solidFill>
        <a:schemeClr val="accent1"/>
      </a:solidFill>
    </a:ln>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组合 1"/>
      <dsp:cNvGrpSpPr/>
    </dsp:nvGrpSpPr>
    <dsp:grpSpPr>
      <a:xfrm>
        <a:off x="0" y="0"/>
        <a:ext cx="5338445" cy="2138045"/>
        <a:chOff x="0" y="0"/>
        <a:chExt cx="5338445" cy="2138045"/>
      </a:xfrm>
    </dsp:grpSpPr>
    <dsp:sp modelId="{305310BD-6D98-46D8-9C04-0305CCA6B4EB}">
      <dsp:nvSpPr>
        <dsp:cNvPr id="3" name="椭圆 2"/>
        <dsp:cNvSpPr/>
      </dsp:nvSpPr>
      <dsp:spPr bwMode="white">
        <a:xfrm>
          <a:off x="2366608" y="847320"/>
          <a:ext cx="605229" cy="605229"/>
        </a:xfrm>
        <a:prstGeom prst="ellipse">
          <a:avLst/>
        </a:prstGeom>
      </dsp:spPr>
      <dsp:style>
        <a:lnRef idx="2">
          <a:schemeClr val="dk1">
            <a:shade val="80000"/>
          </a:schemeClr>
        </a:lnRef>
        <a:fillRef idx="1">
          <a:schemeClr val="lt1"/>
        </a:fillRef>
        <a:effectRef idx="0">
          <a:scrgbClr r="0" g="0" b="0"/>
        </a:effectRef>
        <a:fontRef idx="minor">
          <a:schemeClr val="lt1"/>
        </a:fontRef>
      </dsp:style>
      <dsp:txBody>
        <a:bodyPr lIns="8890" tIns="8890" rIns="8890" bIns="8890" anchor="ctr"/>
        <a:lstStyle>
          <a:lvl1pPr algn="ctr">
            <a:defRPr sz="700"/>
          </a:lvl1pPr>
          <a:lvl2pPr marL="57150" indent="-57150" algn="ctr">
            <a:defRPr sz="500"/>
          </a:lvl2pPr>
          <a:lvl3pPr marL="114300" indent="-57150" algn="ctr">
            <a:defRPr sz="500"/>
          </a:lvl3pPr>
          <a:lvl4pPr marL="171450" indent="-57150" algn="ctr">
            <a:defRPr sz="500"/>
          </a:lvl4pPr>
          <a:lvl5pPr marL="228600" indent="-57150" algn="ctr">
            <a:defRPr sz="500"/>
          </a:lvl5pPr>
          <a:lvl6pPr marL="285750" indent="-57150" algn="ctr">
            <a:defRPr sz="500"/>
          </a:lvl6pPr>
          <a:lvl7pPr marL="342900" indent="-57150" algn="ctr">
            <a:defRPr sz="500"/>
          </a:lvl7pPr>
          <a:lvl8pPr marL="400050" indent="-57150" algn="ctr">
            <a:defRPr sz="500"/>
          </a:lvl8pPr>
          <a:lvl9pPr marL="457200" indent="-57150" algn="ctr">
            <a:defRPr sz="500"/>
          </a:lvl9pPr>
        </a:lstStyle>
        <a:p>
          <a:pPr lvl="0">
            <a:lnSpc>
              <a:spcPct val="100000"/>
            </a:lnSpc>
            <a:spcBef>
              <a:spcPct val="0"/>
            </a:spcBef>
            <a:spcAft>
              <a:spcPct val="35000"/>
            </a:spcAft>
          </a:pPr>
          <a:r>
            <a:rPr lang="zh-CN" altLang="en-US" b="1">
              <a:solidFill>
                <a:schemeClr val="dk1"/>
              </a:solidFill>
            </a:rPr>
            <a:t>三井街道</a:t>
          </a:r>
          <a:endParaRPr lang="en-US" altLang="zh-CN" b="1">
            <a:solidFill>
              <a:schemeClr val="dk1"/>
            </a:solidFill>
          </a:endParaRPr>
        </a:p>
        <a:p>
          <a:pPr lvl="0">
            <a:lnSpc>
              <a:spcPct val="100000"/>
            </a:lnSpc>
            <a:spcBef>
              <a:spcPct val="0"/>
            </a:spcBef>
            <a:spcAft>
              <a:spcPct val="35000"/>
            </a:spcAft>
          </a:pPr>
          <a:r>
            <a:rPr lang="zh-CN" altLang="en-US" b="1">
              <a:solidFill>
                <a:schemeClr val="dk1"/>
              </a:solidFill>
            </a:rPr>
            <a:t>功能定位</a:t>
          </a:r>
          <a:endParaRPr lang="zh-CN" altLang="en-US">
            <a:solidFill>
              <a:schemeClr val="dk1"/>
            </a:solidFill>
          </a:endParaRPr>
        </a:p>
      </dsp:txBody>
      <dsp:txXfrm>
        <a:off x="2366608" y="847320"/>
        <a:ext cx="605229" cy="605229"/>
      </dsp:txXfrm>
    </dsp:sp>
    <dsp:sp modelId="{9204C7A6-3AFF-431A-B2B0-CF53EE6B5E02}">
      <dsp:nvSpPr>
        <dsp:cNvPr id="4" name="右箭头 3"/>
        <dsp:cNvSpPr/>
      </dsp:nvSpPr>
      <dsp:spPr bwMode="white">
        <a:xfrm rot="16199999">
          <a:off x="2605068" y="623385"/>
          <a:ext cx="128308" cy="205778"/>
        </a:xfrm>
        <a:prstGeom prst="rightArrow">
          <a:avLst>
            <a:gd name="adj1" fmla="val 60000"/>
            <a:gd name="adj2" fmla="val 50000"/>
          </a:avLst>
        </a:prstGeom>
      </dsp:spPr>
      <dsp:style>
        <a:lnRef idx="0">
          <a:schemeClr val="dk1">
            <a:tint val="60000"/>
          </a:schemeClr>
        </a:lnRef>
        <a:fillRef idx="1">
          <a:schemeClr val="dk1">
            <a:tint val="60000"/>
          </a:schemeClr>
        </a:fillRef>
        <a:effectRef idx="0">
          <a:scrgbClr r="0" g="0" b="0"/>
        </a:effectRef>
        <a:fontRef idx="minor">
          <a:schemeClr val="lt1"/>
        </a:fontRef>
      </dsp:style>
      <dsp:txBody>
        <a:bodyPr lIns="0" tIns="0" rIns="0" bIns="0" anchor="ctr"/>
        <a:lstStyle>
          <a:lvl1pPr algn="ctr">
            <a:defRPr sz="800"/>
          </a:lvl1pPr>
          <a:lvl2pPr marL="57150" indent="-57150" algn="ctr">
            <a:defRPr sz="600"/>
          </a:lvl2pPr>
          <a:lvl3pPr marL="114300" indent="-57150" algn="ctr">
            <a:defRPr sz="600"/>
          </a:lvl3pPr>
          <a:lvl4pPr marL="171450" indent="-57150" algn="ctr">
            <a:defRPr sz="600"/>
          </a:lvl4pPr>
          <a:lvl5pPr marL="228600" indent="-57150" algn="ctr">
            <a:defRPr sz="600"/>
          </a:lvl5pPr>
          <a:lvl6pPr marL="285750" indent="-57150" algn="ctr">
            <a:defRPr sz="600"/>
          </a:lvl6pPr>
          <a:lvl7pPr marL="342900" indent="-57150" algn="ctr">
            <a:defRPr sz="600"/>
          </a:lvl7pPr>
          <a:lvl8pPr marL="400050" indent="-57150" algn="ctr">
            <a:defRPr sz="600"/>
          </a:lvl8pPr>
          <a:lvl9pPr marL="457200" indent="-57150" algn="ctr">
            <a:defRPr sz="600"/>
          </a:lvl9pPr>
        </a:lstStyle>
        <a:p>
          <a:pPr lvl="0">
            <a:lnSpc>
              <a:spcPct val="100000"/>
            </a:lnSpc>
            <a:spcBef>
              <a:spcPct val="0"/>
            </a:spcBef>
            <a:spcAft>
              <a:spcPct val="35000"/>
            </a:spcAft>
          </a:pPr>
          <a:endParaRPr lang="zh-CN" altLang="en-US">
            <a:solidFill>
              <a:schemeClr val="dk1"/>
            </a:solidFill>
          </a:endParaRPr>
        </a:p>
      </dsp:txBody>
      <dsp:txXfrm rot="16199999">
        <a:off x="2605068" y="623385"/>
        <a:ext cx="128308" cy="205778"/>
      </dsp:txXfrm>
    </dsp:sp>
    <dsp:sp modelId="{138B9307-5223-4C8A-937C-7404E4876735}">
      <dsp:nvSpPr>
        <dsp:cNvPr id="5" name="椭圆 4"/>
        <dsp:cNvSpPr/>
      </dsp:nvSpPr>
      <dsp:spPr bwMode="white">
        <a:xfrm>
          <a:off x="2366608" y="0"/>
          <a:ext cx="605229" cy="605229"/>
        </a:xfrm>
        <a:prstGeom prst="ellipse">
          <a:avLst/>
        </a:prstGeom>
      </dsp:spPr>
      <dsp:style>
        <a:lnRef idx="2">
          <a:schemeClr val="dk1">
            <a:shade val="80000"/>
          </a:schemeClr>
        </a:lnRef>
        <a:fillRef idx="1">
          <a:schemeClr val="lt1"/>
        </a:fillRef>
        <a:effectRef idx="0">
          <a:scrgbClr r="0" g="0" b="0"/>
        </a:effectRef>
        <a:fontRef idx="minor">
          <a:schemeClr val="lt1"/>
        </a:fontRef>
      </dsp:style>
      <dsp:txBody>
        <a:bodyPr lIns="8890" tIns="8890" rIns="8890" bIns="8890" anchor="ctr"/>
        <a:lstStyle>
          <a:lvl1pPr algn="ctr">
            <a:defRPr sz="700"/>
          </a:lvl1pPr>
          <a:lvl2pPr marL="57150" indent="-57150" algn="ctr">
            <a:defRPr sz="500"/>
          </a:lvl2pPr>
          <a:lvl3pPr marL="114300" indent="-57150" algn="ctr">
            <a:defRPr sz="500"/>
          </a:lvl3pPr>
          <a:lvl4pPr marL="171450" indent="-57150" algn="ctr">
            <a:defRPr sz="500"/>
          </a:lvl4pPr>
          <a:lvl5pPr marL="228600" indent="-57150" algn="ctr">
            <a:defRPr sz="500"/>
          </a:lvl5pPr>
          <a:lvl6pPr marL="285750" indent="-57150" algn="ctr">
            <a:defRPr sz="500"/>
          </a:lvl6pPr>
          <a:lvl7pPr marL="342900" indent="-57150" algn="ctr">
            <a:defRPr sz="500"/>
          </a:lvl7pPr>
          <a:lvl8pPr marL="400050" indent="-57150" algn="ctr">
            <a:defRPr sz="500"/>
          </a:lvl8pPr>
          <a:lvl9pPr marL="457200" indent="-57150" algn="ctr">
            <a:defRPr sz="500"/>
          </a:lvl9pPr>
        </a:lstStyle>
        <a:p>
          <a:pPr lvl="0">
            <a:lnSpc>
              <a:spcPct val="100000"/>
            </a:lnSpc>
            <a:spcBef>
              <a:spcPct val="0"/>
            </a:spcBef>
            <a:spcAft>
              <a:spcPct val="35000"/>
            </a:spcAft>
          </a:pPr>
          <a:r>
            <a:rPr lang="zh-CN" altLang="en-US" b="1">
              <a:solidFill>
                <a:schemeClr val="dk1"/>
              </a:solidFill>
            </a:rPr>
            <a:t>中心</a:t>
          </a:r>
          <a:endParaRPr lang="en-US" altLang="zh-CN" b="1">
            <a:solidFill>
              <a:schemeClr val="dk1"/>
            </a:solidFill>
          </a:endParaRPr>
        </a:p>
        <a:p>
          <a:pPr lvl="0">
            <a:lnSpc>
              <a:spcPct val="100000"/>
            </a:lnSpc>
            <a:spcBef>
              <a:spcPct val="0"/>
            </a:spcBef>
            <a:spcAft>
              <a:spcPct val="35000"/>
            </a:spcAft>
          </a:pPr>
          <a:r>
            <a:rPr lang="zh-CN" altLang="en-US" b="1">
              <a:solidFill>
                <a:schemeClr val="dk1"/>
              </a:solidFill>
            </a:rPr>
            <a:t>政务区</a:t>
          </a:r>
          <a:endParaRPr lang="zh-CN" altLang="en-US">
            <a:solidFill>
              <a:schemeClr val="dk1"/>
            </a:solidFill>
          </a:endParaRPr>
        </a:p>
      </dsp:txBody>
      <dsp:txXfrm>
        <a:off x="2366608" y="0"/>
        <a:ext cx="605229" cy="605229"/>
      </dsp:txXfrm>
    </dsp:sp>
    <dsp:sp modelId="{EC571BF4-6389-47D7-BA0A-48211E44A271}">
      <dsp:nvSpPr>
        <dsp:cNvPr id="6" name="右箭头 5"/>
        <dsp:cNvSpPr/>
      </dsp:nvSpPr>
      <dsp:spPr bwMode="white">
        <a:xfrm rot="-1079999">
          <a:off x="3007993" y="916127"/>
          <a:ext cx="128308" cy="205778"/>
        </a:xfrm>
        <a:prstGeom prst="rightArrow">
          <a:avLst>
            <a:gd name="adj1" fmla="val 60000"/>
            <a:gd name="adj2" fmla="val 50000"/>
          </a:avLst>
        </a:prstGeom>
      </dsp:spPr>
      <dsp:style>
        <a:lnRef idx="0">
          <a:schemeClr val="dk1">
            <a:tint val="60000"/>
          </a:schemeClr>
        </a:lnRef>
        <a:fillRef idx="1">
          <a:schemeClr val="dk1">
            <a:tint val="60000"/>
          </a:schemeClr>
        </a:fillRef>
        <a:effectRef idx="0">
          <a:scrgbClr r="0" g="0" b="0"/>
        </a:effectRef>
        <a:fontRef idx="minor">
          <a:schemeClr val="lt1"/>
        </a:fontRef>
      </dsp:style>
      <dsp:txBody>
        <a:bodyPr lIns="0" tIns="0" rIns="0" bIns="0" anchor="ctr"/>
        <a:lstStyle>
          <a:lvl1pPr algn="ctr">
            <a:defRPr sz="800"/>
          </a:lvl1pPr>
          <a:lvl2pPr marL="57150" indent="-57150" algn="ctr">
            <a:defRPr sz="600"/>
          </a:lvl2pPr>
          <a:lvl3pPr marL="114300" indent="-57150" algn="ctr">
            <a:defRPr sz="600"/>
          </a:lvl3pPr>
          <a:lvl4pPr marL="171450" indent="-57150" algn="ctr">
            <a:defRPr sz="600"/>
          </a:lvl4pPr>
          <a:lvl5pPr marL="228600" indent="-57150" algn="ctr">
            <a:defRPr sz="600"/>
          </a:lvl5pPr>
          <a:lvl6pPr marL="285750" indent="-57150" algn="ctr">
            <a:defRPr sz="600"/>
          </a:lvl6pPr>
          <a:lvl7pPr marL="342900" indent="-57150" algn="ctr">
            <a:defRPr sz="600"/>
          </a:lvl7pPr>
          <a:lvl8pPr marL="400050" indent="-57150" algn="ctr">
            <a:defRPr sz="600"/>
          </a:lvl8pPr>
          <a:lvl9pPr marL="457200" indent="-57150" algn="ctr">
            <a:defRPr sz="600"/>
          </a:lvl9pPr>
        </a:lstStyle>
        <a:p>
          <a:pPr lvl="0">
            <a:lnSpc>
              <a:spcPct val="100000"/>
            </a:lnSpc>
            <a:spcBef>
              <a:spcPct val="0"/>
            </a:spcBef>
            <a:spcAft>
              <a:spcPct val="35000"/>
            </a:spcAft>
          </a:pPr>
          <a:endParaRPr lang="zh-CN" altLang="en-US">
            <a:solidFill>
              <a:schemeClr val="dk1"/>
            </a:solidFill>
          </a:endParaRPr>
        </a:p>
      </dsp:txBody>
      <dsp:txXfrm rot="-1079999">
        <a:off x="3007993" y="916127"/>
        <a:ext cx="128308" cy="205778"/>
      </dsp:txXfrm>
    </dsp:sp>
    <dsp:sp modelId="{C4BA8031-8B6D-4C9F-AEB4-94DA5E3CAC79}">
      <dsp:nvSpPr>
        <dsp:cNvPr id="7" name="椭圆 6"/>
        <dsp:cNvSpPr/>
      </dsp:nvSpPr>
      <dsp:spPr bwMode="white">
        <a:xfrm>
          <a:off x="3172457" y="585484"/>
          <a:ext cx="605229" cy="605229"/>
        </a:xfrm>
        <a:prstGeom prst="ellipse">
          <a:avLst/>
        </a:prstGeom>
      </dsp:spPr>
      <dsp:style>
        <a:lnRef idx="2">
          <a:schemeClr val="dk1">
            <a:shade val="80000"/>
          </a:schemeClr>
        </a:lnRef>
        <a:fillRef idx="1">
          <a:schemeClr val="lt1"/>
        </a:fillRef>
        <a:effectRef idx="0">
          <a:scrgbClr r="0" g="0" b="0"/>
        </a:effectRef>
        <a:fontRef idx="minor">
          <a:schemeClr val="lt1"/>
        </a:fontRef>
      </dsp:style>
      <dsp:txBody>
        <a:bodyPr lIns="8890" tIns="8890" rIns="8890" bIns="8890" anchor="ctr"/>
        <a:lstStyle>
          <a:lvl1pPr algn="ctr">
            <a:defRPr sz="700"/>
          </a:lvl1pPr>
          <a:lvl2pPr marL="57150" indent="-57150" algn="ctr">
            <a:defRPr sz="500"/>
          </a:lvl2pPr>
          <a:lvl3pPr marL="114300" indent="-57150" algn="ctr">
            <a:defRPr sz="500"/>
          </a:lvl3pPr>
          <a:lvl4pPr marL="171450" indent="-57150" algn="ctr">
            <a:defRPr sz="500"/>
          </a:lvl4pPr>
          <a:lvl5pPr marL="228600" indent="-57150" algn="ctr">
            <a:defRPr sz="500"/>
          </a:lvl5pPr>
          <a:lvl6pPr marL="285750" indent="-57150" algn="ctr">
            <a:defRPr sz="500"/>
          </a:lvl6pPr>
          <a:lvl7pPr marL="342900" indent="-57150" algn="ctr">
            <a:defRPr sz="500"/>
          </a:lvl7pPr>
          <a:lvl8pPr marL="400050" indent="-57150" algn="ctr">
            <a:defRPr sz="500"/>
          </a:lvl8pPr>
          <a:lvl9pPr marL="457200" indent="-57150" algn="ctr">
            <a:defRPr sz="500"/>
          </a:lvl9pPr>
        </a:lstStyle>
        <a:p>
          <a:pPr lvl="0">
            <a:lnSpc>
              <a:spcPct val="100000"/>
            </a:lnSpc>
            <a:spcBef>
              <a:spcPct val="0"/>
            </a:spcBef>
            <a:spcAft>
              <a:spcPct val="35000"/>
            </a:spcAft>
          </a:pPr>
          <a:r>
            <a:rPr lang="zh-CN" altLang="en-US" b="1">
              <a:solidFill>
                <a:schemeClr val="dk1"/>
              </a:solidFill>
            </a:rPr>
            <a:t>创意</a:t>
          </a:r>
          <a:endParaRPr lang="en-US" altLang="zh-CN" b="1">
            <a:solidFill>
              <a:schemeClr val="dk1"/>
            </a:solidFill>
          </a:endParaRPr>
        </a:p>
        <a:p>
          <a:pPr lvl="0">
            <a:lnSpc>
              <a:spcPct val="100000"/>
            </a:lnSpc>
            <a:spcBef>
              <a:spcPct val="0"/>
            </a:spcBef>
            <a:spcAft>
              <a:spcPct val="35000"/>
            </a:spcAft>
          </a:pPr>
          <a:r>
            <a:rPr lang="zh-CN" altLang="en-US" b="1">
              <a:solidFill>
                <a:schemeClr val="dk1"/>
              </a:solidFill>
            </a:rPr>
            <a:t>产业区</a:t>
          </a:r>
          <a:endParaRPr lang="zh-CN" altLang="en-US">
            <a:solidFill>
              <a:schemeClr val="dk1"/>
            </a:solidFill>
          </a:endParaRPr>
        </a:p>
      </dsp:txBody>
      <dsp:txXfrm>
        <a:off x="3172457" y="585484"/>
        <a:ext cx="605229" cy="605229"/>
      </dsp:txXfrm>
    </dsp:sp>
    <dsp:sp modelId="{E66FE24C-16C4-469E-AC54-DBA5028FC26D}">
      <dsp:nvSpPr>
        <dsp:cNvPr id="8" name="右箭头 7"/>
        <dsp:cNvSpPr/>
      </dsp:nvSpPr>
      <dsp:spPr bwMode="white">
        <a:xfrm rot="3239999">
          <a:off x="2854089" y="1389794"/>
          <a:ext cx="128308" cy="205778"/>
        </a:xfrm>
        <a:prstGeom prst="rightArrow">
          <a:avLst>
            <a:gd name="adj1" fmla="val 60000"/>
            <a:gd name="adj2" fmla="val 50000"/>
          </a:avLst>
        </a:prstGeom>
      </dsp:spPr>
      <dsp:style>
        <a:lnRef idx="0">
          <a:schemeClr val="dk1">
            <a:tint val="60000"/>
          </a:schemeClr>
        </a:lnRef>
        <a:fillRef idx="1">
          <a:schemeClr val="dk1">
            <a:tint val="60000"/>
          </a:schemeClr>
        </a:fillRef>
        <a:effectRef idx="0">
          <a:scrgbClr r="0" g="0" b="0"/>
        </a:effectRef>
        <a:fontRef idx="minor">
          <a:schemeClr val="lt1"/>
        </a:fontRef>
      </dsp:style>
      <dsp:txBody>
        <a:bodyPr lIns="0" tIns="0" rIns="0" bIns="0" anchor="ctr"/>
        <a:lstStyle>
          <a:lvl1pPr algn="ctr">
            <a:defRPr sz="800"/>
          </a:lvl1pPr>
          <a:lvl2pPr marL="57150" indent="-57150" algn="ctr">
            <a:defRPr sz="600"/>
          </a:lvl2pPr>
          <a:lvl3pPr marL="114300" indent="-57150" algn="ctr">
            <a:defRPr sz="600"/>
          </a:lvl3pPr>
          <a:lvl4pPr marL="171450" indent="-57150" algn="ctr">
            <a:defRPr sz="600"/>
          </a:lvl4pPr>
          <a:lvl5pPr marL="228600" indent="-57150" algn="ctr">
            <a:defRPr sz="600"/>
          </a:lvl5pPr>
          <a:lvl6pPr marL="285750" indent="-57150" algn="ctr">
            <a:defRPr sz="600"/>
          </a:lvl6pPr>
          <a:lvl7pPr marL="342900" indent="-57150" algn="ctr">
            <a:defRPr sz="600"/>
          </a:lvl7pPr>
          <a:lvl8pPr marL="400050" indent="-57150" algn="ctr">
            <a:defRPr sz="600"/>
          </a:lvl8pPr>
          <a:lvl9pPr marL="457200" indent="-57150" algn="ctr">
            <a:defRPr sz="600"/>
          </a:lvl9pPr>
        </a:lstStyle>
        <a:p>
          <a:pPr lvl="0">
            <a:lnSpc>
              <a:spcPct val="100000"/>
            </a:lnSpc>
            <a:spcBef>
              <a:spcPct val="0"/>
            </a:spcBef>
            <a:spcAft>
              <a:spcPct val="35000"/>
            </a:spcAft>
          </a:pPr>
          <a:endParaRPr lang="zh-CN" altLang="en-US">
            <a:solidFill>
              <a:schemeClr val="dk1"/>
            </a:solidFill>
          </a:endParaRPr>
        </a:p>
      </dsp:txBody>
      <dsp:txXfrm rot="3239999">
        <a:off x="2854089" y="1389794"/>
        <a:ext cx="128308" cy="205778"/>
      </dsp:txXfrm>
    </dsp:sp>
    <dsp:sp modelId="{339CFB46-6225-4706-A618-3E066A8560E8}">
      <dsp:nvSpPr>
        <dsp:cNvPr id="9" name="椭圆 8"/>
        <dsp:cNvSpPr/>
      </dsp:nvSpPr>
      <dsp:spPr bwMode="white">
        <a:xfrm>
          <a:off x="2864650" y="1532816"/>
          <a:ext cx="605229" cy="605229"/>
        </a:xfrm>
        <a:prstGeom prst="ellipse">
          <a:avLst/>
        </a:prstGeom>
      </dsp:spPr>
      <dsp:style>
        <a:lnRef idx="2">
          <a:schemeClr val="dk1">
            <a:shade val="80000"/>
          </a:schemeClr>
        </a:lnRef>
        <a:fillRef idx="1">
          <a:schemeClr val="lt1"/>
        </a:fillRef>
        <a:effectRef idx="0">
          <a:scrgbClr r="0" g="0" b="0"/>
        </a:effectRef>
        <a:fontRef idx="minor">
          <a:schemeClr val="lt1"/>
        </a:fontRef>
      </dsp:style>
      <dsp:txBody>
        <a:bodyPr lIns="8890" tIns="8890" rIns="8890" bIns="8890" anchor="ctr"/>
        <a:lstStyle>
          <a:lvl1pPr algn="ctr">
            <a:defRPr sz="700"/>
          </a:lvl1pPr>
          <a:lvl2pPr marL="57150" indent="-57150" algn="ctr">
            <a:defRPr sz="500"/>
          </a:lvl2pPr>
          <a:lvl3pPr marL="114300" indent="-57150" algn="ctr">
            <a:defRPr sz="500"/>
          </a:lvl3pPr>
          <a:lvl4pPr marL="171450" indent="-57150" algn="ctr">
            <a:defRPr sz="500"/>
          </a:lvl4pPr>
          <a:lvl5pPr marL="228600" indent="-57150" algn="ctr">
            <a:defRPr sz="500"/>
          </a:lvl5pPr>
          <a:lvl6pPr marL="285750" indent="-57150" algn="ctr">
            <a:defRPr sz="500"/>
          </a:lvl6pPr>
          <a:lvl7pPr marL="342900" indent="-57150" algn="ctr">
            <a:defRPr sz="500"/>
          </a:lvl7pPr>
          <a:lvl8pPr marL="400050" indent="-57150" algn="ctr">
            <a:defRPr sz="500"/>
          </a:lvl8pPr>
          <a:lvl9pPr marL="457200" indent="-57150" algn="ctr">
            <a:defRPr sz="500"/>
          </a:lvl9pPr>
        </a:lstStyle>
        <a:p>
          <a:pPr lvl="0">
            <a:lnSpc>
              <a:spcPct val="100000"/>
            </a:lnSpc>
            <a:spcBef>
              <a:spcPct val="0"/>
            </a:spcBef>
            <a:spcAft>
              <a:spcPct val="35000"/>
            </a:spcAft>
          </a:pPr>
          <a:r>
            <a:rPr lang="zh-CN" altLang="en-US" b="1">
              <a:solidFill>
                <a:schemeClr val="dk1"/>
              </a:solidFill>
            </a:rPr>
            <a:t>创新创业区</a:t>
          </a:r>
          <a:endParaRPr>
            <a:solidFill>
              <a:schemeClr val="dk1"/>
            </a:solidFill>
          </a:endParaRPr>
        </a:p>
      </dsp:txBody>
      <dsp:txXfrm>
        <a:off x="2864650" y="1532816"/>
        <a:ext cx="605229" cy="605229"/>
      </dsp:txXfrm>
    </dsp:sp>
    <dsp:sp modelId="{998DC63C-732A-44C2-8019-C68317AFF563}">
      <dsp:nvSpPr>
        <dsp:cNvPr id="10" name="右箭头 9"/>
        <dsp:cNvSpPr/>
      </dsp:nvSpPr>
      <dsp:spPr bwMode="white">
        <a:xfrm rot="7560000">
          <a:off x="2356047" y="1389794"/>
          <a:ext cx="128308" cy="205778"/>
        </a:xfrm>
        <a:prstGeom prst="rightArrow">
          <a:avLst>
            <a:gd name="adj1" fmla="val 60000"/>
            <a:gd name="adj2" fmla="val 50000"/>
          </a:avLst>
        </a:prstGeom>
      </dsp:spPr>
      <dsp:style>
        <a:lnRef idx="0">
          <a:schemeClr val="dk1">
            <a:tint val="60000"/>
          </a:schemeClr>
        </a:lnRef>
        <a:fillRef idx="1">
          <a:schemeClr val="dk1">
            <a:tint val="60000"/>
          </a:schemeClr>
        </a:fillRef>
        <a:effectRef idx="0">
          <a:scrgbClr r="0" g="0" b="0"/>
        </a:effectRef>
        <a:fontRef idx="minor">
          <a:schemeClr val="lt1"/>
        </a:fontRef>
      </dsp:style>
      <dsp:txBody>
        <a:bodyPr rot="10800000" lIns="0" tIns="0" rIns="0" bIns="0" anchor="ctr"/>
        <a:lstStyle>
          <a:lvl1pPr algn="ctr">
            <a:defRPr sz="800"/>
          </a:lvl1pPr>
          <a:lvl2pPr marL="57150" indent="-57150" algn="ctr">
            <a:defRPr sz="600"/>
          </a:lvl2pPr>
          <a:lvl3pPr marL="114300" indent="-57150" algn="ctr">
            <a:defRPr sz="600"/>
          </a:lvl3pPr>
          <a:lvl4pPr marL="171450" indent="-57150" algn="ctr">
            <a:defRPr sz="600"/>
          </a:lvl4pPr>
          <a:lvl5pPr marL="228600" indent="-57150" algn="ctr">
            <a:defRPr sz="600"/>
          </a:lvl5pPr>
          <a:lvl6pPr marL="285750" indent="-57150" algn="ctr">
            <a:defRPr sz="600"/>
          </a:lvl6pPr>
          <a:lvl7pPr marL="342900" indent="-57150" algn="ctr">
            <a:defRPr sz="600"/>
          </a:lvl7pPr>
          <a:lvl8pPr marL="400050" indent="-57150" algn="ctr">
            <a:defRPr sz="600"/>
          </a:lvl8pPr>
          <a:lvl9pPr marL="457200" indent="-57150" algn="ctr">
            <a:defRPr sz="600"/>
          </a:lvl9pPr>
        </a:lstStyle>
        <a:p>
          <a:pPr lvl="0">
            <a:lnSpc>
              <a:spcPct val="100000"/>
            </a:lnSpc>
            <a:spcBef>
              <a:spcPct val="0"/>
            </a:spcBef>
            <a:spcAft>
              <a:spcPct val="35000"/>
            </a:spcAft>
          </a:pPr>
          <a:endParaRPr lang="zh-CN" altLang="en-US">
            <a:solidFill>
              <a:schemeClr val="dk1"/>
            </a:solidFill>
          </a:endParaRPr>
        </a:p>
      </dsp:txBody>
      <dsp:txXfrm rot="7560000">
        <a:off x="2356047" y="1389794"/>
        <a:ext cx="128308" cy="205778"/>
      </dsp:txXfrm>
    </dsp:sp>
    <dsp:sp modelId="{DC5BC33F-3606-4640-AA33-A8B076D916EC}">
      <dsp:nvSpPr>
        <dsp:cNvPr id="11" name="椭圆 10"/>
        <dsp:cNvSpPr/>
      </dsp:nvSpPr>
      <dsp:spPr bwMode="white">
        <a:xfrm>
          <a:off x="1868566" y="1532816"/>
          <a:ext cx="605229" cy="605229"/>
        </a:xfrm>
        <a:prstGeom prst="ellipse">
          <a:avLst/>
        </a:prstGeom>
      </dsp:spPr>
      <dsp:style>
        <a:lnRef idx="2">
          <a:schemeClr val="dk1">
            <a:shade val="80000"/>
          </a:schemeClr>
        </a:lnRef>
        <a:fillRef idx="1">
          <a:schemeClr val="lt1"/>
        </a:fillRef>
        <a:effectRef idx="0">
          <a:scrgbClr r="0" g="0" b="0"/>
        </a:effectRef>
        <a:fontRef idx="minor">
          <a:schemeClr val="lt1"/>
        </a:fontRef>
      </dsp:style>
      <dsp:txBody>
        <a:bodyPr lIns="8890" tIns="8890" rIns="8890" bIns="8890" anchor="ctr"/>
        <a:lstStyle>
          <a:lvl1pPr algn="ctr">
            <a:defRPr sz="700"/>
          </a:lvl1pPr>
          <a:lvl2pPr marL="57150" indent="-57150" algn="ctr">
            <a:defRPr sz="500"/>
          </a:lvl2pPr>
          <a:lvl3pPr marL="114300" indent="-57150" algn="ctr">
            <a:defRPr sz="500"/>
          </a:lvl3pPr>
          <a:lvl4pPr marL="171450" indent="-57150" algn="ctr">
            <a:defRPr sz="500"/>
          </a:lvl4pPr>
          <a:lvl5pPr marL="228600" indent="-57150" algn="ctr">
            <a:defRPr sz="500"/>
          </a:lvl5pPr>
          <a:lvl6pPr marL="285750" indent="-57150" algn="ctr">
            <a:defRPr sz="500"/>
          </a:lvl6pPr>
          <a:lvl7pPr marL="342900" indent="-57150" algn="ctr">
            <a:defRPr sz="500"/>
          </a:lvl7pPr>
          <a:lvl8pPr marL="400050" indent="-57150" algn="ctr">
            <a:defRPr sz="500"/>
          </a:lvl8pPr>
          <a:lvl9pPr marL="457200" indent="-57150" algn="ctr">
            <a:defRPr sz="500"/>
          </a:lvl9pPr>
        </a:lstStyle>
        <a:p>
          <a:pPr lvl="0">
            <a:lnSpc>
              <a:spcPct val="100000"/>
            </a:lnSpc>
            <a:spcBef>
              <a:spcPct val="0"/>
            </a:spcBef>
            <a:spcAft>
              <a:spcPct val="35000"/>
            </a:spcAft>
          </a:pPr>
          <a:r>
            <a:rPr lang="zh-CN" altLang="en-US">
              <a:solidFill>
                <a:schemeClr val="dk1"/>
              </a:solidFill>
            </a:rPr>
            <a:t>生态宜居区</a:t>
          </a:r>
          <a:endParaRPr>
            <a:solidFill>
              <a:schemeClr val="dk1"/>
            </a:solidFill>
          </a:endParaRPr>
        </a:p>
      </dsp:txBody>
      <dsp:txXfrm>
        <a:off x="1868566" y="1532816"/>
        <a:ext cx="605229" cy="605229"/>
      </dsp:txXfrm>
    </dsp:sp>
    <dsp:sp modelId="{C5FA95F2-1A37-48C8-B9D7-AFFECA0FB663}">
      <dsp:nvSpPr>
        <dsp:cNvPr id="12" name="右箭头 11"/>
        <dsp:cNvSpPr/>
      </dsp:nvSpPr>
      <dsp:spPr bwMode="white">
        <a:xfrm rot="11880000">
          <a:off x="2202144" y="916127"/>
          <a:ext cx="128308" cy="205778"/>
        </a:xfrm>
        <a:prstGeom prst="rightArrow">
          <a:avLst>
            <a:gd name="adj1" fmla="val 60000"/>
            <a:gd name="adj2" fmla="val 50000"/>
          </a:avLst>
        </a:prstGeom>
      </dsp:spPr>
      <dsp:style>
        <a:lnRef idx="0">
          <a:schemeClr val="dk1">
            <a:tint val="60000"/>
          </a:schemeClr>
        </a:lnRef>
        <a:fillRef idx="1">
          <a:schemeClr val="dk1">
            <a:tint val="60000"/>
          </a:schemeClr>
        </a:fillRef>
        <a:effectRef idx="0">
          <a:scrgbClr r="0" g="0" b="0"/>
        </a:effectRef>
        <a:fontRef idx="minor">
          <a:schemeClr val="lt1"/>
        </a:fontRef>
      </dsp:style>
      <dsp:txBody>
        <a:bodyPr rot="10800000" lIns="0" tIns="0" rIns="0" bIns="0" anchor="ctr"/>
        <a:lstStyle>
          <a:lvl1pPr algn="ctr">
            <a:defRPr sz="800"/>
          </a:lvl1pPr>
          <a:lvl2pPr marL="57150" indent="-57150" algn="ctr">
            <a:defRPr sz="600"/>
          </a:lvl2pPr>
          <a:lvl3pPr marL="114300" indent="-57150" algn="ctr">
            <a:defRPr sz="600"/>
          </a:lvl3pPr>
          <a:lvl4pPr marL="171450" indent="-57150" algn="ctr">
            <a:defRPr sz="600"/>
          </a:lvl4pPr>
          <a:lvl5pPr marL="228600" indent="-57150" algn="ctr">
            <a:defRPr sz="600"/>
          </a:lvl5pPr>
          <a:lvl6pPr marL="285750" indent="-57150" algn="ctr">
            <a:defRPr sz="600"/>
          </a:lvl6pPr>
          <a:lvl7pPr marL="342900" indent="-57150" algn="ctr">
            <a:defRPr sz="600"/>
          </a:lvl7pPr>
          <a:lvl8pPr marL="400050" indent="-57150" algn="ctr">
            <a:defRPr sz="600"/>
          </a:lvl8pPr>
          <a:lvl9pPr marL="457200" indent="-57150" algn="ctr">
            <a:defRPr sz="600"/>
          </a:lvl9pPr>
        </a:lstStyle>
        <a:p>
          <a:pPr lvl="0">
            <a:lnSpc>
              <a:spcPct val="100000"/>
            </a:lnSpc>
            <a:spcBef>
              <a:spcPct val="0"/>
            </a:spcBef>
            <a:spcAft>
              <a:spcPct val="35000"/>
            </a:spcAft>
          </a:pPr>
          <a:endParaRPr lang="zh-CN" altLang="en-US">
            <a:solidFill>
              <a:schemeClr val="dk1"/>
            </a:solidFill>
          </a:endParaRPr>
        </a:p>
      </dsp:txBody>
      <dsp:txXfrm rot="11880000">
        <a:off x="2202144" y="916127"/>
        <a:ext cx="128308" cy="205778"/>
      </dsp:txXfrm>
    </dsp:sp>
    <dsp:sp modelId="{C4B43ECF-F38F-4767-82DC-AB1E190FCA73}">
      <dsp:nvSpPr>
        <dsp:cNvPr id="13" name="椭圆 12"/>
        <dsp:cNvSpPr/>
      </dsp:nvSpPr>
      <dsp:spPr bwMode="white">
        <a:xfrm>
          <a:off x="1560759" y="585484"/>
          <a:ext cx="605229" cy="605229"/>
        </a:xfrm>
        <a:prstGeom prst="ellipse">
          <a:avLst/>
        </a:prstGeom>
      </dsp:spPr>
      <dsp:style>
        <a:lnRef idx="2">
          <a:schemeClr val="dk1">
            <a:shade val="80000"/>
          </a:schemeClr>
        </a:lnRef>
        <a:fillRef idx="1">
          <a:schemeClr val="lt1"/>
        </a:fillRef>
        <a:effectRef idx="0">
          <a:scrgbClr r="0" g="0" b="0"/>
        </a:effectRef>
        <a:fontRef idx="minor">
          <a:schemeClr val="lt1"/>
        </a:fontRef>
      </dsp:style>
      <dsp:txBody>
        <a:bodyPr lIns="8890" tIns="8890" rIns="8890" bIns="8890" anchor="ctr"/>
        <a:lstStyle>
          <a:lvl1pPr algn="ctr">
            <a:defRPr sz="700"/>
          </a:lvl1pPr>
          <a:lvl2pPr marL="57150" indent="-57150" algn="ctr">
            <a:defRPr sz="500"/>
          </a:lvl2pPr>
          <a:lvl3pPr marL="114300" indent="-57150" algn="ctr">
            <a:defRPr sz="500"/>
          </a:lvl3pPr>
          <a:lvl4pPr marL="171450" indent="-57150" algn="ctr">
            <a:defRPr sz="500"/>
          </a:lvl4pPr>
          <a:lvl5pPr marL="228600" indent="-57150" algn="ctr">
            <a:defRPr sz="500"/>
          </a:lvl5pPr>
          <a:lvl6pPr marL="285750" indent="-57150" algn="ctr">
            <a:defRPr sz="500"/>
          </a:lvl6pPr>
          <a:lvl7pPr marL="342900" indent="-57150" algn="ctr">
            <a:defRPr sz="500"/>
          </a:lvl7pPr>
          <a:lvl8pPr marL="400050" indent="-57150" algn="ctr">
            <a:defRPr sz="500"/>
          </a:lvl8pPr>
          <a:lvl9pPr marL="457200" indent="-57150" algn="ctr">
            <a:defRPr sz="500"/>
          </a:lvl9pPr>
        </a:lstStyle>
        <a:p>
          <a:pPr lvl="0">
            <a:lnSpc>
              <a:spcPct val="100000"/>
            </a:lnSpc>
            <a:spcBef>
              <a:spcPct val="0"/>
            </a:spcBef>
            <a:spcAft>
              <a:spcPct val="35000"/>
            </a:spcAft>
          </a:pPr>
          <a:r>
            <a:rPr lang="zh-CN" altLang="en-US" b="1">
              <a:solidFill>
                <a:schemeClr val="dk1"/>
              </a:solidFill>
            </a:rPr>
            <a:t>中心</a:t>
          </a:r>
          <a:endParaRPr lang="en-US" altLang="zh-CN" b="1">
            <a:solidFill>
              <a:schemeClr val="dk1"/>
            </a:solidFill>
          </a:endParaRPr>
        </a:p>
        <a:p>
          <a:pPr lvl="0">
            <a:lnSpc>
              <a:spcPct val="100000"/>
            </a:lnSpc>
            <a:spcBef>
              <a:spcPct val="0"/>
            </a:spcBef>
            <a:spcAft>
              <a:spcPct val="35000"/>
            </a:spcAft>
          </a:pPr>
          <a:r>
            <a:rPr lang="zh-CN" altLang="en-US" b="1">
              <a:solidFill>
                <a:schemeClr val="dk1"/>
              </a:solidFill>
            </a:rPr>
            <a:t>商务区</a:t>
          </a:r>
          <a:endParaRPr lang="zh-CN" altLang="en-US">
            <a:solidFill>
              <a:schemeClr val="dk1"/>
            </a:solidFill>
          </a:endParaRPr>
        </a:p>
      </dsp:txBody>
      <dsp:txXfrm>
        <a:off x="1560759" y="585484"/>
        <a:ext cx="605229" cy="605229"/>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8285BF7-89F7-42E8-91F9-5A6994C09D5A}">
  <ds:schemaRefs/>
</ds:datastoreItem>
</file>

<file path=docProps/app.xml><?xml version="1.0" encoding="utf-8"?>
<Properties xmlns="http://schemas.openxmlformats.org/officeDocument/2006/extended-properties" xmlns:vt="http://schemas.openxmlformats.org/officeDocument/2006/docPropsVTypes">
  <Template>Normal.dotm</Template>
  <Pages>78</Pages>
  <Words>40100</Words>
  <Characters>41966</Characters>
  <Lines>312</Lines>
  <Paragraphs>88</Paragraphs>
  <TotalTime>2</TotalTime>
  <ScaleCrop>false</ScaleCrop>
  <LinksUpToDate>false</LinksUpToDate>
  <CharactersWithSpaces>42265</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2016-05-10T08:43:00Z</dcterms:created>
  <dc:creator>jhonia</dc:creator>
  <cp:lastModifiedBy>丹丹</cp:lastModifiedBy>
  <dcterms:modified xsi:type="dcterms:W3CDTF">2024-08-22T01:44:02Z</dcterms:modified>
  <dc:title>三井街道社区建设和管理</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08EB596D610343488E04ADE8FE69A65A_12</vt:lpwstr>
  </property>
</Properties>
</file>