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5D0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rPr>
        <w:t>附件2</w:t>
      </w:r>
    </w:p>
    <w:p w14:paraId="3A8B70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14:paraId="1FE68A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44"/>
          <w:szCs w:val="44"/>
        </w:rPr>
      </w:pPr>
      <w:r>
        <w:rPr>
          <w:rFonts w:hint="eastAsia" w:ascii="方正小标宋简体" w:eastAsia="方正小标宋简体"/>
          <w:b/>
          <w:sz w:val="44"/>
          <w:szCs w:val="44"/>
        </w:rPr>
        <w:t>202</w:t>
      </w:r>
      <w:r>
        <w:rPr>
          <w:rFonts w:hint="eastAsia" w:ascii="方正小标宋简体" w:eastAsia="方正小标宋简体"/>
          <w:b/>
          <w:sz w:val="44"/>
          <w:szCs w:val="44"/>
          <w:lang w:val="en-US" w:eastAsia="zh-CN"/>
        </w:rPr>
        <w:t>4</w:t>
      </w:r>
      <w:r>
        <w:rPr>
          <w:rFonts w:hint="eastAsia" w:ascii="方正小标宋简体" w:hAnsi="华文中宋" w:eastAsia="方正小标宋简体"/>
          <w:sz w:val="44"/>
          <w:szCs w:val="44"/>
        </w:rPr>
        <w:t>年常州市</w:t>
      </w:r>
      <w:r>
        <w:rPr>
          <w:rFonts w:hint="eastAsia" w:ascii="方正小标宋简体" w:hAnsi="华文中宋" w:eastAsia="方正小标宋简体"/>
          <w:sz w:val="44"/>
          <w:szCs w:val="44"/>
          <w:lang w:eastAsia="zh-CN"/>
        </w:rPr>
        <w:t>新北区</w:t>
      </w:r>
      <w:r>
        <w:rPr>
          <w:rFonts w:hint="eastAsia" w:ascii="方正小标宋简体" w:hAnsi="华文中宋" w:eastAsia="方正小标宋简体"/>
          <w:sz w:val="44"/>
          <w:szCs w:val="44"/>
        </w:rPr>
        <w:t>学生常见病和健康影响</w:t>
      </w:r>
    </w:p>
    <w:p w14:paraId="2AFB6C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因素监测与干预工作方案</w:t>
      </w:r>
    </w:p>
    <w:p w14:paraId="0BFB12C1">
      <w:pPr>
        <w:spacing w:line="500" w:lineRule="exact"/>
        <w:jc w:val="center"/>
        <w:rPr>
          <w:rFonts w:hint="eastAsia"/>
          <w:sz w:val="32"/>
          <w:szCs w:val="32"/>
        </w:rPr>
      </w:pPr>
    </w:p>
    <w:p w14:paraId="21FC1B1C">
      <w:pPr>
        <w:keepNext w:val="0"/>
        <w:keepLines w:val="0"/>
        <w:pageBreakBefore w:val="0"/>
        <w:kinsoku/>
        <w:wordWrap/>
        <w:overflowPunct/>
        <w:topLinePunct w:val="0"/>
        <w:autoSpaceDE/>
        <w:autoSpaceDN/>
        <w:bidi w:val="0"/>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一、监测目的</w:t>
      </w:r>
    </w:p>
    <w:p w14:paraId="0D89F68B">
      <w:pPr>
        <w:keepNext w:val="0"/>
        <w:keepLines w:val="0"/>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为认真贯彻落实习近平总书记关于儿童青少年近视防控等工作的重要指示精神，根据国家、省相关工作要求，202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年继续实施学生常见病和健康影响因素监测与干预工作。依托江苏省学生常见病和健康影响因素监测平台，掌握儿童青少年近视、肥胖、心理健康和脊柱弯曲异常等学生常见病和健康影响因素情况，为</w:t>
      </w:r>
      <w:r>
        <w:rPr>
          <w:rFonts w:hint="eastAsia" w:ascii="仿宋_GB2312" w:hAnsi="仿宋_GB2312" w:eastAsia="仿宋_GB2312" w:cs="仿宋_GB2312"/>
          <w:spacing w:val="-6"/>
          <w:sz w:val="32"/>
          <w:szCs w:val="32"/>
        </w:rPr>
        <w:t>进一步采取针对性干预措施提供依据，保障和促进儿童青少年健康。</w:t>
      </w:r>
    </w:p>
    <w:p w14:paraId="5D659177">
      <w:pPr>
        <w:keepNext w:val="0"/>
        <w:keepLines w:val="0"/>
        <w:pageBreakBefore w:val="0"/>
        <w:kinsoku/>
        <w:wordWrap/>
        <w:overflowPunct/>
        <w:topLinePunct w:val="0"/>
        <w:autoSpaceDE/>
        <w:autoSpaceDN/>
        <w:bidi w:val="0"/>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二、学生常见病和健康影响因素监测范围</w:t>
      </w:r>
    </w:p>
    <w:p w14:paraId="53D23EAC">
      <w:pPr>
        <w:keepNext w:val="0"/>
        <w:keepLines w:val="0"/>
        <w:pageBreakBefore w:val="0"/>
        <w:kinsoku/>
        <w:wordWrap/>
        <w:overflowPunct/>
        <w:topLinePunct w:val="0"/>
        <w:autoSpaceDE/>
        <w:autoSpaceDN/>
        <w:bidi w:val="0"/>
        <w:spacing w:line="560" w:lineRule="exact"/>
        <w:ind w:left="0" w:leftChars="0" w:firstLine="640" w:firstLineChars="200"/>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（一）监测学校</w:t>
      </w:r>
    </w:p>
    <w:p w14:paraId="7C74C5CB">
      <w:pPr>
        <w:keepNext w:val="0"/>
        <w:keepLines w:val="0"/>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监测学校名单详见附件3。</w:t>
      </w:r>
    </w:p>
    <w:p w14:paraId="7BD9DED5">
      <w:pPr>
        <w:keepNext w:val="0"/>
        <w:keepLines w:val="0"/>
        <w:pageBreakBefore w:val="0"/>
        <w:kinsoku/>
        <w:wordWrap/>
        <w:overflowPunct/>
        <w:topLinePunct w:val="0"/>
        <w:autoSpaceDE/>
        <w:autoSpaceDN/>
        <w:bidi w:val="0"/>
        <w:spacing w:line="560" w:lineRule="exact"/>
        <w:ind w:left="0" w:leftChars="0" w:firstLine="640" w:firstLineChars="200"/>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（二）监测学生选择</w:t>
      </w:r>
    </w:p>
    <w:p w14:paraId="0DBEDD53">
      <w:pPr>
        <w:keepNext w:val="0"/>
        <w:keepLines w:val="0"/>
        <w:pageBreakBefore w:val="0"/>
        <w:widowControl/>
        <w:kinsoku/>
        <w:wordWrap/>
        <w:overflowPunct/>
        <w:topLinePunct w:val="0"/>
        <w:autoSpaceDE/>
        <w:autoSpaceDN/>
        <w:bidi w:val="0"/>
        <w:spacing w:line="560" w:lineRule="exact"/>
        <w:ind w:left="0" w:leftChars="0"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在被选取小学、初中和高中（含职高，下同）学校各年级，高校一到三年级每个年级随机抽取2个及以上班级，被抽取班级全体学生参加监测，确保每个年级至少80人。幼儿园大班5岁半到6岁半学生80人。</w:t>
      </w:r>
    </w:p>
    <w:p w14:paraId="0E942DE9">
      <w:pPr>
        <w:keepNext w:val="0"/>
        <w:keepLines w:val="0"/>
        <w:pageBreakBefore w:val="0"/>
        <w:kinsoku/>
        <w:wordWrap/>
        <w:overflowPunct/>
        <w:topLinePunct w:val="0"/>
        <w:autoSpaceDE/>
        <w:autoSpaceDN/>
        <w:bidi w:val="0"/>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三、监测内容和方法</w:t>
      </w:r>
    </w:p>
    <w:p w14:paraId="49C2E5F6">
      <w:pPr>
        <w:keepNext w:val="0"/>
        <w:keepLines w:val="0"/>
        <w:pageBreakBefore w:val="0"/>
        <w:kinsoku/>
        <w:wordWrap/>
        <w:overflowPunct/>
        <w:topLinePunct w:val="0"/>
        <w:autoSpaceDE/>
        <w:autoSpaceDN/>
        <w:bidi w:val="0"/>
        <w:spacing w:line="560" w:lineRule="exact"/>
        <w:ind w:left="0" w:leftChars="0"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（一）学校卫生工作基本情况监测</w:t>
      </w:r>
    </w:p>
    <w:p w14:paraId="1DB7A3C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1.学校卫生工作开展情况。调查对象为区卫生健康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/疾控局、教育局和疾控中心。查阅日常工作文件和统计报表，填报当地卫生健康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/疾控局、教育局、疾控中心学校卫生机构设置、专业人员配备、经费投入、部门协作和信息化建设情况，以及当地学生主要健康问题和</w:t>
      </w:r>
      <w:r>
        <w:rPr>
          <w:rFonts w:hint="eastAsia" w:ascii="仿宋_GB2312" w:hAnsi="仿宋_GB2312" w:eastAsia="仿宋_GB2312" w:cs="仿宋_GB2312"/>
          <w:sz w:val="32"/>
          <w:szCs w:val="32"/>
          <w:lang w:eastAsia="zh-CN"/>
        </w:rPr>
        <w:t>干预</w:t>
      </w:r>
      <w:r>
        <w:rPr>
          <w:rFonts w:hint="eastAsia" w:ascii="仿宋_GB2312" w:hAnsi="仿宋_GB2312" w:eastAsia="仿宋_GB2312" w:cs="仿宋_GB2312"/>
          <w:sz w:val="32"/>
          <w:szCs w:val="32"/>
        </w:rPr>
        <w:t>行动开展情况等。由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/疾控局组织协调有关人员填写。</w:t>
      </w:r>
    </w:p>
    <w:p w14:paraId="29CD860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2.中小学校卫生工</w:t>
      </w:r>
      <w:bookmarkStart w:id="0" w:name="_GoBack"/>
      <w:bookmarkEnd w:id="0"/>
      <w:r>
        <w:rPr>
          <w:rFonts w:hint="eastAsia" w:ascii="仿宋_GB2312" w:hAnsi="仿宋_GB2312" w:eastAsia="仿宋_GB2312" w:cs="仿宋_GB2312"/>
          <w:sz w:val="32"/>
          <w:szCs w:val="32"/>
        </w:rPr>
        <w:t>作开展情况。调查对象为</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参加学生常见病监测的中小学校。内容包括学校卫生工作及人员管理、学生健康体检、健康教育、学生常见病及传染病防控、学校体育活动、食品营养管理、教学生活环境卫生和学习用品监测以及干预行动开展情况等。由中小学校相关人员填写，高校不用填写。</w:t>
      </w:r>
    </w:p>
    <w:p w14:paraId="669555E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3.中小学校教学生活环境卫生监测。对象为</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参加学生常见病监测的中小学校。内容包括生活环境卫生状况和教学环境卫生状况。其中，生活环境卫生状况采用实地调查方法，了解学校饮用水、食堂、厕所、宿舍等环境中的卫生设施配备情况和各项规章制度的落实情况。教学环境卫生采用现场检测方法，要求每所监测学校随机选择6间有代表性班级教室，对教室人均面积、课桌椅、黑板、采光、照明及噪声等方面开展现场检测，评估学校教学环境卫生状况，对未达到国家标准要求的问题提出整改建议。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疾控中心学校卫生工作人员赴监测学校实地调查和现场检测后填写。</w:t>
      </w:r>
    </w:p>
    <w:p w14:paraId="15B94355">
      <w:pPr>
        <w:keepNext w:val="0"/>
        <w:keepLines w:val="0"/>
        <w:pageBreakBefore w:val="0"/>
        <w:kinsoku/>
        <w:wordWrap/>
        <w:overflowPunct/>
        <w:topLinePunct w:val="0"/>
        <w:autoSpaceDE/>
        <w:autoSpaceDN/>
        <w:bidi w:val="0"/>
        <w:spacing w:line="560" w:lineRule="exact"/>
        <w:ind w:left="0" w:leftChars="0"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（二）学生常见病监测</w:t>
      </w:r>
    </w:p>
    <w:p w14:paraId="348172A6">
      <w:pPr>
        <w:keepNext w:val="0"/>
        <w:keepLines w:val="0"/>
        <w:pageBreakBefore w:val="0"/>
        <w:widowControl/>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由学校负责人采集监测学生电子信息并导入监测信息录入系统；</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/疾控局协调组织人员对监测学生进行体格检查；由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疾控中心对现场体格检查进行技术指导。监测内容包括视力不良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含近视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超重肥胖、营养不足、脊柱弯曲异常、血压偏高和龋病等学生常见病。</w:t>
      </w:r>
    </w:p>
    <w:p w14:paraId="7707E7D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1.幼儿园大班监测内容：视力不良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含近视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，每所幼儿园至少抽取80名5岁半至6岁半儿童，不足部分由附近同等类型幼儿园或小学补充。</w:t>
      </w:r>
    </w:p>
    <w:p w14:paraId="1C664186">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2.小学、初中和高中所有年级监测内容：视力不良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含近视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、超重肥胖、营养不足、脊柱弯曲异常、血压偏高、龋病等学生常见病和生长发育情况。各年级以整班为单位，每个年级至少80名学生，每所小学至少抽取480名学生，每所初中、高中至少抽取240名学生。</w:t>
      </w:r>
    </w:p>
    <w:p w14:paraId="236E070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3.高校一至三年级监测内容：视力不良、超重肥胖、营养不足、血压偏高和龋病等学生常见病和生长发育情况，每所高校至少抽取240名学生。</w:t>
      </w:r>
    </w:p>
    <w:p w14:paraId="1FAA38B9">
      <w:pPr>
        <w:keepNext w:val="0"/>
        <w:keepLines w:val="0"/>
        <w:pageBreakBefore w:val="0"/>
        <w:kinsoku/>
        <w:wordWrap/>
        <w:overflowPunct/>
        <w:topLinePunct w:val="0"/>
        <w:autoSpaceDE/>
        <w:autoSpaceDN/>
        <w:bidi w:val="0"/>
        <w:spacing w:line="560" w:lineRule="exact"/>
        <w:ind w:left="0" w:leftChars="0"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（三）影响学生健康的行为等相关影响因素监测</w:t>
      </w:r>
    </w:p>
    <w:p w14:paraId="6C1E806D">
      <w:pPr>
        <w:keepNext w:val="0"/>
        <w:keepLines w:val="0"/>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监测对象为小学四至六年级，初中、高中和高校一至三年级学生，各年级以整班为单位，每个年级至少80名学生，每所学校至少抽取240名学生开展匿名自填问卷调查。</w:t>
      </w:r>
    </w:p>
    <w:p w14:paraId="712D245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康危险行为专项调查：调查学生因病缺课和休学情况，饮食和运动行为，伤害相关行为，烟草、酒精、毒品等物质滥用行为，日常卫生行为习惯，青春期健康相关行为，网络成瘾、抑郁和焦虑等心理健康问题等。针对儿童青少年近视高发状况以及脊柱弯曲异常严重情况，调查与之密切相关的行为和环境因素，包括学生校内外用眼、读写姿势、电子屏幕使用、近距离用眼习惯、户外活动及睡眠、近视检查及矫正、脊柱弯曲异常相关行为等。</w:t>
      </w:r>
    </w:p>
    <w:p w14:paraId="0D544756">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四、学生常见病防控干预</w:t>
      </w:r>
    </w:p>
    <w:p w14:paraId="1E718A7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（一）干预对象和范围。</w:t>
      </w:r>
      <w:r>
        <w:rPr>
          <w:rFonts w:hint="eastAsia" w:ascii="仿宋_GB2312" w:hAnsi="仿宋_GB2312" w:eastAsia="仿宋_GB2312" w:cs="仿宋_GB2312"/>
          <w:sz w:val="32"/>
          <w:szCs w:val="32"/>
        </w:rPr>
        <w:t>干预范围覆盖</w:t>
      </w:r>
      <w:r>
        <w:rPr>
          <w:rFonts w:hint="eastAsia" w:ascii="仿宋_GB2312" w:hAnsi="仿宋_GB2312" w:eastAsia="仿宋_GB2312" w:cs="仿宋_GB2312"/>
          <w:sz w:val="32"/>
          <w:szCs w:val="32"/>
          <w:lang w:eastAsia="zh-CN"/>
        </w:rPr>
        <w:t>新北区所有街道</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，针对监测中发现的学生主要健康问题，在学生、学校、家庭和社区中持续开展学生常见病防控干预行动。</w:t>
      </w:r>
    </w:p>
    <w:p w14:paraId="01711A7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sz w:val="32"/>
          <w:szCs w:val="32"/>
        </w:rPr>
        <w:t>（二）干预内容和方法。</w:t>
      </w:r>
      <w:r>
        <w:rPr>
          <w:rFonts w:hint="eastAsia" w:ascii="仿宋_GB2312" w:hAnsi="仿宋_GB2312" w:eastAsia="仿宋_GB2312" w:cs="仿宋_GB2312"/>
          <w:sz w:val="32"/>
          <w:szCs w:val="32"/>
        </w:rPr>
        <w:t>成立综合防控学生常见病工作组，统筹各方资源，以全国爱眼日、全国爱耳日、全国爱牙日、学生营养日等健康主题宣传日为契机，以近视、肥胖、心理健康、脊柱弯曲异常等学生常见病防控为重点，以《儿童青少年近视防控公共卫生综合干预技术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儿童青少年近视防控适宜技术指南（更新版）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儿童青少年肥胖防控实施方案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全面加强和改进新时代学生心理健康工作专项行动计划（2023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年）》和《儿童青少年脊柱弯曲异常防控技术指南》等学校卫生政策和指南为指导，继续深化开展专家进校园、学校卫生标准和指南普及、中小学生健康月、学校教学生活环境改善、健康父母、重点人群关爱行动等六大行动，推动全市儿童青少年近视、肥胖、心理健康、脊柱弯曲异常、龋病等学生常见病防控工作开展。</w:t>
      </w:r>
    </w:p>
    <w:p w14:paraId="7F889C8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1.专家进校园行动。成立学生常见病巡讲专家组，并实施动态管理。</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部门统筹卫生资源，协调包括临床、公共卫生、疾控、妇幼、口腔、眼视光等专业技术人员在内的各级学生常见病巡讲专家组，逐级开展师资培训；定期组织巡讲专家入校对学生常见病防控工作进行技术指导，开展传染病、近视、肥胖、心理健康、脊柱弯曲异常和龋病等学生常见病防控知识和技能宣讲，引导学生形成自主自律的健康生活方式。对学校校医、保健老师、健康教育人员、体育教师、后勤和餐饮相关人员进行培训，提高其业务知识和技能水平。</w:t>
      </w:r>
    </w:p>
    <w:p w14:paraId="4FE89318">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color w:val="0070C0"/>
          <w:sz w:val="32"/>
          <w:szCs w:val="32"/>
        </w:rPr>
      </w:pPr>
      <w:r>
        <w:rPr>
          <w:rFonts w:hint="eastAsia" w:ascii="仿宋_GB2312" w:hAnsi="仿宋_GB2312" w:eastAsia="仿宋_GB2312" w:cs="仿宋_GB2312"/>
          <w:sz w:val="32"/>
          <w:szCs w:val="32"/>
        </w:rPr>
        <w:t>2.学校卫生标准和指南普及行动。优先选取近视、肥胖、心理健康、脊柱弯曲异常和龋病等相关内容，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教育部门和卫生健康部门负责组织，对教育行政部门负责人、学校校长、校医、教师、后勤管理和采购人员进行学校卫生标准和指南的宣贯和普及，推动学校卫生标准和指南融合到学校卫生管理制度中，并指导学校落实。</w:t>
      </w:r>
    </w:p>
    <w:p w14:paraId="179741A0">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小学生健康月活动。每学期开展中小学生健康月活动，把常见病和传染病防控作为工作重点，因地制宜地开展形式多样的健康教育活动，使儿童青少年掌握科学用眼、合理作息、科学足量运动、保持良好姿势、均衡膳食、口腔保健、手卫生习惯、咳嗽礼仪、正确佩戴口罩等学生常见病和传染病防控知识和技能，培养学生自主自律的健康意识和行为。</w:t>
      </w:r>
    </w:p>
    <w:p w14:paraId="663C8E31">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教学生活环境改善行动。依托江苏省学生常见病和健康影响因素监测项目和江苏省学校环境监测覆盖20%的中小学校指标要求，及时发现学校教学生活环境和学校卫生制度中存在的问题，上报教育和卫生健康行政部门，督促学校改善教学、饮水、食堂、厕所、宿舍等环境卫生状况，落实学校卫生各项制度，加强学校传染病报告、晨午（晚）检、因病缺课/休学登记和追踪随访等工作，改善学校视觉环境，正确选择教辅材料，提高课桌椅分配符合率，指导学校科学配餐，降低近视、肥胖、心理健康、脊柱弯曲异常和龋病等学生常见病的发生风险。</w:t>
      </w:r>
    </w:p>
    <w:p w14:paraId="55F37613">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健康父母行动。积极组织开展形式多样的活动，引导家长重视学生常见病和传染病防控工作，掌握近视、肥胖、心理健康、脊柱弯曲异常、龋病等学生常见病和传染病的防控知识和技能。及早发现健康问题、及时科学就医。培养孩子形成良好的卫生行为习惯，督促孩子进行户外活动和体育锻炼，保证足量体力活动时间，养成终身锻炼习惯。关注孩子心理健康，培养应对压力、缓解情绪的心理调控能力，提高心理健康水平。</w:t>
      </w:r>
    </w:p>
    <w:p w14:paraId="1A0EB8C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重点人群关爱行动。高度关注监测中发现的近视、肥胖、心理异常、脊柱弯曲异常和龋病等学生常见病患病风险较高的重点人群，提出针对性指导意见，实施针对性干预措施，逐步建立“学生－家庭－学校－医疗”四位一体的防治模式，实施个性化管理，定期监测随访，做到早发现、早关注、早预防、早治疗，督促其改善不健康的行为生活方式；提供心理卫生服务，消除因近视、肥胖、脊柱弯曲异常而产生的不良心态，增强信心，培养积极向上、乐观开朗的性格；整合各方资源，体医融合，医防协同，延缓疾病发展趋势，降低不良因素带来的危害。</w:t>
      </w:r>
    </w:p>
    <w:p w14:paraId="669BD2B3">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、质量控制和数据报送</w:t>
      </w:r>
    </w:p>
    <w:p w14:paraId="7B25F926">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规范学生常见病和健康影响因素监测数据的采集、管理和应用，适时进行干预评估，确保监测质量和干预的有效实施。科学选择监测学校，确定监测对象，使用符合要求的检测仪器和设备，严格按照方案开展监测和干预活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局在</w:t>
      </w:r>
      <w:r>
        <w:rPr>
          <w:rFonts w:hint="eastAsia" w:ascii="仿宋_GB2312" w:hAnsi="仿宋_GB2312" w:eastAsia="仿宋_GB2312" w:cs="仿宋_GB2312"/>
          <w:sz w:val="32"/>
          <w:szCs w:val="32"/>
        </w:rPr>
        <w:t>开展监测前再次组织调查组人员进行二次技能培训，加强检查指导。</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对入校体检的</w:t>
      </w:r>
      <w:r>
        <w:rPr>
          <w:rFonts w:hint="eastAsia" w:ascii="仿宋_GB2312" w:hAnsi="仿宋_GB2312" w:eastAsia="仿宋_GB2312" w:cs="仿宋_GB2312"/>
          <w:sz w:val="32"/>
          <w:szCs w:val="32"/>
          <w:lang w:eastAsia="zh-CN"/>
        </w:rPr>
        <w:t>春江人民医院</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人员资质进行审核，与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共同组织开展学生常见病监测和干预。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疾控中心要加强监测现场的质量控制，选取5%的学生进行现场复核。统一采用“江苏省学生常见病和健康影响因素监测系统”的电子问卷进行现场问卷填写及监测数据录入。</w:t>
      </w:r>
    </w:p>
    <w:p w14:paraId="20F8BD5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春江人民医院</w:t>
      </w:r>
      <w:r>
        <w:rPr>
          <w:rFonts w:hint="eastAsia" w:ascii="仿宋_GB2312" w:hAnsi="仿宋_GB2312" w:eastAsia="仿宋_GB2312" w:cs="仿宋_GB2312"/>
          <w:sz w:val="32"/>
          <w:szCs w:val="32"/>
        </w:rPr>
        <w:t>负责监测数据的</w:t>
      </w:r>
      <w:r>
        <w:rPr>
          <w:rFonts w:hint="eastAsia" w:ascii="仿宋_GB2312" w:hAnsi="仿宋_GB2312" w:eastAsia="仿宋_GB2312" w:cs="仿宋_GB2312"/>
          <w:sz w:val="32"/>
          <w:szCs w:val="32"/>
          <w:lang w:eastAsia="zh-CN"/>
        </w:rPr>
        <w:t>整理</w:t>
      </w:r>
      <w:r>
        <w:rPr>
          <w:rFonts w:hint="eastAsia" w:ascii="仿宋_GB2312" w:hAnsi="仿宋_GB2312" w:eastAsia="仿宋_GB2312" w:cs="仿宋_GB2312"/>
          <w:sz w:val="32"/>
          <w:szCs w:val="32"/>
        </w:rPr>
        <w:t>及汇总，于202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日前报送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疾控中心，联系人：</w:t>
      </w:r>
      <w:r>
        <w:rPr>
          <w:rFonts w:hint="eastAsia" w:ascii="仿宋_GB2312" w:hAnsi="仿宋_GB2312" w:eastAsia="仿宋_GB2312" w:cs="仿宋_GB2312"/>
          <w:sz w:val="32"/>
          <w:szCs w:val="32"/>
          <w:lang w:eastAsia="zh-CN"/>
        </w:rPr>
        <w:t>苏珂</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86029575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疾控中心对数据进行审核，并于202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年11月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日前报送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疾控中心。（注：调查表等相关材料另发）</w:t>
      </w:r>
    </w:p>
    <w:p w14:paraId="02F9DC8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、工作要求</w:t>
      </w:r>
    </w:p>
    <w:p w14:paraId="31B4330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baseline"/>
        <w:rPr>
          <w:rFonts w:hint="eastAsia" w:ascii="仿宋_GB2312" w:hAnsi="仿宋_GB2312" w:eastAsia="仿宋_GB2312" w:cs="仿宋_GB2312"/>
          <w:color w:val="000000"/>
          <w:sz w:val="32"/>
          <w:szCs w:val="32"/>
        </w:rPr>
      </w:pPr>
      <w:r>
        <w:rPr>
          <w:rFonts w:hint="eastAsia" w:ascii="楷体_GB2312" w:hAnsi="楷体_GB2312" w:eastAsia="楷体_GB2312" w:cs="楷体_GB2312"/>
          <w:b/>
          <w:sz w:val="32"/>
          <w:szCs w:val="32"/>
        </w:rPr>
        <w:t>（一）加强领导，落实责任。</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卫生健康行政部门要强化总体设计，组建由临床、外科、内科、眼科、口腔科、骨科及疾控等人员组成的监测队伍，委托</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疾控中心牵头实施，做到组织保障到位、落实措施到位、督促指导到位，确保监测和</w:t>
      </w:r>
      <w:r>
        <w:rPr>
          <w:rFonts w:hint="eastAsia" w:ascii="仿宋_GB2312" w:hAnsi="仿宋_GB2312" w:eastAsia="仿宋_GB2312" w:cs="仿宋_GB2312"/>
          <w:sz w:val="32"/>
          <w:szCs w:val="32"/>
          <w:lang w:eastAsia="zh-CN"/>
        </w:rPr>
        <w:t>干预工作</w:t>
      </w:r>
      <w:r>
        <w:rPr>
          <w:rFonts w:hint="eastAsia" w:ascii="仿宋_GB2312" w:hAnsi="仿宋_GB2312" w:eastAsia="仿宋_GB2312" w:cs="仿宋_GB2312"/>
          <w:sz w:val="32"/>
          <w:szCs w:val="32"/>
        </w:rPr>
        <w:t>顺利实施。</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教育行政部门负责安排入校监测，督促教学环境和教室环境监测不合格学校进行整改，协助做好健康干预工作。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疾控中心负责技术指导，协助</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卫生健康行政部门组织现场实施，包括协调组织相关人员培训、质量控制、仪器设备配备/购买、数据录入、统计分析等工作。</w:t>
      </w:r>
    </w:p>
    <w:p w14:paraId="6C15E2E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（二）协调配合，保障经费。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行政部门要加强与教育、财政部门的沟通与协调，进一步完善协作机制。要将学生常见病和健康影响因素监测与干预作为公共卫生工作的重要内容，统筹安排2024年中央转移支付重大传染病防控项目经费中的学校卫生项目资金，专款专用，切实保证监测和六大干预行动所需经费。经费建议用于项目培训、仪器购置、人员劳务费、专家咨询费、交通费、录入审核费、媒体宣传、办公费用等。同时，要加大地方财政资金投入，</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人员和设备保障力度，确保监测和干预工作保质保量完成。</w:t>
      </w:r>
    </w:p>
    <w:p w14:paraId="657BFDC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（三）健全机构，提升能力。</w:t>
      </w:r>
      <w:r>
        <w:rPr>
          <w:rFonts w:hint="eastAsia" w:ascii="仿宋_GB2312" w:hAnsi="仿宋_GB2312" w:eastAsia="仿宋_GB2312" w:cs="仿宋_GB2312"/>
          <w:sz w:val="32"/>
          <w:szCs w:val="32"/>
        </w:rPr>
        <w:t>要把学校卫生作为公共卫生服务体系建设的重点，在机构设置、人员配备、政策支持、资金投入等方面提供有力保障。强化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疾控中心学校卫生队伍建设，加强培训，配齐设备，全面提升学校卫生工作能力。</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疾控中心要充分发挥业务指导作用，加强对学校校医、保健老师等相关人员的学生常见病防控知识和技能的培训。</w:t>
      </w:r>
    </w:p>
    <w:p w14:paraId="012BF3D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baseline"/>
        <w:rPr>
          <w:rFonts w:hint="eastAsia" w:ascii="仿宋_GB2312" w:hAnsi="方正仿宋_GBK" w:eastAsia="仿宋_GB2312" w:cs="方正仿宋_GBK"/>
          <w:sz w:val="32"/>
          <w:szCs w:val="32"/>
        </w:rPr>
      </w:pPr>
      <w:r>
        <w:rPr>
          <w:rFonts w:hint="eastAsia" w:ascii="楷体_GB2312" w:hAnsi="楷体_GB2312" w:eastAsia="楷体_GB2312" w:cs="楷体_GB2312"/>
          <w:b/>
          <w:sz w:val="32"/>
          <w:szCs w:val="32"/>
        </w:rPr>
        <w:t>（四）监督考核，督促落实。</w:t>
      </w:r>
      <w:r>
        <w:rPr>
          <w:rFonts w:hint="eastAsia" w:ascii="仿宋_GB2312" w:hAnsi="仿宋_GB2312" w:eastAsia="仿宋_GB2312" w:cs="仿宋_GB2312"/>
          <w:sz w:val="32"/>
          <w:szCs w:val="32"/>
        </w:rPr>
        <w:t>各地要全面落实江苏省《综合防控儿童青少年近视实施方案》工作要求，将学生常见病和健康影响因素监测与干预工作摆上重要议事日程，抓好技术指导、进展调度等工作。项目实施期间，省、市卫生健康委和教育行政部门将组织专家对项目工作进行督导考核。</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卫生健康行政部门要将监测中发现的学生主要健康问题及措施建议，及时报告本级人民政府。</w:t>
      </w:r>
    </w:p>
    <w:p w14:paraId="310CB154"/>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MDU2ZDExOWQ5NGI2ZGUzMDUwYTk2NWU0NjBkZWMifQ=="/>
  </w:docVars>
  <w:rsids>
    <w:rsidRoot w:val="00000000"/>
    <w:rsid w:val="5DFB733F"/>
    <w:rsid w:val="7566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4371</Words>
  <Characters>4430</Characters>
  <Lines>0</Lines>
  <Paragraphs>0</Paragraphs>
  <TotalTime>0</TotalTime>
  <ScaleCrop>false</ScaleCrop>
  <LinksUpToDate>false</LinksUpToDate>
  <CharactersWithSpaces>4430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2024-09-18T02:56:00Z</dcterms:created>
  <dc:creator>Administrator</dc:creator>
  <cp:lastModifiedBy>黑豆</cp:lastModifiedBy>
  <dcterms:modified xsi:type="dcterms:W3CDTF">2024-09-18T06:30:26Z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D26A1460AFA34E8FACA433ADDA4DF297_12</vt:lpwstr>
  </property>
</Properties>
</file>