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D2589">
      <w:pPr>
        <w:spacing w:after="0" w:line="360" w:lineRule="auto"/>
        <w:jc w:val="center"/>
        <w:rPr>
          <w:rFonts w:hint="eastAsia" w:ascii="楷体" w:hAnsi="楷体" w:eastAsia="楷体" w:cs="楷体"/>
          <w:b/>
          <w:bCs/>
          <w:sz w:val="36"/>
          <w:szCs w:val="36"/>
          <w:lang w:eastAsia="zh-CN"/>
        </w:rPr>
      </w:pPr>
      <w:r>
        <w:rPr>
          <w:rFonts w:hint="eastAsia" w:ascii="楷体" w:hAnsi="楷体" w:eastAsia="楷体" w:cs="楷体"/>
          <w:b/>
          <w:bCs/>
          <w:sz w:val="36"/>
          <w:szCs w:val="36"/>
          <w:lang w:eastAsia="zh-CN"/>
        </w:rPr>
        <w:t>树新村周家组、二组</w:t>
      </w:r>
      <w:r>
        <w:rPr>
          <w:rFonts w:hint="eastAsia" w:ascii="楷体" w:hAnsi="楷体" w:eastAsia="楷体" w:cs="楷体"/>
          <w:b/>
          <w:bCs/>
          <w:sz w:val="36"/>
          <w:szCs w:val="36"/>
          <w:lang w:val="en-US" w:eastAsia="zh-CN"/>
        </w:rPr>
        <w:t>道路</w:t>
      </w:r>
      <w:r>
        <w:rPr>
          <w:rFonts w:hint="eastAsia" w:ascii="楷体" w:hAnsi="楷体" w:eastAsia="楷体" w:cs="楷体"/>
          <w:b/>
          <w:bCs/>
          <w:sz w:val="36"/>
          <w:szCs w:val="36"/>
          <w:lang w:eastAsia="zh-CN"/>
        </w:rPr>
        <w:t>工程</w:t>
      </w:r>
    </w:p>
    <w:p w14:paraId="5E214C32">
      <w:pPr>
        <w:spacing w:after="0" w:line="360" w:lineRule="auto"/>
        <w:jc w:val="center"/>
        <w:rPr>
          <w:rFonts w:ascii="楷体" w:hAnsi="楷体" w:eastAsia="楷体" w:cs="楷体"/>
          <w:b/>
          <w:bCs/>
          <w:sz w:val="24"/>
          <w:szCs w:val="24"/>
          <w:lang w:eastAsia="zh-CN"/>
        </w:rPr>
      </w:pPr>
      <w:r>
        <w:rPr>
          <w:rFonts w:hint="eastAsia" w:ascii="楷体" w:hAnsi="楷体" w:eastAsia="楷体" w:cs="楷体"/>
          <w:b/>
          <w:bCs/>
          <w:sz w:val="36"/>
          <w:szCs w:val="36"/>
          <w:lang w:eastAsia="zh-CN"/>
        </w:rPr>
        <w:t>工程量清单及招标控制价编制说明</w:t>
      </w:r>
    </w:p>
    <w:p w14:paraId="101A688C">
      <w:pPr>
        <w:spacing w:after="0" w:line="360" w:lineRule="auto"/>
        <w:rPr>
          <w:rFonts w:ascii="楷体" w:hAnsi="楷体" w:eastAsia="楷体" w:cs="楷体"/>
          <w:b/>
          <w:bCs/>
          <w:sz w:val="24"/>
          <w:szCs w:val="24"/>
          <w:lang w:eastAsia="zh-CN"/>
        </w:rPr>
      </w:pPr>
      <w:r>
        <w:rPr>
          <w:rFonts w:hint="eastAsia" w:ascii="楷体" w:hAnsi="楷体" w:eastAsia="楷体" w:cs="楷体"/>
          <w:b/>
          <w:bCs/>
          <w:sz w:val="24"/>
          <w:szCs w:val="24"/>
          <w:lang w:eastAsia="zh-CN"/>
        </w:rPr>
        <w:t>一、编制范围</w:t>
      </w:r>
    </w:p>
    <w:p w14:paraId="65665979">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设计施工图纸及工程量清单范围内的全部工程。</w:t>
      </w:r>
    </w:p>
    <w:p w14:paraId="2D50469A">
      <w:pPr>
        <w:spacing w:after="0" w:line="360" w:lineRule="auto"/>
        <w:rPr>
          <w:rFonts w:ascii="楷体" w:hAnsi="楷体" w:eastAsia="楷体" w:cs="楷体"/>
          <w:b/>
          <w:sz w:val="24"/>
          <w:szCs w:val="24"/>
          <w:lang w:eastAsia="zh-CN"/>
        </w:rPr>
      </w:pPr>
      <w:r>
        <w:rPr>
          <w:rFonts w:hint="eastAsia" w:ascii="楷体" w:hAnsi="楷体" w:eastAsia="楷体" w:cs="楷体"/>
          <w:b/>
          <w:bCs/>
          <w:sz w:val="24"/>
          <w:szCs w:val="24"/>
          <w:lang w:eastAsia="zh-CN"/>
        </w:rPr>
        <w:t>二、编制依据</w:t>
      </w:r>
      <w:bookmarkStart w:id="0" w:name="_GoBack"/>
      <w:bookmarkEnd w:id="0"/>
    </w:p>
    <w:p w14:paraId="61E15CF9">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1、委托方提供的设计施工图纸、招标文件、编制要求、标底答疑、设计图纸问题回复、会议纪要等。</w:t>
      </w:r>
    </w:p>
    <w:p w14:paraId="7D4FFA6D">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2、《建设工程工程量清单计价规范》GB50500-2013、《房屋建筑与装饰工程工程量计算规则》(GB50854-2013)、《通用安装工程工程量计算规范》（GB50856-2013）、《市政工程工程量计算规则》(GB50857-2013)、《园林绿化工程工程量计算规范》(GB50858-2013)、《江苏省建筑与装饰工程计价定额》（2014年）、《江苏省安装工程计价定额》（2014年）、《江苏省市政工程计价定额》（2014 年）、《江苏省仿古建筑与园林工程计价表》（2007江苏省园林定额）、《江苏省建设工程费用定额》（2014年）、《省住房城乡建设厅关于建筑业实施营改增后江苏省建设工程计价依据调整的通知》（常建（2016）94号）。</w:t>
      </w:r>
    </w:p>
    <w:p w14:paraId="2EAB1ACE">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3、相关费率：措施项目、规费、税金按常建（2014）279号文、苏建价（2014）448号文、苏建价〔2016〕154号文、苏建价函（2019）178号文、常建（2019）1号文等规范、文件。</w:t>
      </w:r>
    </w:p>
    <w:p w14:paraId="68963684">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4、人工工资单价按苏建函价</w:t>
      </w:r>
      <w:r>
        <w:rPr>
          <w:rFonts w:hint="eastAsia" w:ascii="楷体" w:hAnsi="楷体" w:eastAsia="楷体" w:cs="楷体"/>
          <w:bCs/>
          <w:sz w:val="24"/>
          <w:szCs w:val="24"/>
          <w:lang w:eastAsia="zh-CN"/>
        </w:rPr>
        <w:t>〔2024〕</w:t>
      </w:r>
      <w:r>
        <w:rPr>
          <w:rFonts w:hint="eastAsia" w:ascii="楷体" w:hAnsi="楷体" w:eastAsia="楷体" w:cs="楷体"/>
          <w:bCs/>
          <w:sz w:val="24"/>
          <w:szCs w:val="24"/>
          <w:lang w:val="en-US" w:eastAsia="zh-CN"/>
        </w:rPr>
        <w:t>348</w:t>
      </w:r>
      <w:r>
        <w:rPr>
          <w:rFonts w:hint="eastAsia" w:ascii="楷体" w:hAnsi="楷体" w:eastAsia="楷体" w:cs="楷体"/>
          <w:sz w:val="24"/>
          <w:szCs w:val="24"/>
          <w:lang w:eastAsia="zh-CN"/>
        </w:rPr>
        <w:t>号文《江苏省住房和城乡建设厅关于发布建设工工程人工工资指导价的通知》执行。</w:t>
      </w:r>
    </w:p>
    <w:p w14:paraId="51967654">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5、材料价格按照《常州工程造价信息》2024年</w:t>
      </w:r>
      <w:r>
        <w:rPr>
          <w:rFonts w:hint="eastAsia" w:ascii="楷体" w:hAnsi="楷体" w:eastAsia="楷体" w:cs="楷体"/>
          <w:sz w:val="24"/>
          <w:szCs w:val="24"/>
          <w:lang w:val="en-US" w:eastAsia="zh-CN"/>
        </w:rPr>
        <w:t>11</w:t>
      </w:r>
      <w:r>
        <w:rPr>
          <w:rFonts w:hint="eastAsia" w:ascii="楷体" w:hAnsi="楷体" w:eastAsia="楷体" w:cs="楷体"/>
          <w:sz w:val="24"/>
          <w:szCs w:val="24"/>
          <w:lang w:eastAsia="zh-CN"/>
        </w:rPr>
        <w:t>月除税价格计入，本月份没有的逐月前推，信息价没有的材料价格按市场询价计入。</w:t>
      </w:r>
    </w:p>
    <w:p w14:paraId="0051E7BF">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6、工程类别：见各单位工程</w:t>
      </w:r>
    </w:p>
    <w:p w14:paraId="6E208CFF">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7、本清单根据营改增后的编制规范，计税方式采用增值税一般计税模式编制。</w:t>
      </w:r>
    </w:p>
    <w:p w14:paraId="29822A97">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8、预留金详见清单及控制价。</w:t>
      </w:r>
    </w:p>
    <w:p w14:paraId="3492F84B">
      <w:pPr>
        <w:spacing w:after="0" w:line="360" w:lineRule="auto"/>
        <w:rPr>
          <w:rFonts w:ascii="楷体" w:hAnsi="楷体" w:eastAsia="楷体" w:cs="楷体"/>
          <w:sz w:val="24"/>
          <w:szCs w:val="24"/>
          <w:lang w:eastAsia="zh-CN"/>
        </w:rPr>
      </w:pPr>
      <w:r>
        <w:rPr>
          <w:rFonts w:hint="eastAsia" w:ascii="楷体" w:hAnsi="楷体" w:eastAsia="楷体" w:cs="楷体"/>
          <w:b/>
          <w:bCs/>
          <w:sz w:val="24"/>
          <w:szCs w:val="24"/>
          <w:lang w:eastAsia="zh-CN"/>
        </w:rPr>
        <w:t>三、计价说明</w:t>
      </w:r>
    </w:p>
    <w:p w14:paraId="13A90FAE">
      <w:pPr>
        <w:spacing w:after="0" w:line="360" w:lineRule="auto"/>
        <w:ind w:firstLine="480" w:firstLineChars="200"/>
        <w:rPr>
          <w:rFonts w:ascii="楷体" w:hAnsi="楷体" w:eastAsia="楷体" w:cs="楷体"/>
          <w:bCs/>
          <w:sz w:val="24"/>
          <w:szCs w:val="24"/>
          <w:lang w:eastAsia="zh-CN"/>
        </w:rPr>
      </w:pPr>
      <w:r>
        <w:rPr>
          <w:rFonts w:hint="eastAsia" w:ascii="楷体" w:hAnsi="楷体" w:eastAsia="楷体" w:cs="楷体"/>
          <w:sz w:val="24"/>
          <w:szCs w:val="24"/>
          <w:lang w:eastAsia="zh-CN"/>
        </w:rPr>
        <w:t>1、投标人需在招标人提供的图纸、技术规格书的基础上进行二次深化设计的，需符合技术要求和相关标准，并必须经甲方书面确认后再施工，相关费用投标人应考虑在相应的综合单价内，结算时不单独计算</w:t>
      </w:r>
      <w:r>
        <w:rPr>
          <w:rFonts w:hint="eastAsia" w:ascii="楷体" w:hAnsi="楷体" w:eastAsia="楷体" w:cs="楷体"/>
          <w:bCs/>
          <w:sz w:val="24"/>
          <w:szCs w:val="24"/>
          <w:lang w:eastAsia="zh-CN"/>
        </w:rPr>
        <w:t>。</w:t>
      </w:r>
    </w:p>
    <w:p w14:paraId="1B1AC6D9">
      <w:pPr>
        <w:spacing w:after="0" w:line="360" w:lineRule="auto"/>
        <w:ind w:firstLine="480" w:firstLineChars="200"/>
        <w:rPr>
          <w:rFonts w:ascii="楷体" w:hAnsi="楷体" w:eastAsia="楷体" w:cs="楷体"/>
          <w:color w:val="000000"/>
          <w:sz w:val="24"/>
          <w:szCs w:val="24"/>
          <w:lang w:eastAsia="zh-CN" w:bidi="ar"/>
        </w:rPr>
      </w:pPr>
      <w:r>
        <w:rPr>
          <w:rFonts w:hint="eastAsia" w:ascii="楷体" w:hAnsi="楷体" w:eastAsia="楷体" w:cs="楷体"/>
          <w:sz w:val="24"/>
          <w:szCs w:val="24"/>
          <w:lang w:eastAsia="zh-CN"/>
        </w:rPr>
        <w:t>2、本工程分部分项单价均为完成本分项全部内容的综合单价，含制作、安装、因安装破坏原墙、顶、地处的修复等，未列出的辅助工作、措施费均不另行计价</w:t>
      </w:r>
      <w:r>
        <w:rPr>
          <w:rFonts w:hint="eastAsia" w:ascii="楷体" w:hAnsi="楷体" w:eastAsia="楷体" w:cs="楷体"/>
          <w:color w:val="000000"/>
          <w:sz w:val="24"/>
          <w:szCs w:val="24"/>
          <w:lang w:eastAsia="zh-CN" w:bidi="ar"/>
        </w:rPr>
        <w:t>，均在相关项目综合单价内考虑。</w:t>
      </w:r>
    </w:p>
    <w:p w14:paraId="6F5727B9">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3、投标人须自行考虑整个施工范围内，各种建筑施工材料的运输条件、运输距离、各种可能存在的干扰因素，合理安排各种材料设备的运输方法、运输设备，并在投标报价中充分考虑相应场内、场外运输费用，材料的场内、场外运输费用、多次搬运费用，结算时均不另行计算。</w:t>
      </w:r>
    </w:p>
    <w:p w14:paraId="18D76B55">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4、对已完工程及设备保护采取覆盖、包裹、封闭、隔离、不同材质、方式、方法等必要保护措施所发生的任何费用均由投标人综合考虑报价，结算时不调整。</w:t>
      </w:r>
    </w:p>
    <w:p w14:paraId="48F50CED">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5、本工程涉及石材饰面的综合单价中应包括石材的开采、加工（含异形或弧形加工、切割或异形切割、磨边、倒角及阴阳角处理、抽槽、开孔等）、面层处理（如光面、毛面、自然面、荔枝面、斧凿、雕刻等）、运输、防护、铺贴及六面防渗、泛碱处理及防腐处理、辐射性检测、石材处理剂、刷背胶、贴纤维网格布等一切工作内容。异形或弧形部分不单独计量（直线型和弧型综合考虑），其所需增加的费用包含在综合单价内，报价时综合考虑，结算不再另外计算。</w:t>
      </w:r>
    </w:p>
    <w:p w14:paraId="136F63D1">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6、所有饰面材料（如：墙地砖、木饰面、涂料、铝型材、铝板等）颜色和纹路由业主确认，投标报价时应充分考虑颜色更换导致的价格风险。结算时颜色更改，投标价格不调整。</w:t>
      </w:r>
    </w:p>
    <w:p w14:paraId="28540B8E">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7、所有材料的加工费、折边费（如：墙地砖、石材的切割、开孔、磨边、倒角、清角、抽槽、粘结等；铝板及不锈钢折边加工等）， 投标人应考虑在相应的综合单价内，结算时不单独计算。</w:t>
      </w:r>
    </w:p>
    <w:p w14:paraId="5784D5B6">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8、外露钢构件防锈、油漆等，投标人应考虑在相应的综合单价内，结算时不单独计算。</w:t>
      </w:r>
    </w:p>
    <w:p w14:paraId="22D55FCD">
      <w:pPr>
        <w:spacing w:line="360" w:lineRule="auto"/>
        <w:rPr>
          <w:rFonts w:ascii="楷体" w:hAnsi="楷体" w:eastAsia="楷体" w:cs="楷体"/>
          <w:b/>
          <w:bCs/>
          <w:sz w:val="24"/>
          <w:szCs w:val="24"/>
          <w:lang w:eastAsia="zh-CN"/>
        </w:rPr>
      </w:pPr>
      <w:r>
        <w:rPr>
          <w:rFonts w:hint="eastAsia" w:ascii="楷体" w:hAnsi="楷体" w:eastAsia="楷体" w:cs="楷体"/>
          <w:b/>
          <w:bCs/>
          <w:sz w:val="24"/>
          <w:szCs w:val="24"/>
          <w:lang w:eastAsia="zh-CN"/>
        </w:rPr>
        <w:t>四、其他说明</w:t>
      </w:r>
    </w:p>
    <w:p w14:paraId="1AE7331D">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1、本清单所列工程数量是根据图纸或现行情况暂定的，仅作为投标的共同基础，不能作为最终结算与支付的依据。结算与支付应以监理工程师审核并报业主现场代表认可的、按图纸和规范要求实际完成的合格工程数量为依据。完成的合格工程数量，应由承包商按监理工程师认可的尺寸断面或其他计量方法进行计量，经监理工程师审核后报业主现场代表确认，最终按工程量清单的单价和总额价进行结算和支付。工程量清单中所列工程量的变动，丝毫不会降低或影响合同条件的效力，也不免除承包商按规定的标准进行施工和修复缺陷的责任。</w:t>
      </w:r>
    </w:p>
    <w:p w14:paraId="4F26B760">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2、本工程分部分项单价均为完成本分项全部内容的综合单价，未列出的辅助工作、措施费均不另行计价，均在相关项目综合单价内考虑。</w:t>
      </w:r>
    </w:p>
    <w:p w14:paraId="301E7D02">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3、所有按“项”为单位设置的分部分项清单和单价措施清单，投标人应充分熟悉现场情况，考虑本项目的施工组织设计和施工方案，现场根据建设方要求及相关政策法规实施，在报价中予以综合考虑，综合单价包含图纸中一切施工费用，结算时不单独计算。</w:t>
      </w:r>
    </w:p>
    <w:p w14:paraId="01EEB0E6">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4、投标单位自行踏勘现场，投标报价综合考虑临时设施用地，若发生租赁、租地等费用，施工过程中不得以任何形式进行索赔，结算时不另行增加此项费用。</w:t>
      </w:r>
    </w:p>
    <w:p w14:paraId="4320551C">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5、施工图、招标文件、技术要求、施工规范及工程量清单中的项目特征互为补充，均作为编制投标报价的依据，工程量清单描述做法与设计图纸及相关规范不一致的，以标准要求高的为准，图纸做法中未明确或不完善事项以答疑、设计回复等为准，施工前，对于不一致的情况，承包人需通知甲方，并经甲方书面确认后再施工。不得以清单漏项、清单描述不全、清单描述前后矛盾、清单描述和设计图纸及规范不一致等为由要求增加、索赔相关费用等。</w:t>
      </w:r>
    </w:p>
    <w:p w14:paraId="5D1A533A">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6、本工程已按《省住房城乡建设厅关于建筑工人实名制费用计取方法的公告》（〔2019〕第19号）计算建筑工人实名制费用，建筑工人实名制设备由承包方自行提供，相关费用由投标单位在投标报价中自行考虑，结算时费率不作任何调整。</w:t>
      </w:r>
    </w:p>
    <w:p w14:paraId="02A68B59">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7、其他未尽事宜，参照设计图纸要求。</w:t>
      </w:r>
    </w:p>
    <w:p w14:paraId="26E648C3">
      <w:pPr>
        <w:spacing w:line="360" w:lineRule="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 xml:space="preserve">                   </w:t>
      </w:r>
    </w:p>
    <w:p w14:paraId="2F063CAF">
      <w:pPr>
        <w:spacing w:after="0" w:line="360" w:lineRule="auto"/>
        <w:ind w:firstLine="480" w:firstLineChars="200"/>
        <w:rPr>
          <w:rFonts w:hint="default" w:ascii="楷体" w:hAnsi="楷体" w:eastAsia="楷体" w:cs="楷体"/>
          <w:bCs/>
          <w:sz w:val="24"/>
          <w:szCs w:val="24"/>
          <w:lang w:val="en-US" w:eastAsia="zh-CN"/>
        </w:rPr>
      </w:pPr>
      <w:r>
        <w:rPr>
          <w:rFonts w:hint="eastAsia" w:ascii="楷体" w:hAnsi="楷体" w:eastAsia="楷体" w:cs="楷体"/>
          <w:bCs/>
          <w:sz w:val="24"/>
          <w:szCs w:val="24"/>
          <w:lang w:val="en-US" w:eastAsia="zh-CN"/>
        </w:rPr>
        <w:t xml:space="preserve">                                                       宏信天德工程顾问有限公司</w:t>
      </w:r>
    </w:p>
    <w:p w14:paraId="6C6344C9">
      <w:pPr>
        <w:spacing w:after="0" w:line="360" w:lineRule="auto"/>
        <w:ind w:firstLine="7920" w:firstLineChars="3300"/>
        <w:jc w:val="both"/>
        <w:rPr>
          <w:rFonts w:ascii="楷体" w:hAnsi="楷体" w:eastAsia="楷体" w:cs="楷体"/>
          <w:sz w:val="24"/>
          <w:szCs w:val="24"/>
          <w:lang w:eastAsia="zh-CN"/>
        </w:rPr>
      </w:pPr>
      <w:r>
        <w:rPr>
          <w:rFonts w:hint="eastAsia" w:ascii="楷体" w:hAnsi="楷体" w:eastAsia="楷体" w:cs="楷体"/>
          <w:sz w:val="24"/>
          <w:szCs w:val="24"/>
          <w:lang w:eastAsia="zh-CN"/>
        </w:rPr>
        <w:t>2024年</w:t>
      </w:r>
      <w:r>
        <w:rPr>
          <w:rFonts w:hint="eastAsia" w:ascii="楷体" w:hAnsi="楷体" w:eastAsia="楷体" w:cs="楷体"/>
          <w:sz w:val="24"/>
          <w:szCs w:val="24"/>
          <w:lang w:val="en-US" w:eastAsia="zh-CN"/>
        </w:rPr>
        <w:t>11</w:t>
      </w:r>
      <w:r>
        <w:rPr>
          <w:rFonts w:hint="eastAsia" w:ascii="楷体" w:hAnsi="楷体" w:eastAsia="楷体" w:cs="楷体"/>
          <w:sz w:val="24"/>
          <w:szCs w:val="24"/>
          <w:lang w:eastAsia="zh-CN"/>
        </w:rPr>
        <w:t>月</w:t>
      </w:r>
    </w:p>
    <w:sectPr>
      <w:pgSz w:w="12240" w:h="15840"/>
      <w:pgMar w:top="1020" w:right="1134" w:bottom="850" w:left="1134" w:header="720" w:footer="720" w:gutter="0"/>
      <w:cols w:space="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mU0MGU3MjBiYmE5ZjhlNDc5Yzc4MGYxNTU4OTM0YzUifQ=="/>
  </w:docVars>
  <w:rsids>
    <w:rsidRoot w:val="00A94AF2"/>
    <w:rsid w:val="00011C65"/>
    <w:rsid w:val="000134C4"/>
    <w:rsid w:val="000523AF"/>
    <w:rsid w:val="00070EFC"/>
    <w:rsid w:val="00097D26"/>
    <w:rsid w:val="000E1AED"/>
    <w:rsid w:val="000E415F"/>
    <w:rsid w:val="000F117F"/>
    <w:rsid w:val="000F4174"/>
    <w:rsid w:val="0010016C"/>
    <w:rsid w:val="00115DB8"/>
    <w:rsid w:val="0013312A"/>
    <w:rsid w:val="00156930"/>
    <w:rsid w:val="0016621D"/>
    <w:rsid w:val="001C29A6"/>
    <w:rsid w:val="001E6AA1"/>
    <w:rsid w:val="00200303"/>
    <w:rsid w:val="00227D87"/>
    <w:rsid w:val="002C7932"/>
    <w:rsid w:val="002D24F4"/>
    <w:rsid w:val="0034274C"/>
    <w:rsid w:val="00346D6D"/>
    <w:rsid w:val="00347910"/>
    <w:rsid w:val="003770CF"/>
    <w:rsid w:val="00377246"/>
    <w:rsid w:val="00390414"/>
    <w:rsid w:val="003B62BB"/>
    <w:rsid w:val="003C3A39"/>
    <w:rsid w:val="003D249A"/>
    <w:rsid w:val="003E62CE"/>
    <w:rsid w:val="00451CFF"/>
    <w:rsid w:val="004568BF"/>
    <w:rsid w:val="00491B87"/>
    <w:rsid w:val="004C71A8"/>
    <w:rsid w:val="0052472F"/>
    <w:rsid w:val="005362D7"/>
    <w:rsid w:val="00551217"/>
    <w:rsid w:val="0055708A"/>
    <w:rsid w:val="005634C9"/>
    <w:rsid w:val="00576890"/>
    <w:rsid w:val="005825E4"/>
    <w:rsid w:val="00631949"/>
    <w:rsid w:val="00640A33"/>
    <w:rsid w:val="00642E0A"/>
    <w:rsid w:val="00674927"/>
    <w:rsid w:val="00687E23"/>
    <w:rsid w:val="006E68A9"/>
    <w:rsid w:val="006F4235"/>
    <w:rsid w:val="006F78A5"/>
    <w:rsid w:val="00700D92"/>
    <w:rsid w:val="00707265"/>
    <w:rsid w:val="007453AA"/>
    <w:rsid w:val="00754938"/>
    <w:rsid w:val="007902EF"/>
    <w:rsid w:val="007B1102"/>
    <w:rsid w:val="007B516F"/>
    <w:rsid w:val="007B7FC7"/>
    <w:rsid w:val="007D6B20"/>
    <w:rsid w:val="007F49C9"/>
    <w:rsid w:val="00802D44"/>
    <w:rsid w:val="00805604"/>
    <w:rsid w:val="00816637"/>
    <w:rsid w:val="008215BC"/>
    <w:rsid w:val="00830B0E"/>
    <w:rsid w:val="00837F66"/>
    <w:rsid w:val="00843423"/>
    <w:rsid w:val="0084593E"/>
    <w:rsid w:val="00853977"/>
    <w:rsid w:val="00882B36"/>
    <w:rsid w:val="00885AE0"/>
    <w:rsid w:val="008920F9"/>
    <w:rsid w:val="008F5F52"/>
    <w:rsid w:val="008F6047"/>
    <w:rsid w:val="00903DFB"/>
    <w:rsid w:val="00946728"/>
    <w:rsid w:val="00957F43"/>
    <w:rsid w:val="00972DA4"/>
    <w:rsid w:val="009A2B93"/>
    <w:rsid w:val="009C427C"/>
    <w:rsid w:val="009D6C79"/>
    <w:rsid w:val="009E4A96"/>
    <w:rsid w:val="00A02F19"/>
    <w:rsid w:val="00A0439E"/>
    <w:rsid w:val="00A93F80"/>
    <w:rsid w:val="00A94AF2"/>
    <w:rsid w:val="00AA30FA"/>
    <w:rsid w:val="00AB75B2"/>
    <w:rsid w:val="00B01ABD"/>
    <w:rsid w:val="00B034BB"/>
    <w:rsid w:val="00B37E65"/>
    <w:rsid w:val="00BC3C3B"/>
    <w:rsid w:val="00BD2C7D"/>
    <w:rsid w:val="00BD595B"/>
    <w:rsid w:val="00BF242F"/>
    <w:rsid w:val="00BF5452"/>
    <w:rsid w:val="00BF73B3"/>
    <w:rsid w:val="00C52F2D"/>
    <w:rsid w:val="00C77F5F"/>
    <w:rsid w:val="00CA2934"/>
    <w:rsid w:val="00CB3B4E"/>
    <w:rsid w:val="00CC733A"/>
    <w:rsid w:val="00D05E27"/>
    <w:rsid w:val="00D324BD"/>
    <w:rsid w:val="00D37EA9"/>
    <w:rsid w:val="00D521C0"/>
    <w:rsid w:val="00D62709"/>
    <w:rsid w:val="00D67CDD"/>
    <w:rsid w:val="00D84442"/>
    <w:rsid w:val="00D9247B"/>
    <w:rsid w:val="00DF6F1E"/>
    <w:rsid w:val="00E16782"/>
    <w:rsid w:val="00E26520"/>
    <w:rsid w:val="00E367E4"/>
    <w:rsid w:val="00E443EC"/>
    <w:rsid w:val="00E635C0"/>
    <w:rsid w:val="00E67FCD"/>
    <w:rsid w:val="00E80320"/>
    <w:rsid w:val="00E84B97"/>
    <w:rsid w:val="00EA1E02"/>
    <w:rsid w:val="00EF5EDC"/>
    <w:rsid w:val="00F0568D"/>
    <w:rsid w:val="00F05C43"/>
    <w:rsid w:val="00F46FD8"/>
    <w:rsid w:val="00F47620"/>
    <w:rsid w:val="00F66ED3"/>
    <w:rsid w:val="00F859D0"/>
    <w:rsid w:val="00F87D77"/>
    <w:rsid w:val="00F959D5"/>
    <w:rsid w:val="00FB4B78"/>
    <w:rsid w:val="00FD102B"/>
    <w:rsid w:val="00FE3F3C"/>
    <w:rsid w:val="00FF7F7C"/>
    <w:rsid w:val="01C0309B"/>
    <w:rsid w:val="02A70F4C"/>
    <w:rsid w:val="03965F9D"/>
    <w:rsid w:val="03E450A2"/>
    <w:rsid w:val="0474027D"/>
    <w:rsid w:val="04932CE9"/>
    <w:rsid w:val="049A3646"/>
    <w:rsid w:val="05096C17"/>
    <w:rsid w:val="0580501B"/>
    <w:rsid w:val="062023E9"/>
    <w:rsid w:val="06312F45"/>
    <w:rsid w:val="068F6FCB"/>
    <w:rsid w:val="077B0190"/>
    <w:rsid w:val="07A05F9B"/>
    <w:rsid w:val="07CE5794"/>
    <w:rsid w:val="07EA2123"/>
    <w:rsid w:val="08A33DCE"/>
    <w:rsid w:val="09B55146"/>
    <w:rsid w:val="0A3E2A5F"/>
    <w:rsid w:val="0B61769D"/>
    <w:rsid w:val="0B9A6917"/>
    <w:rsid w:val="0BFD2D4B"/>
    <w:rsid w:val="0C1C40A0"/>
    <w:rsid w:val="0C986DF0"/>
    <w:rsid w:val="0CBD5CBC"/>
    <w:rsid w:val="0CCB1DB2"/>
    <w:rsid w:val="0CD30126"/>
    <w:rsid w:val="0CFB4820"/>
    <w:rsid w:val="0DF26CD2"/>
    <w:rsid w:val="0F05596B"/>
    <w:rsid w:val="0F817D4B"/>
    <w:rsid w:val="10BE733F"/>
    <w:rsid w:val="10DC0EB5"/>
    <w:rsid w:val="11123A77"/>
    <w:rsid w:val="1146437D"/>
    <w:rsid w:val="11962F05"/>
    <w:rsid w:val="12BD2245"/>
    <w:rsid w:val="12CA60C1"/>
    <w:rsid w:val="12DD0D85"/>
    <w:rsid w:val="13654EEB"/>
    <w:rsid w:val="13BD29A2"/>
    <w:rsid w:val="142F46DE"/>
    <w:rsid w:val="14695F39"/>
    <w:rsid w:val="14DE3A37"/>
    <w:rsid w:val="14EA13C4"/>
    <w:rsid w:val="15793835"/>
    <w:rsid w:val="15D9438B"/>
    <w:rsid w:val="1600206D"/>
    <w:rsid w:val="16356DCC"/>
    <w:rsid w:val="163C6750"/>
    <w:rsid w:val="16484DA0"/>
    <w:rsid w:val="180328A1"/>
    <w:rsid w:val="18592727"/>
    <w:rsid w:val="18925339"/>
    <w:rsid w:val="18B65A3E"/>
    <w:rsid w:val="1A2B79F1"/>
    <w:rsid w:val="1AAD1056"/>
    <w:rsid w:val="1B154507"/>
    <w:rsid w:val="1B356BFE"/>
    <w:rsid w:val="1B623B39"/>
    <w:rsid w:val="1BFF2380"/>
    <w:rsid w:val="1C593CCD"/>
    <w:rsid w:val="1CA41229"/>
    <w:rsid w:val="1CF2751B"/>
    <w:rsid w:val="1CF70EC4"/>
    <w:rsid w:val="1D1C0494"/>
    <w:rsid w:val="1D363D11"/>
    <w:rsid w:val="1D3D2C65"/>
    <w:rsid w:val="1E231DAF"/>
    <w:rsid w:val="1E2D20E0"/>
    <w:rsid w:val="1E871148"/>
    <w:rsid w:val="1F31724C"/>
    <w:rsid w:val="1F6706C5"/>
    <w:rsid w:val="1F8C725E"/>
    <w:rsid w:val="1F9574C1"/>
    <w:rsid w:val="1F9E0890"/>
    <w:rsid w:val="1FCD1B5E"/>
    <w:rsid w:val="200C50DA"/>
    <w:rsid w:val="20B17014"/>
    <w:rsid w:val="21441798"/>
    <w:rsid w:val="215076E6"/>
    <w:rsid w:val="21AE2DDC"/>
    <w:rsid w:val="22581042"/>
    <w:rsid w:val="225A3C2E"/>
    <w:rsid w:val="22621842"/>
    <w:rsid w:val="226715E5"/>
    <w:rsid w:val="22C32593"/>
    <w:rsid w:val="22F33480"/>
    <w:rsid w:val="24794C00"/>
    <w:rsid w:val="25007499"/>
    <w:rsid w:val="270B1808"/>
    <w:rsid w:val="272E4788"/>
    <w:rsid w:val="273428D7"/>
    <w:rsid w:val="27455E2E"/>
    <w:rsid w:val="279247F0"/>
    <w:rsid w:val="28643CD3"/>
    <w:rsid w:val="28865FDD"/>
    <w:rsid w:val="28D66637"/>
    <w:rsid w:val="2926286D"/>
    <w:rsid w:val="29923FEE"/>
    <w:rsid w:val="2A1D4EAC"/>
    <w:rsid w:val="2A4E0055"/>
    <w:rsid w:val="2A98671E"/>
    <w:rsid w:val="2ADC7012"/>
    <w:rsid w:val="2B01728A"/>
    <w:rsid w:val="2B6476CF"/>
    <w:rsid w:val="2B6D70C3"/>
    <w:rsid w:val="2B945D71"/>
    <w:rsid w:val="2C874C05"/>
    <w:rsid w:val="2CE2511F"/>
    <w:rsid w:val="2D0701B3"/>
    <w:rsid w:val="2E6F131C"/>
    <w:rsid w:val="2E9F7A46"/>
    <w:rsid w:val="2EC54E85"/>
    <w:rsid w:val="2F1371C7"/>
    <w:rsid w:val="302364F2"/>
    <w:rsid w:val="30A5571B"/>
    <w:rsid w:val="314F59E6"/>
    <w:rsid w:val="31653D42"/>
    <w:rsid w:val="319A28FB"/>
    <w:rsid w:val="31A21688"/>
    <w:rsid w:val="33200C46"/>
    <w:rsid w:val="341C6876"/>
    <w:rsid w:val="34604DEE"/>
    <w:rsid w:val="35EA1366"/>
    <w:rsid w:val="368807E5"/>
    <w:rsid w:val="36AB44F2"/>
    <w:rsid w:val="378D6F76"/>
    <w:rsid w:val="380D24DA"/>
    <w:rsid w:val="384529E0"/>
    <w:rsid w:val="385F36A4"/>
    <w:rsid w:val="386972E9"/>
    <w:rsid w:val="38C42E95"/>
    <w:rsid w:val="391F2F7B"/>
    <w:rsid w:val="39557F91"/>
    <w:rsid w:val="3A695C4D"/>
    <w:rsid w:val="3AC43929"/>
    <w:rsid w:val="3B442595"/>
    <w:rsid w:val="3B7465EF"/>
    <w:rsid w:val="3C904DE4"/>
    <w:rsid w:val="3D0F0457"/>
    <w:rsid w:val="3D6379CB"/>
    <w:rsid w:val="3DDC482A"/>
    <w:rsid w:val="3E314AD1"/>
    <w:rsid w:val="3E622966"/>
    <w:rsid w:val="3E8255EF"/>
    <w:rsid w:val="3F2F7F8B"/>
    <w:rsid w:val="3FD7589F"/>
    <w:rsid w:val="40656416"/>
    <w:rsid w:val="40717440"/>
    <w:rsid w:val="409322D7"/>
    <w:rsid w:val="40A72A25"/>
    <w:rsid w:val="419520BE"/>
    <w:rsid w:val="429D225C"/>
    <w:rsid w:val="42E64F7F"/>
    <w:rsid w:val="431427D7"/>
    <w:rsid w:val="437C770E"/>
    <w:rsid w:val="43921411"/>
    <w:rsid w:val="439C3B2E"/>
    <w:rsid w:val="44A14F0C"/>
    <w:rsid w:val="455C38E6"/>
    <w:rsid w:val="45AE1052"/>
    <w:rsid w:val="469C4526"/>
    <w:rsid w:val="46D84EE0"/>
    <w:rsid w:val="470D6339"/>
    <w:rsid w:val="47BA6093"/>
    <w:rsid w:val="47E3753E"/>
    <w:rsid w:val="47EA5D49"/>
    <w:rsid w:val="47FE11B1"/>
    <w:rsid w:val="480605CE"/>
    <w:rsid w:val="48875A9E"/>
    <w:rsid w:val="488D3743"/>
    <w:rsid w:val="48B13CBF"/>
    <w:rsid w:val="48F0330D"/>
    <w:rsid w:val="48F64DF8"/>
    <w:rsid w:val="4A506C1B"/>
    <w:rsid w:val="4A606796"/>
    <w:rsid w:val="4A8F00D2"/>
    <w:rsid w:val="4AF33166"/>
    <w:rsid w:val="4B587D57"/>
    <w:rsid w:val="4B9761E7"/>
    <w:rsid w:val="4BA64872"/>
    <w:rsid w:val="4BDD112C"/>
    <w:rsid w:val="4D1F110D"/>
    <w:rsid w:val="4D214DDE"/>
    <w:rsid w:val="4DED4962"/>
    <w:rsid w:val="4E7E4BB8"/>
    <w:rsid w:val="4EAC01FC"/>
    <w:rsid w:val="4F0B0F29"/>
    <w:rsid w:val="4F442940"/>
    <w:rsid w:val="4FB06F95"/>
    <w:rsid w:val="4FBE0F8F"/>
    <w:rsid w:val="4FCD2D90"/>
    <w:rsid w:val="50146707"/>
    <w:rsid w:val="505225EC"/>
    <w:rsid w:val="51441E7E"/>
    <w:rsid w:val="516259C3"/>
    <w:rsid w:val="51A04F8E"/>
    <w:rsid w:val="51B97F06"/>
    <w:rsid w:val="51CB1ABC"/>
    <w:rsid w:val="520A5516"/>
    <w:rsid w:val="522E2FD1"/>
    <w:rsid w:val="525D22A8"/>
    <w:rsid w:val="5289345C"/>
    <w:rsid w:val="52B40AAB"/>
    <w:rsid w:val="536410A5"/>
    <w:rsid w:val="547D0C52"/>
    <w:rsid w:val="55407F8F"/>
    <w:rsid w:val="558D70F3"/>
    <w:rsid w:val="56E8168F"/>
    <w:rsid w:val="56FE7767"/>
    <w:rsid w:val="57C620F2"/>
    <w:rsid w:val="57CF456F"/>
    <w:rsid w:val="57E236D7"/>
    <w:rsid w:val="57E5652D"/>
    <w:rsid w:val="58620810"/>
    <w:rsid w:val="58766E58"/>
    <w:rsid w:val="59503DFF"/>
    <w:rsid w:val="5AB26B9A"/>
    <w:rsid w:val="5B227036"/>
    <w:rsid w:val="5B4C710F"/>
    <w:rsid w:val="5B59241C"/>
    <w:rsid w:val="5CB366CA"/>
    <w:rsid w:val="5CB57AE0"/>
    <w:rsid w:val="5E5C2B5E"/>
    <w:rsid w:val="5EA93E10"/>
    <w:rsid w:val="5F2E7C09"/>
    <w:rsid w:val="5F334EA3"/>
    <w:rsid w:val="5FC247DD"/>
    <w:rsid w:val="602F7B41"/>
    <w:rsid w:val="6068193D"/>
    <w:rsid w:val="60C150A9"/>
    <w:rsid w:val="611910AB"/>
    <w:rsid w:val="62822142"/>
    <w:rsid w:val="62D64B00"/>
    <w:rsid w:val="630A4368"/>
    <w:rsid w:val="63837460"/>
    <w:rsid w:val="64BA38E5"/>
    <w:rsid w:val="65D721E6"/>
    <w:rsid w:val="668E608F"/>
    <w:rsid w:val="66AA5A51"/>
    <w:rsid w:val="66AF50EC"/>
    <w:rsid w:val="67330816"/>
    <w:rsid w:val="67897724"/>
    <w:rsid w:val="67A05FCC"/>
    <w:rsid w:val="681E3429"/>
    <w:rsid w:val="687444AF"/>
    <w:rsid w:val="68821E50"/>
    <w:rsid w:val="68822805"/>
    <w:rsid w:val="693075A9"/>
    <w:rsid w:val="699F49F5"/>
    <w:rsid w:val="69B304F5"/>
    <w:rsid w:val="6A55493C"/>
    <w:rsid w:val="6A612FC7"/>
    <w:rsid w:val="6AF64A41"/>
    <w:rsid w:val="6D1F5F0B"/>
    <w:rsid w:val="6D3261A6"/>
    <w:rsid w:val="6D3E606B"/>
    <w:rsid w:val="6D4C70C7"/>
    <w:rsid w:val="6D8D34BB"/>
    <w:rsid w:val="6DD26258"/>
    <w:rsid w:val="6E425ABF"/>
    <w:rsid w:val="6E6C3558"/>
    <w:rsid w:val="6E75038C"/>
    <w:rsid w:val="6F4B2CC1"/>
    <w:rsid w:val="6F7A557A"/>
    <w:rsid w:val="6FD111A8"/>
    <w:rsid w:val="716F4108"/>
    <w:rsid w:val="71A15B31"/>
    <w:rsid w:val="720F36E4"/>
    <w:rsid w:val="7242215A"/>
    <w:rsid w:val="72D43AED"/>
    <w:rsid w:val="72DA4A88"/>
    <w:rsid w:val="73FE4F9F"/>
    <w:rsid w:val="74B55643"/>
    <w:rsid w:val="74FE2CFB"/>
    <w:rsid w:val="755D091D"/>
    <w:rsid w:val="759B06CC"/>
    <w:rsid w:val="75C650C8"/>
    <w:rsid w:val="75E93875"/>
    <w:rsid w:val="75F84586"/>
    <w:rsid w:val="75F93477"/>
    <w:rsid w:val="76985B04"/>
    <w:rsid w:val="769F5552"/>
    <w:rsid w:val="77C60C6B"/>
    <w:rsid w:val="780C14E9"/>
    <w:rsid w:val="7884150F"/>
    <w:rsid w:val="78DD3B5C"/>
    <w:rsid w:val="799C4EF5"/>
    <w:rsid w:val="79CE55A1"/>
    <w:rsid w:val="79DE4E5E"/>
    <w:rsid w:val="7A26494D"/>
    <w:rsid w:val="7AA73616"/>
    <w:rsid w:val="7ADB7565"/>
    <w:rsid w:val="7C3B2889"/>
    <w:rsid w:val="7CB325D7"/>
    <w:rsid w:val="7E5558E8"/>
    <w:rsid w:val="7F4E578F"/>
    <w:rsid w:val="7F514041"/>
    <w:rsid w:val="7F737D6C"/>
    <w:rsid w:val="7FAC4F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7"/>
    <w:semiHidden/>
    <w:unhideWhenUsed/>
    <w:qFormat/>
    <w:uiPriority w:val="99"/>
  </w:style>
  <w:style w:type="paragraph" w:styleId="3">
    <w:name w:val="Balloon Text"/>
    <w:basedOn w:val="1"/>
    <w:link w:val="15"/>
    <w:autoRedefine/>
    <w:semiHidden/>
    <w:unhideWhenUsed/>
    <w:qFormat/>
    <w:uiPriority w:val="99"/>
    <w:pPr>
      <w:spacing w:after="0" w:line="240" w:lineRule="auto"/>
    </w:pPr>
    <w:rPr>
      <w:sz w:val="18"/>
      <w:szCs w:val="18"/>
    </w:rPr>
  </w:style>
  <w:style w:type="paragraph" w:styleId="4">
    <w:name w:val="footer"/>
    <w:basedOn w:val="1"/>
    <w:link w:val="13"/>
    <w:semiHidden/>
    <w:unhideWhenUsed/>
    <w:qFormat/>
    <w:uiPriority w:val="99"/>
    <w:pPr>
      <w:tabs>
        <w:tab w:val="center" w:pos="4153"/>
        <w:tab w:val="right" w:pos="8306"/>
      </w:tabs>
      <w:snapToGrid w:val="0"/>
      <w:spacing w:line="240" w:lineRule="auto"/>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0"/>
    <w:pPr>
      <w:spacing w:before="100" w:beforeAutospacing="1" w:after="100" w:afterAutospacing="1"/>
    </w:pPr>
    <w:rPr>
      <w:rFonts w:cs="Times New Roman"/>
      <w:sz w:val="24"/>
      <w:lang w:eastAsia="zh-CN" w:bidi="ar-SA"/>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autoRedefine/>
    <w:qFormat/>
    <w:uiPriority w:val="20"/>
    <w:rPr>
      <w:i/>
    </w:rPr>
  </w:style>
  <w:style w:type="paragraph" w:customStyle="1" w:styleId="11">
    <w:name w:val="列出段落1"/>
    <w:basedOn w:val="1"/>
    <w:qFormat/>
    <w:uiPriority w:val="99"/>
    <w:pPr>
      <w:ind w:firstLine="420" w:firstLineChars="200"/>
    </w:pPr>
  </w:style>
  <w:style w:type="character" w:customStyle="1" w:styleId="12">
    <w:name w:val="页眉 字符"/>
    <w:basedOn w:val="9"/>
    <w:link w:val="5"/>
    <w:semiHidden/>
    <w:qFormat/>
    <w:uiPriority w:val="99"/>
    <w:rPr>
      <w:rFonts w:asciiTheme="minorHAnsi" w:hAnsiTheme="minorHAnsi" w:eastAsiaTheme="minorHAnsi" w:cstheme="minorBidi"/>
      <w:sz w:val="18"/>
      <w:szCs w:val="18"/>
      <w:lang w:eastAsia="en-US" w:bidi="en-US"/>
    </w:rPr>
  </w:style>
  <w:style w:type="character" w:customStyle="1" w:styleId="13">
    <w:name w:val="页脚 字符"/>
    <w:basedOn w:val="9"/>
    <w:link w:val="4"/>
    <w:semiHidden/>
    <w:qFormat/>
    <w:uiPriority w:val="99"/>
    <w:rPr>
      <w:rFonts w:asciiTheme="minorHAnsi" w:hAnsiTheme="minorHAnsi" w:eastAsiaTheme="minorHAnsi" w:cstheme="minorBidi"/>
      <w:sz w:val="18"/>
      <w:szCs w:val="18"/>
      <w:lang w:eastAsia="en-US" w:bidi="en-US"/>
    </w:rPr>
  </w:style>
  <w:style w:type="paragraph" w:styleId="14">
    <w:name w:val="List Paragraph"/>
    <w:basedOn w:val="1"/>
    <w:qFormat/>
    <w:uiPriority w:val="34"/>
    <w:pPr>
      <w:ind w:firstLine="420" w:firstLineChars="200"/>
    </w:pPr>
  </w:style>
  <w:style w:type="character" w:customStyle="1" w:styleId="15">
    <w:name w:val="批注框文本 字符"/>
    <w:basedOn w:val="9"/>
    <w:link w:val="3"/>
    <w:autoRedefine/>
    <w:semiHidden/>
    <w:qFormat/>
    <w:uiPriority w:val="99"/>
    <w:rPr>
      <w:rFonts w:asciiTheme="minorHAnsi" w:hAnsiTheme="minorHAnsi" w:eastAsiaTheme="minorHAnsi" w:cstheme="minorBidi"/>
      <w:sz w:val="18"/>
      <w:szCs w:val="18"/>
      <w:lang w:eastAsia="en-US" w:bidi="en-US"/>
    </w:rPr>
  </w:style>
  <w:style w:type="character" w:customStyle="1" w:styleId="16">
    <w:name w:val="正文文本 Char1"/>
    <w:basedOn w:val="9"/>
    <w:autoRedefine/>
    <w:qFormat/>
    <w:uiPriority w:val="0"/>
    <w:rPr>
      <w:kern w:val="2"/>
      <w:sz w:val="32"/>
      <w:szCs w:val="32"/>
    </w:rPr>
  </w:style>
  <w:style w:type="character" w:customStyle="1" w:styleId="17">
    <w:name w:val="正文文本 字符"/>
    <w:basedOn w:val="9"/>
    <w:link w:val="2"/>
    <w:qFormat/>
    <w:uiPriority w:val="0"/>
    <w:rPr>
      <w:rFonts w:hint="eastAsia" w:ascii="宋体" w:hAnsi="宋体" w:eastAsia="宋体" w:cs="宋体"/>
      <w:sz w:val="23"/>
      <w:szCs w:val="23"/>
      <w:shd w:val="clear" w:color="auto" w:fill="FFFFFF"/>
    </w:rPr>
  </w:style>
  <w:style w:type="character" w:customStyle="1" w:styleId="18">
    <w:name w:val="正文文本 + Batang"/>
    <w:qFormat/>
    <w:uiPriority w:val="0"/>
    <w:rPr>
      <w:rFonts w:ascii="Batang" w:eastAsia="Batang" w:cs="Batang"/>
      <w:sz w:val="21"/>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officegen</Company>
  <Pages>3</Pages>
  <Words>2210</Words>
  <Characters>2330</Characters>
  <Lines>16</Lines>
  <Paragraphs>4</Paragraphs>
  <TotalTime>0</TotalTime>
  <ScaleCrop>false</ScaleCrop>
  <LinksUpToDate>false</LinksUpToDate>
  <CharactersWithSpaces>2406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2019-05-20T03:12:00Z</dcterms:created>
  <dc:creator>officegen</dc:creator>
  <cp:lastModifiedBy>慕</cp:lastModifiedBy>
  <dcterms:modified xsi:type="dcterms:W3CDTF">2024-11-28T07:56:54Z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E6046967ECD34BC89545750C4A6EDE22</vt:lpwstr>
  </property>
  <property fmtid="{D5CDD505-2E9C-101B-9397-08002B2CF9AE}" pid="4" name="commondata">
    <vt:lpwstr>eyJoZGlkIjoiZmU4M2FlZTVkMWNhMDNlYjc2YWIzMGQ0NDMwZjgwY2MifQ==</vt:lpwstr>
  </property>
</Properties>
</file>