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CA8BE">
      <w:pPr>
        <w:spacing w:before="107" w:line="222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附件3</w:t>
      </w:r>
    </w:p>
    <w:p w14:paraId="1C8B498E"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年12月屠宰环节病害猪损失补贴资金明细表</w:t>
      </w:r>
    </w:p>
    <w:p w14:paraId="254B3A8A"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  <w:t>（市、区）</w:t>
      </w:r>
    </w:p>
    <w:p w14:paraId="7CFDC4D4">
      <w:pPr>
        <w:spacing w:line="477" w:lineRule="auto"/>
        <w:rPr>
          <w:rFonts w:ascii="Arial"/>
          <w:sz w:val="21"/>
        </w:rPr>
      </w:pPr>
    </w:p>
    <w:p w14:paraId="35A8A691">
      <w:pPr>
        <w:spacing w:before="227" w:line="219" w:lineRule="auto"/>
        <w:jc w:val="right"/>
        <w:rPr>
          <w:rFonts w:hint="eastAsia" w:ascii="宋体" w:hAnsi="宋体" w:cs="宋体"/>
          <w:spacing w:val="3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>单位：头、元</w:t>
      </w:r>
    </w:p>
    <w:p w14:paraId="4B562BD1">
      <w:pPr>
        <w:spacing w:line="92" w:lineRule="exact"/>
      </w:pPr>
    </w:p>
    <w:tbl>
      <w:tblPr>
        <w:tblStyle w:val="4"/>
        <w:tblW w:w="13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3"/>
        <w:gridCol w:w="7314"/>
        <w:gridCol w:w="2973"/>
      </w:tblGrid>
      <w:tr w14:paraId="00356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3163" w:type="dxa"/>
            <w:vAlign w:val="top"/>
          </w:tcPr>
          <w:p w14:paraId="540F8918">
            <w:pPr>
              <w:spacing w:line="325" w:lineRule="auto"/>
              <w:rPr>
                <w:rFonts w:ascii="Arial"/>
                <w:sz w:val="21"/>
              </w:rPr>
            </w:pPr>
          </w:p>
          <w:p w14:paraId="7DF0FEE0">
            <w:pPr>
              <w:spacing w:line="325" w:lineRule="auto"/>
              <w:rPr>
                <w:rFonts w:ascii="Arial"/>
                <w:sz w:val="21"/>
              </w:rPr>
            </w:pPr>
          </w:p>
          <w:p w14:paraId="296F22C0">
            <w:pPr>
              <w:spacing w:before="81" w:line="219" w:lineRule="auto"/>
              <w:ind w:left="107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3"/>
                <w:sz w:val="25"/>
                <w:szCs w:val="25"/>
              </w:rPr>
              <w:t>屠宰企业</w:t>
            </w:r>
          </w:p>
        </w:tc>
        <w:tc>
          <w:tcPr>
            <w:tcW w:w="7314" w:type="dxa"/>
            <w:vAlign w:val="top"/>
          </w:tcPr>
          <w:p w14:paraId="5E8090EE">
            <w:pPr>
              <w:spacing w:line="325" w:lineRule="auto"/>
              <w:rPr>
                <w:rFonts w:ascii="Arial"/>
                <w:sz w:val="21"/>
              </w:rPr>
            </w:pPr>
          </w:p>
          <w:p w14:paraId="5AC362B2">
            <w:pPr>
              <w:spacing w:line="325" w:lineRule="auto"/>
              <w:rPr>
                <w:rFonts w:ascii="Arial"/>
                <w:sz w:val="21"/>
              </w:rPr>
            </w:pPr>
          </w:p>
          <w:p w14:paraId="72AD1890">
            <w:pPr>
              <w:spacing w:before="81" w:line="219" w:lineRule="auto"/>
              <w:ind w:left="290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损失补贴头数</w:t>
            </w:r>
          </w:p>
        </w:tc>
        <w:tc>
          <w:tcPr>
            <w:tcW w:w="2973" w:type="dxa"/>
            <w:vAlign w:val="top"/>
          </w:tcPr>
          <w:p w14:paraId="42CEEAA9">
            <w:pPr>
              <w:spacing w:line="325" w:lineRule="auto"/>
              <w:rPr>
                <w:rFonts w:ascii="Arial"/>
                <w:sz w:val="21"/>
              </w:rPr>
            </w:pPr>
          </w:p>
          <w:p w14:paraId="36531BFB">
            <w:pPr>
              <w:spacing w:line="325" w:lineRule="auto"/>
              <w:rPr>
                <w:rFonts w:ascii="Arial"/>
                <w:sz w:val="21"/>
              </w:rPr>
            </w:pPr>
          </w:p>
          <w:p w14:paraId="0D183F54">
            <w:pPr>
              <w:spacing w:before="82" w:line="220" w:lineRule="auto"/>
              <w:ind w:left="978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补助资金</w:t>
            </w:r>
          </w:p>
        </w:tc>
      </w:tr>
      <w:tr w14:paraId="621EF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3163" w:type="dxa"/>
            <w:vAlign w:val="top"/>
          </w:tcPr>
          <w:p w14:paraId="537C3B6A">
            <w:pPr>
              <w:spacing w:line="324" w:lineRule="auto"/>
              <w:rPr>
                <w:rFonts w:ascii="Arial"/>
                <w:sz w:val="21"/>
              </w:rPr>
            </w:pPr>
          </w:p>
          <w:p w14:paraId="05151D23">
            <w:pPr>
              <w:spacing w:line="324" w:lineRule="auto"/>
              <w:rPr>
                <w:rFonts w:ascii="Arial"/>
                <w:sz w:val="21"/>
              </w:rPr>
            </w:pPr>
          </w:p>
          <w:p w14:paraId="275BB4BC">
            <w:pPr>
              <w:spacing w:before="81" w:line="219" w:lineRule="auto"/>
              <w:ind w:left="19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常州市三泉食品有限公司</w:t>
            </w:r>
          </w:p>
        </w:tc>
        <w:tc>
          <w:tcPr>
            <w:tcW w:w="7314" w:type="dxa"/>
            <w:vAlign w:val="top"/>
          </w:tcPr>
          <w:p w14:paraId="0D6FABDF">
            <w:pPr>
              <w:spacing w:line="287" w:lineRule="auto"/>
              <w:rPr>
                <w:rFonts w:ascii="Arial"/>
                <w:sz w:val="21"/>
              </w:rPr>
            </w:pPr>
          </w:p>
          <w:p w14:paraId="5C3D16EE">
            <w:pPr>
              <w:spacing w:line="287" w:lineRule="auto"/>
              <w:rPr>
                <w:rFonts w:ascii="Arial"/>
                <w:sz w:val="21"/>
              </w:rPr>
            </w:pPr>
          </w:p>
          <w:p w14:paraId="510309E2">
            <w:pPr>
              <w:spacing w:before="82" w:line="159" w:lineRule="auto"/>
              <w:ind w:left="3462"/>
              <w:rPr>
                <w:rFonts w:hint="default" w:ascii="宋体" w:hAnsi="宋体" w:eastAsia="宋体" w:cs="宋体"/>
                <w:sz w:val="25"/>
                <w:szCs w:val="25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5"/>
                <w:szCs w:val="25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4"/>
                <w:sz w:val="25"/>
                <w:szCs w:val="25"/>
                <w:lang w:val="en-US" w:eastAsia="zh-CN"/>
              </w:rPr>
              <w:t>47</w:t>
            </w:r>
          </w:p>
          <w:p w14:paraId="4EC5D71B">
            <w:pPr>
              <w:spacing w:line="219" w:lineRule="auto"/>
              <w:ind w:left="1652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(病害猪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pacing w:val="2"/>
                <w:sz w:val="25"/>
                <w:szCs w:val="25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头、病害产品折算</w:t>
            </w:r>
            <w:r>
              <w:rPr>
                <w:rFonts w:hint="eastAsia" w:ascii="宋体" w:hAnsi="宋体" w:cs="宋体"/>
                <w:spacing w:val="2"/>
                <w:sz w:val="25"/>
                <w:szCs w:val="25"/>
                <w:lang w:val="en-US" w:eastAsia="zh-CN"/>
              </w:rPr>
              <w:t>304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头)</w:t>
            </w:r>
          </w:p>
        </w:tc>
        <w:tc>
          <w:tcPr>
            <w:tcW w:w="2973" w:type="dxa"/>
            <w:vAlign w:val="top"/>
          </w:tcPr>
          <w:p w14:paraId="06079676">
            <w:pPr>
              <w:spacing w:line="357" w:lineRule="auto"/>
              <w:rPr>
                <w:rFonts w:ascii="Arial"/>
                <w:sz w:val="21"/>
              </w:rPr>
            </w:pPr>
          </w:p>
          <w:p w14:paraId="2A1E31FC">
            <w:pPr>
              <w:spacing w:line="357" w:lineRule="auto"/>
              <w:rPr>
                <w:rFonts w:ascii="Arial"/>
                <w:sz w:val="21"/>
              </w:rPr>
            </w:pPr>
          </w:p>
          <w:p w14:paraId="0AB11720">
            <w:pPr>
              <w:spacing w:before="81" w:line="183" w:lineRule="auto"/>
              <w:ind w:left="918"/>
              <w:rPr>
                <w:rFonts w:hint="default" w:ascii="宋体" w:hAnsi="宋体" w:eastAsia="宋体" w:cs="宋体"/>
                <w:sz w:val="25"/>
                <w:szCs w:val="25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5"/>
                <w:szCs w:val="25"/>
                <w:lang w:val="en-US" w:eastAsia="zh-CN"/>
              </w:rPr>
              <w:t>214560.00</w:t>
            </w:r>
          </w:p>
        </w:tc>
      </w:tr>
    </w:tbl>
    <w:p w14:paraId="642E4B61">
      <w:pPr>
        <w:spacing w:before="63" w:line="219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  <w:sectPr>
          <w:pgSz w:w="16840" w:h="11907" w:orient="landscape"/>
          <w:pgMar w:top="1440" w:right="1800" w:bottom="1440" w:left="1800" w:header="720" w:footer="1474" w:gutter="0"/>
          <w:pgNumType w:fmt="numberInDash"/>
          <w:cols w:space="425" w:num="1"/>
          <w:docGrid w:linePitch="595" w:charSpace="-1048"/>
        </w:sectPr>
      </w:pPr>
      <w:r>
        <w:rPr>
          <w:rFonts w:ascii="宋体" w:hAnsi="宋体" w:eastAsia="宋体" w:cs="宋体"/>
          <w:sz w:val="24"/>
          <w:szCs w:val="24"/>
        </w:rPr>
        <w:t>注：屠宰环节对病害猪(含病害产品折算)按800元/头的标准给予损失补贴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 w14:paraId="2D802F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0603D"/>
    <w:rsid w:val="5300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2024-12-04T06:55:00Z</dcterms:created>
  <dc:creator>李青‮</dc:creator>
  <cp:lastModifiedBy>李青‮</cp:lastModifiedBy>
  <dcterms:modified xsi:type="dcterms:W3CDTF">2024-12-04T06:56:17Z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50B02A7F9C5047E28FBFB645775BB638_11</vt:lpwstr>
  </property>
</Properties>
</file>