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164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kern w:val="2"/>
          <w:sz w:val="44"/>
          <w:szCs w:val="44"/>
          <w:lang w:val="en-US" w:eastAsia="zh-CN"/>
        </w:rPr>
      </w:pPr>
      <w:r>
        <w:rPr>
          <w:rFonts w:hint="eastAsia" w:ascii="Times New Roman" w:hAnsi="Times New Roman" w:eastAsia="方正小标宋简体" w:cs="Times New Roman"/>
          <w:color w:val="000000"/>
          <w:kern w:val="2"/>
          <w:sz w:val="44"/>
          <w:szCs w:val="44"/>
          <w:lang w:val="en-US" w:eastAsia="zh-CN"/>
        </w:rPr>
        <w:t>2024年新北区</w:t>
      </w:r>
      <w:r>
        <w:rPr>
          <w:rFonts w:hint="eastAsia" w:ascii="Times New Roman" w:eastAsia="方正小标宋简体" w:cs="Times New Roman"/>
          <w:color w:val="000000"/>
          <w:kern w:val="2"/>
          <w:sz w:val="44"/>
          <w:szCs w:val="44"/>
          <w:lang w:val="en-US" w:eastAsia="zh-CN"/>
        </w:rPr>
        <w:t>车用汽油、车用柴油</w:t>
      </w:r>
      <w:r>
        <w:rPr>
          <w:rFonts w:hint="eastAsia" w:ascii="Times New Roman" w:hAnsi="Times New Roman" w:eastAsia="方正小标宋简体" w:cs="Times New Roman"/>
          <w:color w:val="000000"/>
          <w:kern w:val="2"/>
          <w:sz w:val="44"/>
          <w:szCs w:val="44"/>
          <w:lang w:val="en-US" w:eastAsia="zh-CN"/>
        </w:rPr>
        <w:t>产品质量监督抽查分析报告</w:t>
      </w:r>
    </w:p>
    <w:p w14:paraId="1FBB5B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bidi="ar-SA"/>
        </w:rPr>
      </w:pPr>
    </w:p>
    <w:p w14:paraId="4CDE365D">
      <w:pPr>
        <w:adjustRightInd w:val="0"/>
        <w:snapToGrid w:val="0"/>
        <w:spacing w:line="570" w:lineRule="exact"/>
        <w:rPr>
          <w:rFonts w:hint="eastAsia" w:ascii="黑体" w:hAnsi="黑体" w:eastAsia="黑体" w:cs="宋体"/>
          <w:sz w:val="32"/>
          <w:szCs w:val="32"/>
        </w:rPr>
      </w:pPr>
      <w:r>
        <w:rPr>
          <w:rFonts w:hint="eastAsia" w:ascii="黑体" w:hAnsi="黑体" w:eastAsia="黑体" w:cs="宋体"/>
          <w:sz w:val="32"/>
          <w:szCs w:val="32"/>
        </w:rPr>
        <w:t>一、内容摘要</w:t>
      </w:r>
    </w:p>
    <w:p w14:paraId="28E4361D">
      <w:pPr>
        <w:adjustRightInd w:val="0"/>
        <w:snapToGrid w:val="0"/>
        <w:spacing w:line="570" w:lineRule="exact"/>
        <w:ind w:firstLine="480"/>
        <w:rPr>
          <w:rFonts w:hint="eastAsia" w:ascii="仿宋_GB2312" w:hAnsi="宋体" w:eastAsia="仿宋_GB2312" w:cs="宋体"/>
          <w:color w:val="000000"/>
          <w:kern w:val="0"/>
          <w:sz w:val="32"/>
          <w:szCs w:val="32"/>
          <w:lang w:bidi="ar"/>
        </w:rPr>
      </w:pPr>
      <w:r>
        <w:rPr>
          <w:rFonts w:eastAsia="仿宋_GB2312"/>
          <w:color w:val="000000"/>
          <w:kern w:val="0"/>
          <w:sz w:val="32"/>
          <w:szCs w:val="32"/>
          <w:lang w:bidi="ar"/>
        </w:rPr>
        <w:t>202</w:t>
      </w:r>
      <w:r>
        <w:rPr>
          <w:rFonts w:hint="eastAsia" w:eastAsia="仿宋_GB2312"/>
          <w:color w:val="000000"/>
          <w:kern w:val="0"/>
          <w:sz w:val="32"/>
          <w:szCs w:val="32"/>
          <w:lang w:bidi="ar"/>
        </w:rPr>
        <w:t>4</w:t>
      </w:r>
      <w:r>
        <w:rPr>
          <w:rFonts w:hint="eastAsia" w:ascii="仿宋_GB2312" w:hAnsi="宋体" w:eastAsia="仿宋_GB2312" w:cs="宋体"/>
          <w:color w:val="000000"/>
          <w:kern w:val="0"/>
          <w:sz w:val="32"/>
          <w:szCs w:val="32"/>
          <w:lang w:bidi="ar"/>
        </w:rPr>
        <w:t>年</w:t>
      </w:r>
      <w:r>
        <w:rPr>
          <w:rFonts w:hint="eastAsia" w:eastAsia="仿宋_GB2312"/>
          <w:color w:val="000000"/>
          <w:kern w:val="0"/>
          <w:sz w:val="32"/>
          <w:szCs w:val="32"/>
          <w:lang w:bidi="ar"/>
        </w:rPr>
        <w:t>10</w:t>
      </w:r>
      <w:r>
        <w:rPr>
          <w:rFonts w:hint="eastAsia" w:ascii="仿宋_GB2312" w:hAnsi="宋体" w:eastAsia="仿宋_GB2312" w:cs="宋体"/>
          <w:color w:val="000000"/>
          <w:kern w:val="0"/>
          <w:sz w:val="32"/>
          <w:szCs w:val="32"/>
          <w:lang w:bidi="ar"/>
        </w:rPr>
        <w:t>月</w:t>
      </w:r>
      <w:r>
        <w:rPr>
          <w:rFonts w:hint="eastAsia" w:eastAsia="仿宋_GB2312"/>
          <w:color w:val="000000"/>
          <w:kern w:val="0"/>
          <w:sz w:val="32"/>
          <w:szCs w:val="32"/>
          <w:lang w:bidi="ar"/>
        </w:rPr>
        <w:t>2</w:t>
      </w:r>
      <w:r>
        <w:rPr>
          <w:rFonts w:hint="eastAsia" w:eastAsia="仿宋_GB2312"/>
          <w:color w:val="000000"/>
          <w:kern w:val="0"/>
          <w:sz w:val="32"/>
          <w:szCs w:val="32"/>
          <w:lang w:val="en-US" w:eastAsia="zh-CN" w:bidi="ar"/>
        </w:rPr>
        <w:t>1</w:t>
      </w:r>
      <w:r>
        <w:rPr>
          <w:rFonts w:hint="eastAsia" w:ascii="仿宋_GB2312" w:hAnsi="宋体" w:eastAsia="仿宋_GB2312" w:cs="宋体"/>
          <w:color w:val="000000"/>
          <w:kern w:val="0"/>
          <w:sz w:val="32"/>
          <w:szCs w:val="32"/>
          <w:lang w:bidi="ar"/>
        </w:rPr>
        <w:t>日至</w:t>
      </w:r>
      <w:r>
        <w:rPr>
          <w:rFonts w:eastAsia="仿宋_GB2312"/>
          <w:color w:val="000000"/>
          <w:kern w:val="0"/>
          <w:sz w:val="32"/>
          <w:szCs w:val="32"/>
          <w:lang w:bidi="ar"/>
        </w:rPr>
        <w:t>202</w:t>
      </w:r>
      <w:r>
        <w:rPr>
          <w:rFonts w:hint="eastAsia" w:eastAsia="仿宋_GB2312"/>
          <w:color w:val="000000"/>
          <w:kern w:val="0"/>
          <w:sz w:val="32"/>
          <w:szCs w:val="32"/>
          <w:lang w:bidi="ar"/>
        </w:rPr>
        <w:t>4</w:t>
      </w:r>
      <w:r>
        <w:rPr>
          <w:rFonts w:hint="eastAsia" w:ascii="仿宋_GB2312" w:hAnsi="宋体" w:eastAsia="仿宋_GB2312" w:cs="宋体"/>
          <w:color w:val="000000"/>
          <w:kern w:val="0"/>
          <w:sz w:val="32"/>
          <w:szCs w:val="32"/>
          <w:lang w:bidi="ar"/>
        </w:rPr>
        <w:t>年</w:t>
      </w:r>
      <w:r>
        <w:rPr>
          <w:rFonts w:eastAsia="仿宋_GB2312"/>
          <w:color w:val="000000"/>
          <w:kern w:val="0"/>
          <w:sz w:val="32"/>
          <w:szCs w:val="32"/>
          <w:lang w:bidi="ar"/>
        </w:rPr>
        <w:t>1</w:t>
      </w:r>
      <w:r>
        <w:rPr>
          <w:rFonts w:hint="eastAsia" w:eastAsia="仿宋_GB2312"/>
          <w:color w:val="000000"/>
          <w:kern w:val="0"/>
          <w:sz w:val="32"/>
          <w:szCs w:val="32"/>
          <w:lang w:bidi="ar"/>
        </w:rPr>
        <w:t>1</w:t>
      </w:r>
      <w:r>
        <w:rPr>
          <w:rFonts w:hint="eastAsia" w:ascii="仿宋_GB2312" w:hAnsi="宋体" w:eastAsia="仿宋_GB2312" w:cs="宋体"/>
          <w:color w:val="000000"/>
          <w:kern w:val="0"/>
          <w:sz w:val="32"/>
          <w:szCs w:val="32"/>
          <w:lang w:bidi="ar"/>
        </w:rPr>
        <w:t>月</w:t>
      </w:r>
      <w:r>
        <w:rPr>
          <w:rFonts w:hint="eastAsia" w:eastAsia="仿宋_GB2312"/>
          <w:color w:val="000000"/>
          <w:kern w:val="0"/>
          <w:sz w:val="32"/>
          <w:szCs w:val="32"/>
          <w:lang w:val="en-US" w:eastAsia="zh-CN" w:bidi="ar"/>
        </w:rPr>
        <w:t>2</w:t>
      </w:r>
      <w:r>
        <w:rPr>
          <w:rFonts w:hint="eastAsia" w:eastAsia="仿宋_GB2312"/>
          <w:color w:val="000000"/>
          <w:kern w:val="0"/>
          <w:sz w:val="32"/>
          <w:szCs w:val="32"/>
          <w:lang w:bidi="ar"/>
        </w:rPr>
        <w:t>5</w:t>
      </w:r>
      <w:r>
        <w:rPr>
          <w:rFonts w:hint="eastAsia" w:ascii="仿宋_GB2312" w:hAnsi="宋体" w:eastAsia="仿宋_GB2312" w:cs="宋体"/>
          <w:color w:val="000000"/>
          <w:kern w:val="0"/>
          <w:sz w:val="32"/>
          <w:szCs w:val="32"/>
          <w:lang w:bidi="ar"/>
        </w:rPr>
        <w:t>日，常州检验检测标准认证研究院受常州国家高新技术产业开发区（新北区）市场监督管理局委托，任务编号：常高新市管质抽[2024]004号</w:t>
      </w:r>
      <w:r>
        <w:rPr>
          <w:rFonts w:hint="eastAsia" w:eastAsia="仿宋_GB2312"/>
          <w:color w:val="000000"/>
          <w:kern w:val="0"/>
          <w:sz w:val="32"/>
          <w:szCs w:val="32"/>
          <w:lang w:bidi="ar"/>
        </w:rPr>
        <w:t>，</w:t>
      </w:r>
      <w:r>
        <w:rPr>
          <w:rFonts w:hint="eastAsia" w:ascii="仿宋_GB2312" w:hAnsi="宋体" w:eastAsia="仿宋_GB2312" w:cs="宋体"/>
          <w:color w:val="000000"/>
          <w:kern w:val="0"/>
          <w:sz w:val="32"/>
          <w:szCs w:val="32"/>
          <w:lang w:bidi="ar"/>
        </w:rPr>
        <w:t>对常州国家高新技术产业开发区（新北区）内加油站</w:t>
      </w:r>
      <w:r>
        <w:rPr>
          <w:rFonts w:hint="eastAsia" w:ascii="仿宋_GB2312" w:hAnsi="仿宋" w:eastAsia="仿宋_GB2312" w:cs="宋体"/>
          <w:sz w:val="32"/>
          <w:szCs w:val="32"/>
        </w:rPr>
        <w:t>经营</w:t>
      </w:r>
      <w:r>
        <w:rPr>
          <w:rFonts w:hint="eastAsia" w:ascii="仿宋_GB2312" w:hAnsi="宋体" w:eastAsia="仿宋_GB2312" w:cs="宋体"/>
          <w:color w:val="000000"/>
          <w:kern w:val="0"/>
          <w:sz w:val="32"/>
          <w:szCs w:val="32"/>
          <w:lang w:bidi="ar"/>
        </w:rPr>
        <w:t>的车用汽柴油产品进行了质量抽检。抽查车用汽油</w:t>
      </w:r>
      <w:r>
        <w:rPr>
          <w:rFonts w:hint="eastAsia" w:eastAsia="仿宋_GB2312"/>
          <w:color w:val="000000"/>
          <w:kern w:val="0"/>
          <w:sz w:val="32"/>
          <w:szCs w:val="32"/>
          <w:lang w:bidi="ar"/>
        </w:rPr>
        <w:t>15</w:t>
      </w:r>
      <w:r>
        <w:rPr>
          <w:rFonts w:hint="eastAsia" w:ascii="仿宋_GB2312" w:hAnsi="宋体" w:eastAsia="仿宋_GB2312" w:cs="宋体"/>
          <w:color w:val="000000"/>
          <w:kern w:val="0"/>
          <w:sz w:val="32"/>
          <w:szCs w:val="32"/>
          <w:lang w:bidi="ar"/>
        </w:rPr>
        <w:t>批次，车用柴油</w:t>
      </w:r>
      <w:r>
        <w:rPr>
          <w:rFonts w:hint="eastAsia" w:eastAsia="仿宋_GB2312"/>
          <w:color w:val="000000"/>
          <w:kern w:val="0"/>
          <w:sz w:val="32"/>
          <w:szCs w:val="32"/>
          <w:lang w:bidi="ar"/>
        </w:rPr>
        <w:t>5</w:t>
      </w:r>
      <w:r>
        <w:rPr>
          <w:rFonts w:hint="eastAsia" w:ascii="仿宋_GB2312" w:hAnsi="宋体" w:eastAsia="仿宋_GB2312" w:cs="宋体"/>
          <w:color w:val="000000"/>
          <w:kern w:val="0"/>
          <w:sz w:val="32"/>
          <w:szCs w:val="32"/>
          <w:lang w:bidi="ar"/>
        </w:rPr>
        <w:t>批次，共计</w:t>
      </w:r>
      <w:r>
        <w:rPr>
          <w:rFonts w:hint="eastAsia" w:eastAsia="仿宋_GB2312"/>
          <w:color w:val="000000"/>
          <w:kern w:val="0"/>
          <w:sz w:val="32"/>
          <w:szCs w:val="32"/>
          <w:lang w:bidi="ar"/>
        </w:rPr>
        <w:t>20</w:t>
      </w:r>
      <w:r>
        <w:rPr>
          <w:rFonts w:hint="eastAsia" w:ascii="仿宋_GB2312" w:hAnsi="宋体" w:eastAsia="仿宋_GB2312" w:cs="宋体"/>
          <w:color w:val="000000"/>
          <w:kern w:val="0"/>
          <w:sz w:val="32"/>
          <w:szCs w:val="32"/>
          <w:lang w:bidi="ar"/>
        </w:rPr>
        <w:t>批次。经检验，合格</w:t>
      </w:r>
      <w:r>
        <w:rPr>
          <w:rFonts w:hint="eastAsia" w:eastAsia="仿宋_GB2312"/>
          <w:color w:val="000000"/>
          <w:kern w:val="0"/>
          <w:sz w:val="32"/>
          <w:szCs w:val="32"/>
          <w:lang w:bidi="ar"/>
        </w:rPr>
        <w:t>20</w:t>
      </w:r>
      <w:r>
        <w:rPr>
          <w:rFonts w:hint="eastAsia" w:ascii="仿宋_GB2312" w:hAnsi="宋体" w:eastAsia="仿宋_GB2312" w:cs="宋体"/>
          <w:color w:val="000000"/>
          <w:kern w:val="0"/>
          <w:sz w:val="32"/>
          <w:szCs w:val="32"/>
          <w:lang w:bidi="ar"/>
        </w:rPr>
        <w:t>批次，合格率为</w:t>
      </w:r>
      <w:r>
        <w:rPr>
          <w:rFonts w:eastAsia="仿宋_GB2312"/>
          <w:color w:val="000000"/>
          <w:kern w:val="0"/>
          <w:sz w:val="32"/>
          <w:szCs w:val="32"/>
          <w:lang w:bidi="ar"/>
        </w:rPr>
        <w:t>100</w:t>
      </w:r>
      <w:r>
        <w:rPr>
          <w:rFonts w:hint="eastAsia" w:ascii="仿宋_GB2312" w:hAnsi="宋体" w:eastAsia="仿宋_GB2312" w:cs="宋体"/>
          <w:color w:val="000000"/>
          <w:kern w:val="0"/>
          <w:sz w:val="32"/>
          <w:szCs w:val="32"/>
          <w:lang w:bidi="ar"/>
        </w:rPr>
        <w:t>%。</w:t>
      </w:r>
    </w:p>
    <w:p w14:paraId="28171160">
      <w:pPr>
        <w:adjustRightInd w:val="0"/>
        <w:snapToGrid w:val="0"/>
        <w:spacing w:line="570" w:lineRule="exact"/>
        <w:rPr>
          <w:rFonts w:hint="eastAsia" w:ascii="黑体" w:hAnsi="黑体" w:eastAsia="黑体" w:cs="宋体"/>
          <w:sz w:val="32"/>
          <w:szCs w:val="32"/>
        </w:rPr>
      </w:pPr>
      <w:r>
        <w:rPr>
          <w:rFonts w:hint="eastAsia" w:ascii="黑体" w:hAnsi="黑体" w:eastAsia="黑体" w:cs="宋体"/>
          <w:sz w:val="32"/>
          <w:szCs w:val="32"/>
        </w:rPr>
        <w:t>二、产品和产业概况</w:t>
      </w:r>
    </w:p>
    <w:p w14:paraId="201B756D">
      <w:pPr>
        <w:snapToGrid w:val="0"/>
        <w:spacing w:before="156" w:beforeLines="50" w:line="570" w:lineRule="exact"/>
        <w:ind w:firstLine="640" w:firstLineChars="200"/>
        <w:jc w:val="left"/>
        <w:rPr>
          <w:rFonts w:hint="eastAsia" w:ascii="楷体_GB2312" w:hAnsi="楷体" w:eastAsia="楷体_GB2312" w:cs="宋体"/>
          <w:b w:val="0"/>
          <w:bCs/>
          <w:sz w:val="32"/>
          <w:szCs w:val="32"/>
        </w:rPr>
      </w:pPr>
      <w:r>
        <w:rPr>
          <w:rFonts w:hint="eastAsia" w:eastAsia="楷体_GB2312"/>
          <w:b w:val="0"/>
          <w:bCs/>
          <w:sz w:val="32"/>
          <w:szCs w:val="32"/>
        </w:rPr>
        <w:t>（一）</w:t>
      </w:r>
      <w:r>
        <w:rPr>
          <w:rFonts w:hint="eastAsia" w:ascii="楷体_GB2312" w:hAnsi="楷体" w:eastAsia="楷体_GB2312" w:cs="宋体"/>
          <w:b w:val="0"/>
          <w:bCs/>
          <w:sz w:val="32"/>
          <w:szCs w:val="32"/>
        </w:rPr>
        <w:t>产品概况</w:t>
      </w:r>
    </w:p>
    <w:p w14:paraId="57147C67">
      <w:pPr>
        <w:spacing w:line="570" w:lineRule="exact"/>
        <w:ind w:firstLine="675" w:firstLineChars="200"/>
        <w:rPr>
          <w:rFonts w:hint="eastAsia" w:ascii="仿宋_GB2312" w:hAnsi="仿宋" w:eastAsia="仿宋_GB2312" w:cs="宋体"/>
          <w:b/>
          <w:bCs w:val="0"/>
          <w:spacing w:val="8"/>
          <w:kern w:val="0"/>
          <w:sz w:val="32"/>
          <w:szCs w:val="32"/>
        </w:rPr>
      </w:pPr>
      <w:r>
        <w:rPr>
          <w:rFonts w:eastAsia="仿宋_GB2312"/>
          <w:b/>
          <w:bCs w:val="0"/>
          <w:spacing w:val="8"/>
          <w:kern w:val="0"/>
          <w:sz w:val="32"/>
          <w:szCs w:val="32"/>
        </w:rPr>
        <w:t>1</w:t>
      </w:r>
      <w:r>
        <w:rPr>
          <w:rFonts w:hint="eastAsia" w:ascii="仿宋_GB2312" w:hAnsi="仿宋" w:eastAsia="仿宋_GB2312" w:cs="宋体"/>
          <w:b/>
          <w:bCs w:val="0"/>
          <w:spacing w:val="8"/>
          <w:kern w:val="0"/>
          <w:sz w:val="32"/>
          <w:szCs w:val="32"/>
        </w:rPr>
        <w:t>.</w:t>
      </w:r>
      <w:r>
        <w:rPr>
          <w:rFonts w:hint="eastAsia" w:ascii="仿宋_GB2312" w:eastAsia="仿宋_GB2312" w:cs="宋体"/>
          <w:b/>
          <w:bCs w:val="0"/>
          <w:spacing w:val="8"/>
          <w:kern w:val="0"/>
          <w:sz w:val="32"/>
          <w:szCs w:val="32"/>
        </w:rPr>
        <w:t>产品定义</w:t>
      </w:r>
    </w:p>
    <w:p w14:paraId="1D337B12">
      <w:pPr>
        <w:snapToGrid w:val="0"/>
        <w:spacing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车用汽柴油是经过原油的生产加工而成，广泛应用于汽车、摩托车、快艇、直升飞机、使用柴油内燃机的车辆（包含火车）、船舰、柴油锅炉等的石油燃料。</w:t>
      </w:r>
    </w:p>
    <w:p w14:paraId="5A3CB15F">
      <w:pPr>
        <w:snapToGrid w:val="0"/>
        <w:spacing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车用汽油的主要用途是作为汽车发动机的燃料。由于汽油具有较高的辛烷值和良好的蒸发性，它被广泛用于高压缩比的汽化器式汽油发动机中，以提高发动机的工作效率和稳定性。</w:t>
      </w:r>
      <w:r>
        <w:rPr>
          <w:rFonts w:ascii="仿宋_GB2312" w:hAnsi="仿宋" w:eastAsia="仿宋_GB2312" w:cs="宋体"/>
          <w:color w:val="000000"/>
          <w:kern w:val="0"/>
          <w:sz w:val="32"/>
          <w:szCs w:val="32"/>
          <w:lang w:bidi="ar"/>
        </w:rPr>
        <w:t>现</w:t>
      </w:r>
      <w:r>
        <w:rPr>
          <w:rFonts w:hint="eastAsia" w:ascii="仿宋_GB2312" w:hAnsi="仿宋" w:eastAsia="仿宋_GB2312" w:cs="宋体"/>
          <w:color w:val="000000"/>
          <w:kern w:val="0"/>
          <w:sz w:val="32"/>
          <w:szCs w:val="32"/>
          <w:lang w:bidi="ar"/>
        </w:rPr>
        <w:t>在</w:t>
      </w:r>
      <w:r>
        <w:rPr>
          <w:rFonts w:ascii="仿宋_GB2312" w:hAnsi="仿宋" w:eastAsia="仿宋_GB2312" w:cs="宋体"/>
          <w:color w:val="000000"/>
          <w:kern w:val="0"/>
          <w:sz w:val="32"/>
          <w:szCs w:val="32"/>
          <w:lang w:bidi="ar"/>
        </w:rPr>
        <w:t>市场销售车用汽油产品按研究法辛烷值分</w:t>
      </w:r>
      <w:r>
        <w:rPr>
          <w:rFonts w:hint="eastAsia" w:ascii="仿宋_GB2312" w:hAnsi="仿宋" w:eastAsia="仿宋_GB2312" w:cs="宋体"/>
          <w:color w:val="000000"/>
          <w:kern w:val="0"/>
          <w:sz w:val="32"/>
          <w:szCs w:val="32"/>
          <w:lang w:bidi="ar"/>
        </w:rPr>
        <w:t>主要</w:t>
      </w:r>
      <w:r>
        <w:rPr>
          <w:rFonts w:ascii="仿宋_GB2312" w:hAnsi="仿宋" w:eastAsia="仿宋_GB2312" w:cs="宋体"/>
          <w:color w:val="000000"/>
          <w:kern w:val="0"/>
          <w:sz w:val="32"/>
          <w:szCs w:val="32"/>
          <w:lang w:bidi="ar"/>
        </w:rPr>
        <w:t>是</w:t>
      </w:r>
      <w:r>
        <w:rPr>
          <w:rFonts w:eastAsia="仿宋_GB2312"/>
          <w:color w:val="000000"/>
          <w:kern w:val="0"/>
          <w:sz w:val="32"/>
          <w:szCs w:val="32"/>
          <w:lang w:bidi="ar"/>
        </w:rPr>
        <w:t>92</w:t>
      </w:r>
      <w:r>
        <w:rPr>
          <w:rFonts w:ascii="仿宋_GB2312" w:hAnsi="仿宋" w:eastAsia="仿宋_GB2312" w:cs="宋体"/>
          <w:color w:val="000000"/>
          <w:kern w:val="0"/>
          <w:sz w:val="32"/>
          <w:szCs w:val="32"/>
          <w:lang w:bidi="ar"/>
        </w:rPr>
        <w:t>号、</w:t>
      </w:r>
      <w:r>
        <w:rPr>
          <w:rFonts w:eastAsia="仿宋_GB2312"/>
          <w:color w:val="000000"/>
          <w:kern w:val="0"/>
          <w:sz w:val="32"/>
          <w:szCs w:val="32"/>
          <w:lang w:bidi="ar"/>
        </w:rPr>
        <w:t>95</w:t>
      </w:r>
      <w:r>
        <w:rPr>
          <w:rFonts w:ascii="仿宋_GB2312" w:hAnsi="仿宋" w:eastAsia="仿宋_GB2312" w:cs="宋体"/>
          <w:color w:val="000000"/>
          <w:kern w:val="0"/>
          <w:sz w:val="32"/>
          <w:szCs w:val="32"/>
          <w:lang w:bidi="ar"/>
        </w:rPr>
        <w:t>号和</w:t>
      </w:r>
      <w:r>
        <w:rPr>
          <w:rFonts w:eastAsia="仿宋_GB2312"/>
          <w:color w:val="000000"/>
          <w:kern w:val="0"/>
          <w:sz w:val="32"/>
          <w:szCs w:val="32"/>
          <w:lang w:bidi="ar"/>
        </w:rPr>
        <w:t>98</w:t>
      </w:r>
      <w:r>
        <w:rPr>
          <w:rFonts w:ascii="仿宋_GB2312" w:hAnsi="仿宋" w:eastAsia="仿宋_GB2312" w:cs="宋体"/>
          <w:color w:val="000000"/>
          <w:kern w:val="0"/>
          <w:sz w:val="32"/>
          <w:szCs w:val="32"/>
          <w:lang w:bidi="ar"/>
        </w:rPr>
        <w:t>号</w:t>
      </w:r>
      <w:r>
        <w:rPr>
          <w:rFonts w:eastAsia="仿宋_GB2312"/>
          <w:color w:val="000000"/>
          <w:kern w:val="0"/>
          <w:sz w:val="32"/>
          <w:szCs w:val="32"/>
          <w:lang w:bidi="ar"/>
        </w:rPr>
        <w:t>3</w:t>
      </w:r>
      <w:r>
        <w:rPr>
          <w:rFonts w:ascii="仿宋_GB2312" w:hAnsi="仿宋" w:eastAsia="仿宋_GB2312" w:cs="宋体"/>
          <w:color w:val="000000"/>
          <w:kern w:val="0"/>
          <w:sz w:val="32"/>
          <w:szCs w:val="32"/>
          <w:lang w:bidi="ar"/>
        </w:rPr>
        <w:t>个牌号。</w:t>
      </w:r>
    </w:p>
    <w:p w14:paraId="62E606BE">
      <w:pPr>
        <w:snapToGrid w:val="0"/>
        <w:spacing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车用柴油的主要用途是作为柴油发动机的燃料，广泛应用于大型汽车、铁路机车、船舰等。除此之外，还用于拖拉机、内燃机车及土建、挖掘机、装载机、渔船、柴油发电机组和农用机械的动力。因此，车用柴油在交通运输、工程建设和农业等领域都有着广泛的应用。</w:t>
      </w:r>
      <w:r>
        <w:rPr>
          <w:rFonts w:ascii="仿宋_GB2312" w:hAnsi="仿宋" w:eastAsia="仿宋_GB2312" w:cs="宋体"/>
          <w:color w:val="000000"/>
          <w:kern w:val="0"/>
          <w:sz w:val="32"/>
          <w:szCs w:val="32"/>
          <w:lang w:bidi="ar"/>
        </w:rPr>
        <w:t>南方市场销售主要是</w:t>
      </w:r>
      <w:r>
        <w:rPr>
          <w:rFonts w:eastAsia="仿宋_GB2312"/>
          <w:color w:val="000000"/>
          <w:kern w:val="0"/>
          <w:sz w:val="32"/>
          <w:szCs w:val="32"/>
          <w:lang w:bidi="ar"/>
        </w:rPr>
        <w:t>0</w:t>
      </w:r>
      <w:r>
        <w:rPr>
          <w:rFonts w:hint="eastAsia" w:ascii="仿宋_GB2312" w:hAnsi="仿宋" w:eastAsia="仿宋_GB2312" w:cs="宋体"/>
          <w:color w:val="000000"/>
          <w:kern w:val="0"/>
          <w:sz w:val="32"/>
          <w:szCs w:val="32"/>
          <w:lang w:bidi="ar"/>
        </w:rPr>
        <w:t>号车用柴油，冬天气温低于</w:t>
      </w:r>
      <w:r>
        <w:rPr>
          <w:rFonts w:eastAsia="仿宋_GB2312"/>
          <w:color w:val="000000"/>
          <w:kern w:val="0"/>
          <w:sz w:val="32"/>
          <w:szCs w:val="32"/>
          <w:lang w:bidi="ar"/>
        </w:rPr>
        <w:t>0</w:t>
      </w:r>
      <w:r>
        <w:rPr>
          <w:rFonts w:hint="eastAsia" w:ascii="仿宋_GB2312" w:hAnsi="仿宋" w:eastAsia="仿宋_GB2312" w:cs="宋体"/>
          <w:color w:val="000000"/>
          <w:kern w:val="0"/>
          <w:sz w:val="32"/>
          <w:szCs w:val="32"/>
          <w:lang w:bidi="ar"/>
        </w:rPr>
        <w:t>℃时也有-</w:t>
      </w:r>
      <w:r>
        <w:rPr>
          <w:rFonts w:eastAsia="仿宋_GB2312"/>
          <w:color w:val="000000"/>
          <w:kern w:val="0"/>
          <w:sz w:val="32"/>
          <w:szCs w:val="32"/>
          <w:lang w:bidi="ar"/>
        </w:rPr>
        <w:t>10</w:t>
      </w:r>
      <w:r>
        <w:rPr>
          <w:rFonts w:hint="eastAsia" w:ascii="仿宋_GB2312" w:hAnsi="仿宋" w:eastAsia="仿宋_GB2312" w:cs="宋体"/>
          <w:color w:val="000000"/>
          <w:kern w:val="0"/>
          <w:sz w:val="32"/>
          <w:szCs w:val="32"/>
          <w:lang w:bidi="ar"/>
        </w:rPr>
        <w:t>号车用柴油销售。</w:t>
      </w:r>
    </w:p>
    <w:p w14:paraId="551C0036">
      <w:pPr>
        <w:snapToGrid w:val="0"/>
        <w:spacing w:line="570" w:lineRule="exact"/>
        <w:ind w:firstLine="675" w:firstLineChars="200"/>
        <w:jc w:val="left"/>
        <w:rPr>
          <w:rFonts w:hint="eastAsia" w:ascii="仿宋_GB2312" w:hAnsi="仿宋" w:eastAsia="仿宋_GB2312" w:cs="宋体"/>
          <w:b/>
          <w:bCs w:val="0"/>
          <w:spacing w:val="8"/>
          <w:kern w:val="0"/>
          <w:sz w:val="32"/>
          <w:szCs w:val="32"/>
        </w:rPr>
      </w:pPr>
      <w:r>
        <w:rPr>
          <w:rFonts w:eastAsia="仿宋_GB2312"/>
          <w:b/>
          <w:bCs w:val="0"/>
          <w:spacing w:val="8"/>
          <w:kern w:val="0"/>
          <w:sz w:val="32"/>
          <w:szCs w:val="32"/>
        </w:rPr>
        <w:t>2</w:t>
      </w:r>
      <w:r>
        <w:rPr>
          <w:rFonts w:hint="eastAsia" w:ascii="仿宋_GB2312" w:hAnsi="仿宋" w:eastAsia="仿宋_GB2312" w:cs="宋体"/>
          <w:b/>
          <w:bCs w:val="0"/>
          <w:spacing w:val="8"/>
          <w:kern w:val="0"/>
          <w:sz w:val="32"/>
          <w:szCs w:val="32"/>
        </w:rPr>
        <w:t>.</w:t>
      </w:r>
      <w:r>
        <w:rPr>
          <w:rFonts w:hint="eastAsia" w:ascii="仿宋_GB2312" w:eastAsia="仿宋_GB2312" w:cs="宋体"/>
          <w:b/>
          <w:bCs w:val="0"/>
          <w:spacing w:val="8"/>
          <w:kern w:val="0"/>
          <w:sz w:val="32"/>
          <w:szCs w:val="32"/>
        </w:rPr>
        <w:t>产品性能</w:t>
      </w:r>
    </w:p>
    <w:p w14:paraId="365380CB">
      <w:pPr>
        <w:widowControl/>
        <w:shd w:val="clear" w:color="auto" w:fill="FDFDFE"/>
        <w:spacing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车用汽油的使用性能指标主要包括蒸发性、抗爆性、安定性等。</w:t>
      </w:r>
    </w:p>
    <w:p w14:paraId="13D7020E">
      <w:pPr>
        <w:widowControl/>
        <w:shd w:val="clear" w:color="auto" w:fill="FDFDFE"/>
        <w:spacing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蒸发性：指汽油在汽化器中蒸发的难易程度。这一性能对发动机的起动、暖机、加速、气阻等有重要影响。汽油的蒸发性由馏程、蒸气压等指标综合评定。</w:t>
      </w:r>
    </w:p>
    <w:p w14:paraId="2AC053BF">
      <w:pPr>
        <w:widowControl/>
        <w:shd w:val="clear" w:color="auto" w:fill="FDFDFE"/>
        <w:spacing w:before="90"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抗爆性：指汽油在各种使用条件下抗爆震燃烧的能力。车用汽油的抗爆性用辛烷值表示，辛烷值越高，抗爆性越好。汽油的抗爆能力与其化学组成有关。</w:t>
      </w:r>
    </w:p>
    <w:p w14:paraId="72D54E7C">
      <w:pPr>
        <w:widowControl/>
        <w:shd w:val="clear" w:color="auto" w:fill="FDFDFE"/>
        <w:spacing w:before="90"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安定性：指汽油在自然条件下长时间放置的稳定性。汽油的安定性用胶质和诱导期等指标来表征，胶质越低越好，诱导期越长越好。</w:t>
      </w:r>
    </w:p>
    <w:p w14:paraId="1915F38D">
      <w:pPr>
        <w:widowControl/>
        <w:shd w:val="clear" w:color="auto" w:fill="FDFDFE"/>
        <w:spacing w:before="210"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此外，车用汽油的清洁性、腐蚀性、无害性等也是其使用性能指标。</w:t>
      </w:r>
    </w:p>
    <w:p w14:paraId="560409D7">
      <w:pPr>
        <w:spacing w:line="570" w:lineRule="exact"/>
        <w:ind w:firstLine="640" w:firstLineChars="200"/>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车用柴油的性能指标主要包括燃烧性、蒸发性、流动性、安定性、清洁性、润滑性以及安全性等。</w:t>
      </w:r>
    </w:p>
    <w:p w14:paraId="3963F424">
      <w:pPr>
        <w:spacing w:line="570" w:lineRule="exact"/>
        <w:ind w:firstLine="640" w:firstLineChars="200"/>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燃烧性:通过十六烷值来衡量。十六烷值的高低直接影响到柴油机的工作。十六烷值过低会导致燃料着火困难，产生不正常燃烧，降低发动机的功率；过高则会使柴油不能完全燃烧，耗油量增大。</w:t>
      </w:r>
    </w:p>
    <w:p w14:paraId="053941E4">
      <w:pPr>
        <w:spacing w:line="570" w:lineRule="exact"/>
        <w:ind w:firstLine="640" w:firstLineChars="200"/>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蒸发性：通过馏程和闪点（闭口）来衡量。它影响到柴油机的喷油雾化质量和启动性能。如果柴油的蒸发性太差，会使柴油机启动困难，耗油量增加，经济性下降。</w:t>
      </w:r>
    </w:p>
    <w:p w14:paraId="1EB2F219">
      <w:pPr>
        <w:spacing w:line="570" w:lineRule="exact"/>
        <w:ind w:firstLine="640" w:firstLineChars="200"/>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流动性：通过运动粘度来衡量。运动粘度的大小会影响到柴油机的供油量、雾化性和燃油经济性。如果运动粘度过大，会使柴油雾化不良，燃烧不完全，容易产生积碳，油耗率增加；如果运动粘度过小，则会使柴油从喷嘴喷出时雾化过细，射程小，柴油主要集中在喷油嘴周围，容易造成局部混合气过浓，对燃烧不利。</w:t>
      </w:r>
    </w:p>
    <w:p w14:paraId="2A58ED9D">
      <w:pPr>
        <w:spacing w:line="570" w:lineRule="exact"/>
        <w:ind w:firstLine="640" w:firstLineChars="200"/>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安定性：通过用氧化安定性指标来衡量。它会影响到柴油的储存和使用性能。</w:t>
      </w:r>
    </w:p>
    <w:p w14:paraId="69565297">
      <w:pPr>
        <w:spacing w:line="570" w:lineRule="exact"/>
        <w:ind w:firstLine="640" w:firstLineChars="200"/>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清洁性：通过用水含量、总污染物含量指标来衡量。车用柴油应该清洁，不含机械杂质和水分。因为杂质或冰晶会堵塞油路或喷孔，妨碍供油，也会增大精密机械的磨损。</w:t>
      </w:r>
    </w:p>
    <w:p w14:paraId="205C405A">
      <w:pPr>
        <w:spacing w:line="570" w:lineRule="exact"/>
        <w:ind w:firstLine="640" w:firstLineChars="200"/>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润滑性：通过用润滑性指标来衡量。柴油应具有一定的润滑性，以保证高压泵的润滑需要，减少机械部件之间的磨损。</w:t>
      </w:r>
    </w:p>
    <w:p w14:paraId="7938D1C1">
      <w:pPr>
        <w:spacing w:line="570" w:lineRule="exact"/>
        <w:ind w:firstLine="640" w:firstLineChars="200"/>
        <w:rPr>
          <w:rFonts w:eastAsia="仿宋_GB2312"/>
          <w:b/>
          <w:spacing w:val="8"/>
          <w:kern w:val="0"/>
          <w:sz w:val="32"/>
          <w:szCs w:val="32"/>
        </w:rPr>
      </w:pPr>
      <w:r>
        <w:rPr>
          <w:rFonts w:hint="eastAsia" w:ascii="仿宋_GB2312" w:hAnsi="仿宋" w:eastAsia="仿宋_GB2312" w:cs="宋体"/>
          <w:color w:val="000000"/>
          <w:kern w:val="0"/>
          <w:sz w:val="32"/>
          <w:szCs w:val="32"/>
          <w:lang w:bidi="ar"/>
        </w:rPr>
        <w:t>安全性：通过用闪点（闭口）指标来衡量。车用柴油应具有较高的闪点，以保证储运和使用中的安全。</w:t>
      </w:r>
    </w:p>
    <w:p w14:paraId="078FF1D6">
      <w:pPr>
        <w:spacing w:line="570" w:lineRule="exact"/>
        <w:ind w:firstLine="675" w:firstLineChars="200"/>
        <w:rPr>
          <w:rFonts w:hint="eastAsia" w:ascii="仿宋_GB2312" w:hAnsi="仿宋" w:eastAsia="仿宋_GB2312" w:cs="宋体"/>
          <w:b/>
          <w:spacing w:val="8"/>
          <w:kern w:val="0"/>
          <w:sz w:val="32"/>
          <w:szCs w:val="32"/>
        </w:rPr>
      </w:pPr>
      <w:r>
        <w:rPr>
          <w:rFonts w:eastAsia="仿宋_GB2312"/>
          <w:b/>
          <w:spacing w:val="8"/>
          <w:kern w:val="0"/>
          <w:sz w:val="32"/>
          <w:szCs w:val="32"/>
        </w:rPr>
        <w:t>3</w:t>
      </w:r>
      <w:r>
        <w:rPr>
          <w:rFonts w:hint="eastAsia" w:ascii="仿宋_GB2312" w:hAnsi="仿宋" w:eastAsia="仿宋_GB2312" w:cs="宋体"/>
          <w:b/>
          <w:spacing w:val="8"/>
          <w:kern w:val="0"/>
          <w:sz w:val="32"/>
          <w:szCs w:val="32"/>
        </w:rPr>
        <w:t>.用途介绍</w:t>
      </w:r>
    </w:p>
    <w:p w14:paraId="3749F4A1">
      <w:pPr>
        <w:spacing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近年来，随着社会、经济的高速发展，汽、柴油受到交通运输、农业和工业、人口增长和城市化等因素的影响，汽、柴油的需求量与日俱增。</w:t>
      </w:r>
    </w:p>
    <w:p w14:paraId="12F66829">
      <w:pPr>
        <w:spacing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交通运输：车用汽柴油作为交通出行的主要能源之一，广泛应用于汽车、摩托车、拖拉机、内燃机车、快艇、直升飞机、铁路机车、船舰等。特别是对于长途运输、航空、海上运输等行业来说，汽柴油的需求量非常大。</w:t>
      </w:r>
    </w:p>
    <w:p w14:paraId="42E73A4A">
      <w:pPr>
        <w:spacing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农业和工业：农业和工业是汽柴油的两大消耗领域。农业方面，汽柴油被用于农用机械、拖拉机、灌溉泵等设备的动力源；工业方面，汽柴油被用于各种工业设备的燃料。随着农业和工业的不断发展，汽柴油的需求也不断增加。</w:t>
      </w:r>
    </w:p>
    <w:p w14:paraId="415AF885">
      <w:pPr>
        <w:spacing w:line="570" w:lineRule="exact"/>
        <w:ind w:firstLine="640" w:firstLineChars="200"/>
        <w:jc w:val="left"/>
        <w:rPr>
          <w:rFonts w:hint="eastAsia" w:ascii="仿宋_GB2312" w:hAnsi="仿宋" w:eastAsia="仿宋_GB2312" w:cs="宋体"/>
          <w:color w:val="000000"/>
          <w:kern w:val="0"/>
          <w:sz w:val="32"/>
          <w:szCs w:val="32"/>
          <w:lang w:bidi="ar"/>
        </w:rPr>
      </w:pPr>
      <w:r>
        <w:rPr>
          <w:rFonts w:hint="eastAsia" w:ascii="仿宋_GB2312" w:hAnsi="仿宋" w:eastAsia="仿宋_GB2312" w:cs="宋体"/>
          <w:color w:val="000000"/>
          <w:kern w:val="0"/>
          <w:sz w:val="32"/>
          <w:szCs w:val="32"/>
          <w:lang w:bidi="ar"/>
        </w:rPr>
        <w:t>人口增长和城市化：随着人口增长和城市化进程的加速，汽车保有量不断增加，导致汽柴油的消费量逐年上升。因此柴油的需求量与日俱增。</w:t>
      </w:r>
    </w:p>
    <w:p w14:paraId="51A94F26">
      <w:pPr>
        <w:snapToGrid w:val="0"/>
        <w:spacing w:before="156" w:beforeLines="50" w:line="570" w:lineRule="exact"/>
        <w:ind w:firstLine="643" w:firstLineChars="200"/>
        <w:jc w:val="left"/>
        <w:rPr>
          <w:rFonts w:hint="eastAsia" w:ascii="楷体_GB2312" w:hAnsi="楷体" w:eastAsia="楷体_GB2312" w:cs="宋体"/>
          <w:b/>
          <w:sz w:val="32"/>
          <w:szCs w:val="32"/>
        </w:rPr>
      </w:pPr>
      <w:r>
        <w:rPr>
          <w:rFonts w:hint="eastAsia" w:eastAsia="楷体_GB2312"/>
          <w:b/>
          <w:sz w:val="32"/>
          <w:szCs w:val="32"/>
        </w:rPr>
        <w:t>（二）</w:t>
      </w:r>
      <w:r>
        <w:rPr>
          <w:rFonts w:hint="eastAsia" w:ascii="楷体_GB2312" w:hAnsi="楷体" w:eastAsia="楷体_GB2312" w:cs="宋体"/>
          <w:b/>
          <w:sz w:val="32"/>
          <w:szCs w:val="32"/>
        </w:rPr>
        <w:t>产业概况</w:t>
      </w:r>
    </w:p>
    <w:p w14:paraId="55B51D99">
      <w:pPr>
        <w:pStyle w:val="13"/>
        <w:spacing w:line="570" w:lineRule="exact"/>
        <w:ind w:firstLine="640"/>
        <w:rPr>
          <w:rFonts w:hint="eastAsia" w:hAnsi="仿宋" w:cs="宋体"/>
          <w:sz w:val="32"/>
          <w:szCs w:val="32"/>
        </w:rPr>
      </w:pPr>
      <w:r>
        <w:rPr>
          <w:rFonts w:hint="eastAsia" w:hAnsi="仿宋" w:cs="宋体"/>
          <w:sz w:val="32"/>
          <w:szCs w:val="32"/>
        </w:rPr>
        <w:t>目前江苏市场上的成品油销售主流渠道主要为中石化、中石油、中海油、高速公路和社会加油站，截止到2017底，江苏省共有加油站近8000家，其中中石化加油站约占三分之一、中石油加油站约占四分之一、社会加油站占有率近50%；中石化、中石油销售额占到总销售份额的70%。</w:t>
      </w:r>
    </w:p>
    <w:p w14:paraId="1F638186">
      <w:pPr>
        <w:pStyle w:val="13"/>
        <w:spacing w:line="570" w:lineRule="exact"/>
        <w:ind w:firstLine="640"/>
        <w:rPr>
          <w:rFonts w:hint="eastAsia" w:hAnsi="仿宋" w:cs="宋体"/>
          <w:kern w:val="0"/>
          <w:sz w:val="32"/>
          <w:szCs w:val="32"/>
        </w:rPr>
      </w:pPr>
      <w:r>
        <w:rPr>
          <w:rFonts w:hint="eastAsia" w:hAnsi="仿宋" w:cs="宋体"/>
          <w:sz w:val="32"/>
          <w:szCs w:val="32"/>
        </w:rPr>
        <w:t>常州市目前有加油站400家左右，其中民营加油站180多家，通过多年的抽查发现，中石化、中石油销售的产品质量较稳定，民营加油站由于这几年的强力监管，油品质量已有明显提升。</w:t>
      </w:r>
    </w:p>
    <w:p w14:paraId="79173B06">
      <w:pPr>
        <w:adjustRightInd w:val="0"/>
        <w:snapToGrid w:val="0"/>
        <w:spacing w:line="57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三、检验检测概况</w:t>
      </w:r>
    </w:p>
    <w:p w14:paraId="481E8671">
      <w:pPr>
        <w:adjustRightInd w:val="0"/>
        <w:snapToGrid w:val="0"/>
        <w:spacing w:line="570" w:lineRule="exact"/>
        <w:ind w:firstLine="640" w:firstLineChars="200"/>
        <w:rPr>
          <w:rFonts w:hint="eastAsia" w:ascii="楷体_GB2312" w:hAnsi="宋体" w:eastAsia="楷体_GB2312" w:cs="宋体"/>
          <w:b w:val="0"/>
          <w:bCs/>
          <w:sz w:val="32"/>
          <w:szCs w:val="32"/>
        </w:rPr>
      </w:pPr>
      <w:r>
        <w:rPr>
          <w:rFonts w:hint="eastAsia" w:ascii="楷体_GB2312" w:hAnsi="宋体" w:eastAsia="楷体_GB2312" w:cs="宋体"/>
          <w:b w:val="0"/>
          <w:bCs/>
          <w:sz w:val="32"/>
          <w:szCs w:val="32"/>
        </w:rPr>
        <w:t>（一）样品来源</w:t>
      </w:r>
    </w:p>
    <w:p w14:paraId="1642F286">
      <w:pPr>
        <w:adjustRightInd w:val="0"/>
        <w:snapToGrid w:val="0"/>
        <w:spacing w:line="570" w:lineRule="exact"/>
        <w:jc w:val="center"/>
        <w:rPr>
          <w:rFonts w:hint="eastAsia" w:ascii="仿宋_GB2312" w:hAnsi="宋体" w:eastAsia="仿宋_GB2312"/>
          <w:b/>
          <w:sz w:val="32"/>
          <w:szCs w:val="32"/>
        </w:rPr>
      </w:pPr>
      <w:r>
        <w:rPr>
          <w:rFonts w:hint="eastAsia" w:ascii="仿宋_GB2312" w:hAnsi="宋体" w:eastAsia="仿宋_GB2312"/>
          <w:b/>
          <w:sz w:val="32"/>
          <w:szCs w:val="32"/>
        </w:rPr>
        <w:t>表</w:t>
      </w:r>
      <w:r>
        <w:rPr>
          <w:rFonts w:eastAsia="仿宋_GB2312"/>
          <w:b/>
          <w:sz w:val="32"/>
          <w:szCs w:val="32"/>
        </w:rPr>
        <w:t>1</w:t>
      </w:r>
      <w:r>
        <w:rPr>
          <w:rFonts w:hint="eastAsia" w:ascii="仿宋_GB2312" w:hAnsi="宋体" w:eastAsia="仿宋_GB2312"/>
          <w:b/>
          <w:sz w:val="32"/>
          <w:szCs w:val="32"/>
        </w:rPr>
        <w:t>：车用汽柴油样品来源</w:t>
      </w:r>
    </w:p>
    <w:tbl>
      <w:tblPr>
        <w:tblStyle w:val="1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694"/>
        <w:gridCol w:w="2693"/>
        <w:gridCol w:w="2268"/>
      </w:tblGrid>
      <w:tr w14:paraId="64A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34" w:type="dxa"/>
            <w:noWrap w:val="0"/>
            <w:vAlign w:val="center"/>
          </w:tcPr>
          <w:p w14:paraId="2BE5BED8">
            <w:pPr>
              <w:adjustRightInd w:val="0"/>
              <w:snapToGrid w:val="0"/>
              <w:spacing w:line="570" w:lineRule="exact"/>
              <w:jc w:val="center"/>
              <w:rPr>
                <w:rFonts w:hint="eastAsia" w:ascii="仿宋_GB2312" w:hAnsi="宋体" w:eastAsia="仿宋_GB2312"/>
                <w:sz w:val="32"/>
                <w:szCs w:val="32"/>
              </w:rPr>
            </w:pPr>
            <w:r>
              <w:rPr>
                <w:rFonts w:hint="eastAsia" w:ascii="仿宋_GB2312" w:hAnsi="宋体" w:eastAsia="仿宋_GB2312"/>
                <w:sz w:val="32"/>
                <w:szCs w:val="32"/>
              </w:rPr>
              <w:t>产品类别</w:t>
            </w:r>
          </w:p>
        </w:tc>
        <w:tc>
          <w:tcPr>
            <w:tcW w:w="2694" w:type="dxa"/>
            <w:noWrap w:val="0"/>
            <w:vAlign w:val="center"/>
          </w:tcPr>
          <w:p w14:paraId="30657D29">
            <w:pPr>
              <w:adjustRightInd w:val="0"/>
              <w:snapToGrid w:val="0"/>
              <w:spacing w:line="570" w:lineRule="exact"/>
              <w:jc w:val="center"/>
              <w:rPr>
                <w:rFonts w:hint="eastAsia" w:ascii="仿宋_GB2312" w:hAnsi="宋体" w:eastAsia="仿宋_GB2312"/>
                <w:sz w:val="32"/>
                <w:szCs w:val="32"/>
              </w:rPr>
            </w:pPr>
            <w:r>
              <w:rPr>
                <w:rFonts w:hint="eastAsia" w:ascii="仿宋_GB2312" w:hAnsi="宋体" w:eastAsia="仿宋_GB2312"/>
                <w:sz w:val="32"/>
                <w:szCs w:val="32"/>
              </w:rPr>
              <w:t>样品来源</w:t>
            </w:r>
          </w:p>
        </w:tc>
        <w:tc>
          <w:tcPr>
            <w:tcW w:w="2693" w:type="dxa"/>
            <w:noWrap w:val="0"/>
            <w:vAlign w:val="center"/>
          </w:tcPr>
          <w:p w14:paraId="60816D41">
            <w:pPr>
              <w:adjustRightInd w:val="0"/>
              <w:snapToGrid w:val="0"/>
              <w:spacing w:line="570" w:lineRule="exact"/>
              <w:jc w:val="center"/>
              <w:rPr>
                <w:rFonts w:hint="eastAsia" w:ascii="仿宋_GB2312" w:hAnsi="宋体" w:eastAsia="仿宋_GB2312"/>
                <w:sz w:val="32"/>
                <w:szCs w:val="32"/>
              </w:rPr>
            </w:pPr>
            <w:r>
              <w:rPr>
                <w:rFonts w:hint="eastAsia" w:ascii="仿宋_GB2312" w:hAnsi="宋体" w:eastAsia="仿宋_GB2312"/>
                <w:sz w:val="32"/>
                <w:szCs w:val="32"/>
              </w:rPr>
              <w:t>抽样方式</w:t>
            </w:r>
          </w:p>
        </w:tc>
        <w:tc>
          <w:tcPr>
            <w:tcW w:w="2268" w:type="dxa"/>
            <w:noWrap w:val="0"/>
            <w:vAlign w:val="center"/>
          </w:tcPr>
          <w:p w14:paraId="49DF6419">
            <w:pPr>
              <w:adjustRightInd w:val="0"/>
              <w:snapToGrid w:val="0"/>
              <w:spacing w:line="570" w:lineRule="exact"/>
              <w:jc w:val="center"/>
              <w:rPr>
                <w:rFonts w:hint="eastAsia" w:ascii="仿宋_GB2312" w:hAnsi="宋体" w:eastAsia="仿宋_GB2312"/>
                <w:sz w:val="32"/>
                <w:szCs w:val="32"/>
              </w:rPr>
            </w:pPr>
            <w:r>
              <w:rPr>
                <w:rFonts w:hint="eastAsia" w:ascii="仿宋_GB2312" w:hAnsi="宋体" w:eastAsia="仿宋_GB2312"/>
                <w:sz w:val="32"/>
                <w:szCs w:val="32"/>
              </w:rPr>
              <w:t>抽样批次</w:t>
            </w:r>
          </w:p>
        </w:tc>
      </w:tr>
      <w:tr w14:paraId="7361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34" w:type="dxa"/>
            <w:noWrap w:val="0"/>
            <w:vAlign w:val="center"/>
          </w:tcPr>
          <w:p w14:paraId="63446D2E">
            <w:pPr>
              <w:adjustRightInd w:val="0"/>
              <w:snapToGrid w:val="0"/>
              <w:spacing w:line="570" w:lineRule="exact"/>
              <w:jc w:val="center"/>
              <w:rPr>
                <w:rFonts w:hint="eastAsia" w:ascii="仿宋_GB2312" w:hAnsi="宋体" w:eastAsia="仿宋_GB2312"/>
                <w:sz w:val="32"/>
                <w:szCs w:val="32"/>
              </w:rPr>
            </w:pPr>
            <w:r>
              <w:rPr>
                <w:rFonts w:hint="eastAsia" w:ascii="仿宋_GB2312" w:hAnsi="宋体" w:eastAsia="仿宋_GB2312"/>
                <w:sz w:val="32"/>
                <w:szCs w:val="32"/>
              </w:rPr>
              <w:t>车用汽油</w:t>
            </w:r>
          </w:p>
        </w:tc>
        <w:tc>
          <w:tcPr>
            <w:tcW w:w="2694" w:type="dxa"/>
            <w:vMerge w:val="restart"/>
            <w:noWrap w:val="0"/>
            <w:vAlign w:val="center"/>
          </w:tcPr>
          <w:p w14:paraId="7B7C78B2">
            <w:pPr>
              <w:adjustRightInd w:val="0"/>
              <w:snapToGrid w:val="0"/>
              <w:spacing w:line="570" w:lineRule="exact"/>
              <w:ind w:left="14" w:leftChars="-12" w:hanging="38" w:hangingChars="12"/>
              <w:jc w:val="center"/>
              <w:rPr>
                <w:rFonts w:hint="eastAsia" w:ascii="仿宋_GB2312" w:hAnsi="宋体" w:eastAsia="仿宋_GB2312"/>
                <w:sz w:val="32"/>
                <w:szCs w:val="32"/>
              </w:rPr>
            </w:pPr>
            <w:r>
              <w:rPr>
                <w:rFonts w:hint="eastAsia" w:ascii="仿宋_GB2312" w:hAnsi="宋体" w:eastAsia="仿宋_GB2312"/>
                <w:sz w:val="32"/>
                <w:szCs w:val="32"/>
              </w:rPr>
              <w:t>加油站</w:t>
            </w:r>
          </w:p>
        </w:tc>
        <w:tc>
          <w:tcPr>
            <w:tcW w:w="2693" w:type="dxa"/>
            <w:vMerge w:val="restart"/>
            <w:noWrap w:val="0"/>
            <w:vAlign w:val="center"/>
          </w:tcPr>
          <w:p w14:paraId="4CDA2332">
            <w:pPr>
              <w:adjustRightInd w:val="0"/>
              <w:snapToGrid w:val="0"/>
              <w:spacing w:line="570" w:lineRule="exact"/>
              <w:ind w:left="-64" w:leftChars="-32" w:firstLine="54" w:firstLineChars="17"/>
              <w:jc w:val="center"/>
              <w:rPr>
                <w:rFonts w:hint="eastAsia" w:ascii="仿宋_GB2312" w:hAnsi="宋体" w:eastAsia="仿宋_GB2312"/>
                <w:sz w:val="32"/>
                <w:szCs w:val="32"/>
              </w:rPr>
            </w:pPr>
            <w:r>
              <w:rPr>
                <w:rFonts w:hint="eastAsia" w:ascii="仿宋_GB2312" w:hAnsi="宋体" w:eastAsia="仿宋_GB2312"/>
                <w:sz w:val="32"/>
                <w:szCs w:val="32"/>
              </w:rPr>
              <w:t>抽样</w:t>
            </w:r>
          </w:p>
        </w:tc>
        <w:tc>
          <w:tcPr>
            <w:tcW w:w="2268" w:type="dxa"/>
            <w:noWrap w:val="0"/>
            <w:vAlign w:val="center"/>
          </w:tcPr>
          <w:p w14:paraId="70FF13DE">
            <w:pPr>
              <w:adjustRightInd w:val="0"/>
              <w:snapToGrid w:val="0"/>
              <w:spacing w:line="570" w:lineRule="exact"/>
              <w:jc w:val="center"/>
              <w:rPr>
                <w:rFonts w:hint="eastAsia" w:ascii="仿宋_GB2312" w:hAnsi="宋体" w:eastAsia="仿宋_GB2312"/>
                <w:sz w:val="32"/>
                <w:szCs w:val="32"/>
              </w:rPr>
            </w:pPr>
            <w:r>
              <w:rPr>
                <w:rFonts w:hint="eastAsia" w:eastAsia="仿宋_GB2312"/>
                <w:sz w:val="32"/>
                <w:szCs w:val="32"/>
              </w:rPr>
              <w:t>15</w:t>
            </w:r>
            <w:r>
              <w:rPr>
                <w:rFonts w:hint="eastAsia" w:ascii="仿宋_GB2312" w:hAnsi="宋体" w:eastAsia="仿宋_GB2312"/>
                <w:sz w:val="32"/>
                <w:szCs w:val="32"/>
              </w:rPr>
              <w:t>批次</w:t>
            </w:r>
          </w:p>
        </w:tc>
      </w:tr>
      <w:tr w14:paraId="29DA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34" w:type="dxa"/>
            <w:noWrap w:val="0"/>
            <w:vAlign w:val="center"/>
          </w:tcPr>
          <w:p w14:paraId="619FAEA8">
            <w:pPr>
              <w:adjustRightInd w:val="0"/>
              <w:snapToGrid w:val="0"/>
              <w:spacing w:line="570" w:lineRule="exact"/>
              <w:jc w:val="center"/>
              <w:rPr>
                <w:rFonts w:hint="eastAsia" w:ascii="仿宋_GB2312" w:hAnsi="宋体" w:eastAsia="仿宋_GB2312"/>
                <w:sz w:val="32"/>
                <w:szCs w:val="32"/>
              </w:rPr>
            </w:pPr>
            <w:r>
              <w:rPr>
                <w:rFonts w:hint="eastAsia" w:ascii="仿宋_GB2312" w:hAnsi="宋体" w:eastAsia="仿宋_GB2312"/>
                <w:sz w:val="32"/>
                <w:szCs w:val="32"/>
              </w:rPr>
              <w:t>车用柴油</w:t>
            </w:r>
          </w:p>
        </w:tc>
        <w:tc>
          <w:tcPr>
            <w:tcW w:w="2694" w:type="dxa"/>
            <w:vMerge w:val="continue"/>
            <w:noWrap w:val="0"/>
            <w:vAlign w:val="center"/>
          </w:tcPr>
          <w:p w14:paraId="5A3291E3">
            <w:pPr>
              <w:adjustRightInd w:val="0"/>
              <w:snapToGrid w:val="0"/>
              <w:spacing w:line="570" w:lineRule="exact"/>
              <w:ind w:left="14" w:leftChars="-12" w:hanging="38" w:hangingChars="12"/>
              <w:jc w:val="center"/>
              <w:rPr>
                <w:rFonts w:hint="eastAsia" w:ascii="仿宋_GB2312" w:hAnsi="宋体" w:eastAsia="仿宋_GB2312"/>
                <w:sz w:val="32"/>
                <w:szCs w:val="32"/>
              </w:rPr>
            </w:pPr>
          </w:p>
        </w:tc>
        <w:tc>
          <w:tcPr>
            <w:tcW w:w="2693" w:type="dxa"/>
            <w:vMerge w:val="continue"/>
            <w:noWrap w:val="0"/>
            <w:vAlign w:val="center"/>
          </w:tcPr>
          <w:p w14:paraId="3B79CD4F">
            <w:pPr>
              <w:adjustRightInd w:val="0"/>
              <w:snapToGrid w:val="0"/>
              <w:spacing w:line="570" w:lineRule="exact"/>
              <w:ind w:left="-64" w:leftChars="-32" w:firstLine="54" w:firstLineChars="17"/>
              <w:jc w:val="center"/>
              <w:rPr>
                <w:rFonts w:hint="eastAsia" w:ascii="仿宋_GB2312" w:hAnsi="宋体" w:eastAsia="仿宋_GB2312"/>
                <w:sz w:val="32"/>
                <w:szCs w:val="32"/>
              </w:rPr>
            </w:pPr>
          </w:p>
        </w:tc>
        <w:tc>
          <w:tcPr>
            <w:tcW w:w="2268" w:type="dxa"/>
            <w:noWrap w:val="0"/>
            <w:vAlign w:val="center"/>
          </w:tcPr>
          <w:p w14:paraId="2ADD6FAD">
            <w:pPr>
              <w:adjustRightInd w:val="0"/>
              <w:snapToGrid w:val="0"/>
              <w:spacing w:line="570" w:lineRule="exact"/>
              <w:jc w:val="center"/>
              <w:rPr>
                <w:rFonts w:hint="eastAsia" w:ascii="仿宋_GB2312" w:hAnsi="宋体" w:eastAsia="仿宋_GB2312"/>
                <w:sz w:val="32"/>
                <w:szCs w:val="32"/>
              </w:rPr>
            </w:pPr>
            <w:r>
              <w:rPr>
                <w:rFonts w:hint="eastAsia" w:eastAsia="仿宋_GB2312"/>
                <w:sz w:val="32"/>
                <w:szCs w:val="32"/>
              </w:rPr>
              <w:t>5</w:t>
            </w:r>
            <w:r>
              <w:rPr>
                <w:rFonts w:hint="eastAsia" w:ascii="仿宋_GB2312" w:hAnsi="宋体" w:eastAsia="仿宋_GB2312"/>
                <w:sz w:val="32"/>
                <w:szCs w:val="32"/>
              </w:rPr>
              <w:t>批次</w:t>
            </w:r>
          </w:p>
        </w:tc>
      </w:tr>
    </w:tbl>
    <w:p w14:paraId="1DD89DC1">
      <w:pPr>
        <w:adjustRightInd w:val="0"/>
        <w:snapToGrid w:val="0"/>
        <w:spacing w:line="570" w:lineRule="exact"/>
        <w:ind w:firstLine="640" w:firstLineChars="200"/>
        <w:rPr>
          <w:rFonts w:hint="eastAsia" w:ascii="楷体_GB2312" w:hAnsi="宋体" w:eastAsia="楷体_GB2312" w:cs="宋体"/>
          <w:b w:val="0"/>
          <w:bCs/>
          <w:sz w:val="32"/>
          <w:szCs w:val="32"/>
        </w:rPr>
      </w:pPr>
      <w:r>
        <w:rPr>
          <w:rFonts w:hint="eastAsia" w:ascii="楷体_GB2312" w:hAnsi="宋体" w:eastAsia="楷体_GB2312" w:cs="宋体"/>
          <w:b w:val="0"/>
          <w:bCs/>
          <w:sz w:val="32"/>
          <w:szCs w:val="32"/>
        </w:rPr>
        <w:t>（二）检验检测项目概况</w:t>
      </w:r>
    </w:p>
    <w:p w14:paraId="41D3DF44">
      <w:pPr>
        <w:adjustRightInd w:val="0"/>
        <w:snapToGrid w:val="0"/>
        <w:spacing w:line="570" w:lineRule="exact"/>
        <w:jc w:val="center"/>
        <w:rPr>
          <w:rFonts w:hint="eastAsia" w:ascii="仿宋_GB2312" w:hAnsi="宋体" w:eastAsia="仿宋_GB2312"/>
          <w:b/>
          <w:sz w:val="32"/>
          <w:szCs w:val="32"/>
        </w:rPr>
      </w:pPr>
      <w:r>
        <w:rPr>
          <w:rFonts w:hint="eastAsia" w:ascii="仿宋_GB2312" w:hAnsi="宋体" w:eastAsia="仿宋_GB2312"/>
          <w:b/>
          <w:sz w:val="32"/>
          <w:szCs w:val="32"/>
        </w:rPr>
        <w:t>表</w:t>
      </w:r>
      <w:r>
        <w:rPr>
          <w:rFonts w:eastAsia="仿宋_GB2312"/>
          <w:b/>
          <w:sz w:val="32"/>
          <w:szCs w:val="32"/>
        </w:rPr>
        <w:t>2</w:t>
      </w:r>
      <w:r>
        <w:rPr>
          <w:rFonts w:hint="eastAsia" w:ascii="仿宋_GB2312" w:hAnsi="宋体" w:eastAsia="仿宋_GB2312"/>
          <w:b/>
          <w:sz w:val="32"/>
          <w:szCs w:val="32"/>
        </w:rPr>
        <w:t>：车用汽柴油检验检测项目及依据</w:t>
      </w:r>
    </w:p>
    <w:tbl>
      <w:tblPr>
        <w:tblStyle w:val="10"/>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40"/>
        <w:gridCol w:w="2711"/>
        <w:gridCol w:w="3184"/>
      </w:tblGrid>
      <w:tr w14:paraId="4C0D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34" w:type="dxa"/>
            <w:noWrap w:val="0"/>
            <w:vAlign w:val="center"/>
          </w:tcPr>
          <w:p w14:paraId="6F36C94E">
            <w:pPr>
              <w:pStyle w:val="13"/>
              <w:spacing w:line="570" w:lineRule="exact"/>
              <w:ind w:firstLine="0" w:firstLineChars="0"/>
              <w:jc w:val="center"/>
              <w:rPr>
                <w:rFonts w:hint="eastAsia" w:cs="宋体"/>
                <w:kern w:val="0"/>
                <w:sz w:val="32"/>
                <w:szCs w:val="32"/>
              </w:rPr>
            </w:pPr>
            <w:r>
              <w:rPr>
                <w:rFonts w:hint="eastAsia" w:cs="宋体"/>
                <w:kern w:val="0"/>
                <w:sz w:val="32"/>
                <w:szCs w:val="32"/>
              </w:rPr>
              <w:t>产品类别</w:t>
            </w:r>
          </w:p>
        </w:tc>
        <w:tc>
          <w:tcPr>
            <w:tcW w:w="1540" w:type="dxa"/>
            <w:noWrap w:val="0"/>
            <w:vAlign w:val="center"/>
          </w:tcPr>
          <w:p w14:paraId="1E80CE76">
            <w:pPr>
              <w:pStyle w:val="13"/>
              <w:spacing w:line="570" w:lineRule="exact"/>
              <w:ind w:firstLine="0" w:firstLineChars="0"/>
              <w:jc w:val="center"/>
              <w:rPr>
                <w:rFonts w:hint="eastAsia" w:cs="宋体"/>
                <w:kern w:val="0"/>
                <w:sz w:val="32"/>
                <w:szCs w:val="32"/>
              </w:rPr>
            </w:pPr>
            <w:r>
              <w:rPr>
                <w:rFonts w:hint="eastAsia" w:cs="宋体"/>
                <w:kern w:val="0"/>
                <w:sz w:val="32"/>
                <w:szCs w:val="32"/>
              </w:rPr>
              <w:t>检验检测项目</w:t>
            </w:r>
          </w:p>
        </w:tc>
        <w:tc>
          <w:tcPr>
            <w:tcW w:w="2711" w:type="dxa"/>
            <w:noWrap w:val="0"/>
            <w:vAlign w:val="center"/>
          </w:tcPr>
          <w:p w14:paraId="2A0A3FA0">
            <w:pPr>
              <w:pStyle w:val="13"/>
              <w:spacing w:line="570" w:lineRule="exact"/>
              <w:ind w:firstLine="0" w:firstLineChars="0"/>
              <w:jc w:val="center"/>
              <w:rPr>
                <w:rFonts w:hint="eastAsia" w:cs="宋体"/>
                <w:kern w:val="0"/>
                <w:sz w:val="32"/>
                <w:szCs w:val="32"/>
              </w:rPr>
            </w:pPr>
            <w:r>
              <w:rPr>
                <w:rFonts w:hint="eastAsia" w:cs="宋体"/>
                <w:kern w:val="0"/>
                <w:sz w:val="32"/>
                <w:szCs w:val="32"/>
              </w:rPr>
              <w:t>检验检测依据</w:t>
            </w:r>
          </w:p>
        </w:tc>
        <w:tc>
          <w:tcPr>
            <w:tcW w:w="3184" w:type="dxa"/>
            <w:noWrap w:val="0"/>
            <w:vAlign w:val="center"/>
          </w:tcPr>
          <w:p w14:paraId="5E9E6F1F">
            <w:pPr>
              <w:pStyle w:val="13"/>
              <w:spacing w:line="570" w:lineRule="exact"/>
              <w:ind w:firstLine="0" w:firstLineChars="0"/>
              <w:jc w:val="center"/>
              <w:rPr>
                <w:rFonts w:hint="eastAsia" w:cs="宋体"/>
                <w:kern w:val="0"/>
                <w:sz w:val="32"/>
                <w:szCs w:val="32"/>
              </w:rPr>
            </w:pPr>
            <w:r>
              <w:rPr>
                <w:rFonts w:hint="eastAsia" w:cs="宋体"/>
                <w:kern w:val="0"/>
                <w:sz w:val="32"/>
                <w:szCs w:val="32"/>
              </w:rPr>
              <w:t>检验检测方法名称</w:t>
            </w:r>
          </w:p>
        </w:tc>
      </w:tr>
      <w:tr w14:paraId="6A88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34" w:type="dxa"/>
            <w:vMerge w:val="restart"/>
            <w:noWrap w:val="0"/>
            <w:vAlign w:val="center"/>
          </w:tcPr>
          <w:p w14:paraId="23BC8624">
            <w:pPr>
              <w:pStyle w:val="13"/>
              <w:spacing w:line="570" w:lineRule="exact"/>
              <w:ind w:firstLine="0" w:firstLineChars="0"/>
              <w:jc w:val="center"/>
              <w:rPr>
                <w:rFonts w:hint="eastAsia" w:cs="宋体"/>
                <w:kern w:val="0"/>
                <w:sz w:val="32"/>
                <w:szCs w:val="32"/>
              </w:rPr>
            </w:pPr>
            <w:r>
              <w:rPr>
                <w:rFonts w:hint="eastAsia" w:cs="宋体"/>
                <w:kern w:val="0"/>
                <w:sz w:val="32"/>
                <w:szCs w:val="32"/>
              </w:rPr>
              <w:t>车用汽油</w:t>
            </w:r>
          </w:p>
        </w:tc>
        <w:tc>
          <w:tcPr>
            <w:tcW w:w="1540" w:type="dxa"/>
            <w:noWrap w:val="0"/>
            <w:vAlign w:val="center"/>
          </w:tcPr>
          <w:p w14:paraId="06631B6E">
            <w:pPr>
              <w:pStyle w:val="13"/>
              <w:spacing w:line="570" w:lineRule="exact"/>
              <w:ind w:firstLine="0" w:firstLineChars="0"/>
              <w:jc w:val="center"/>
              <w:rPr>
                <w:rFonts w:hint="eastAsia" w:cs="宋体"/>
                <w:kern w:val="0"/>
                <w:sz w:val="32"/>
                <w:szCs w:val="32"/>
              </w:rPr>
            </w:pPr>
            <w:r>
              <w:rPr>
                <w:rFonts w:hint="eastAsia" w:cs="宋体"/>
                <w:kern w:val="0"/>
                <w:sz w:val="32"/>
                <w:szCs w:val="32"/>
              </w:rPr>
              <w:t>研究法辛烷值</w:t>
            </w:r>
            <w:r>
              <w:rPr>
                <w:rFonts w:hint="eastAsia"/>
                <w:sz w:val="32"/>
                <w:szCs w:val="32"/>
              </w:rPr>
              <w:t>（RON）</w:t>
            </w:r>
          </w:p>
        </w:tc>
        <w:tc>
          <w:tcPr>
            <w:tcW w:w="2711" w:type="dxa"/>
            <w:noWrap w:val="0"/>
            <w:vAlign w:val="center"/>
          </w:tcPr>
          <w:p w14:paraId="675B7601">
            <w:pPr>
              <w:pStyle w:val="13"/>
              <w:spacing w:line="570" w:lineRule="exact"/>
              <w:ind w:firstLine="0" w:firstLineChars="0"/>
              <w:jc w:val="center"/>
              <w:rPr>
                <w:rFonts w:hint="eastAsia"/>
                <w:sz w:val="32"/>
                <w:szCs w:val="32"/>
              </w:rPr>
            </w:pPr>
            <w:r>
              <w:rPr>
                <w:rFonts w:hint="eastAsia"/>
                <w:sz w:val="32"/>
                <w:szCs w:val="32"/>
              </w:rPr>
              <w:t xml:space="preserve">GB/T </w:t>
            </w:r>
            <w:r>
              <w:rPr>
                <w:rFonts w:ascii="Times New Roman" w:hAnsi="Times New Roman"/>
                <w:sz w:val="32"/>
                <w:szCs w:val="32"/>
              </w:rPr>
              <w:t>5487</w:t>
            </w:r>
            <w:r>
              <w:rPr>
                <w:rFonts w:hint="eastAsia"/>
                <w:sz w:val="32"/>
                <w:szCs w:val="32"/>
              </w:rPr>
              <w:t>-</w:t>
            </w:r>
            <w:r>
              <w:rPr>
                <w:rFonts w:ascii="Times New Roman" w:hAnsi="Times New Roman"/>
                <w:sz w:val="32"/>
                <w:szCs w:val="32"/>
              </w:rPr>
              <w:t>2015</w:t>
            </w:r>
          </w:p>
        </w:tc>
        <w:tc>
          <w:tcPr>
            <w:tcW w:w="3184" w:type="dxa"/>
            <w:noWrap w:val="0"/>
            <w:vAlign w:val="center"/>
          </w:tcPr>
          <w:p w14:paraId="6F361962">
            <w:pPr>
              <w:adjustRightInd w:val="0"/>
              <w:snapToGrid w:val="0"/>
              <w:spacing w:line="570" w:lineRule="exact"/>
              <w:rPr>
                <w:rFonts w:hint="eastAsia" w:ascii="仿宋_GB2312" w:hAnsi="宋体" w:eastAsia="仿宋_GB2312"/>
                <w:sz w:val="32"/>
                <w:szCs w:val="32"/>
              </w:rPr>
            </w:pPr>
            <w:r>
              <w:rPr>
                <w:rFonts w:hint="eastAsia" w:ascii="仿宋_GB2312" w:hAnsi="宋体" w:eastAsia="仿宋_GB2312"/>
                <w:sz w:val="32"/>
                <w:szCs w:val="32"/>
              </w:rPr>
              <w:t>汽油辛烷值的测定 研究法</w:t>
            </w:r>
          </w:p>
        </w:tc>
      </w:tr>
      <w:tr w14:paraId="3272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34" w:type="dxa"/>
            <w:vMerge w:val="continue"/>
            <w:noWrap w:val="0"/>
            <w:vAlign w:val="center"/>
          </w:tcPr>
          <w:p w14:paraId="7219E9B0">
            <w:pPr>
              <w:pStyle w:val="13"/>
              <w:spacing w:line="570" w:lineRule="exact"/>
              <w:ind w:firstLine="0" w:firstLineChars="0"/>
              <w:jc w:val="center"/>
              <w:rPr>
                <w:rFonts w:hint="eastAsia" w:cs="宋体"/>
                <w:kern w:val="0"/>
                <w:sz w:val="32"/>
                <w:szCs w:val="32"/>
              </w:rPr>
            </w:pPr>
          </w:p>
        </w:tc>
        <w:tc>
          <w:tcPr>
            <w:tcW w:w="1540" w:type="dxa"/>
            <w:noWrap w:val="0"/>
            <w:vAlign w:val="center"/>
          </w:tcPr>
          <w:p w14:paraId="53D0701B">
            <w:pPr>
              <w:pStyle w:val="13"/>
              <w:spacing w:line="570" w:lineRule="exact"/>
              <w:ind w:firstLine="0" w:firstLineChars="0"/>
              <w:jc w:val="center"/>
              <w:rPr>
                <w:rFonts w:hint="eastAsia" w:cs="宋体"/>
                <w:sz w:val="32"/>
                <w:szCs w:val="32"/>
              </w:rPr>
            </w:pPr>
            <w:r>
              <w:rPr>
                <w:rFonts w:hint="eastAsia" w:cs="宋体"/>
                <w:kern w:val="0"/>
                <w:sz w:val="32"/>
                <w:szCs w:val="32"/>
              </w:rPr>
              <w:t>硫含量</w:t>
            </w:r>
          </w:p>
        </w:tc>
        <w:tc>
          <w:tcPr>
            <w:tcW w:w="2711" w:type="dxa"/>
            <w:noWrap w:val="0"/>
            <w:vAlign w:val="center"/>
          </w:tcPr>
          <w:p w14:paraId="32F95F49">
            <w:pPr>
              <w:pStyle w:val="13"/>
              <w:spacing w:line="570" w:lineRule="exact"/>
              <w:ind w:firstLine="0" w:firstLineChars="0"/>
              <w:jc w:val="center"/>
              <w:rPr>
                <w:rFonts w:hint="eastAsia" w:cs="宋体"/>
                <w:sz w:val="32"/>
                <w:szCs w:val="32"/>
              </w:rPr>
            </w:pPr>
            <w:r>
              <w:rPr>
                <w:rFonts w:hint="eastAsia"/>
                <w:sz w:val="32"/>
                <w:szCs w:val="32"/>
              </w:rPr>
              <w:t xml:space="preserve">SH/T </w:t>
            </w:r>
            <w:r>
              <w:rPr>
                <w:rFonts w:ascii="Times New Roman" w:hAnsi="Times New Roman"/>
                <w:sz w:val="32"/>
                <w:szCs w:val="32"/>
              </w:rPr>
              <w:t>0689</w:t>
            </w:r>
            <w:r>
              <w:rPr>
                <w:rFonts w:hint="eastAsia"/>
                <w:sz w:val="32"/>
                <w:szCs w:val="32"/>
              </w:rPr>
              <w:t xml:space="preserve"> -</w:t>
            </w:r>
            <w:r>
              <w:rPr>
                <w:rFonts w:ascii="Times New Roman" w:hAnsi="Times New Roman"/>
                <w:sz w:val="32"/>
                <w:szCs w:val="32"/>
              </w:rPr>
              <w:t>2000</w:t>
            </w:r>
          </w:p>
        </w:tc>
        <w:tc>
          <w:tcPr>
            <w:tcW w:w="3184" w:type="dxa"/>
            <w:noWrap w:val="0"/>
            <w:vAlign w:val="center"/>
          </w:tcPr>
          <w:p w14:paraId="2F90A3F3">
            <w:pPr>
              <w:adjustRightInd w:val="0"/>
              <w:snapToGrid w:val="0"/>
              <w:spacing w:line="570" w:lineRule="exact"/>
              <w:rPr>
                <w:rFonts w:hint="eastAsia" w:ascii="仿宋_GB2312" w:hAnsi="微软雅黑" w:eastAsia="仿宋_GB2312"/>
                <w:color w:val="454545"/>
                <w:sz w:val="32"/>
                <w:szCs w:val="32"/>
                <w:shd w:val="clear" w:color="auto" w:fill="FEFFFF"/>
              </w:rPr>
            </w:pPr>
            <w:r>
              <w:rPr>
                <w:rFonts w:hint="eastAsia" w:ascii="仿宋_GB2312" w:hAnsi="宋体" w:eastAsia="仿宋_GB2312"/>
                <w:sz w:val="32"/>
                <w:szCs w:val="32"/>
              </w:rPr>
              <w:t>轻质烃及发动机燃料和其他油品的总硫含量测定法（紫外荧光法）</w:t>
            </w:r>
          </w:p>
        </w:tc>
      </w:tr>
      <w:tr w14:paraId="36E7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34" w:type="dxa"/>
            <w:vMerge w:val="continue"/>
            <w:noWrap w:val="0"/>
            <w:vAlign w:val="center"/>
          </w:tcPr>
          <w:p w14:paraId="6A4FCAE6">
            <w:pPr>
              <w:pStyle w:val="13"/>
              <w:spacing w:line="570" w:lineRule="exact"/>
              <w:ind w:firstLine="0" w:firstLineChars="0"/>
              <w:jc w:val="center"/>
              <w:rPr>
                <w:rFonts w:hint="eastAsia" w:cs="宋体"/>
                <w:kern w:val="0"/>
                <w:sz w:val="32"/>
                <w:szCs w:val="32"/>
              </w:rPr>
            </w:pPr>
          </w:p>
        </w:tc>
        <w:tc>
          <w:tcPr>
            <w:tcW w:w="1540" w:type="dxa"/>
            <w:noWrap w:val="0"/>
            <w:vAlign w:val="center"/>
          </w:tcPr>
          <w:p w14:paraId="15B076B4">
            <w:pPr>
              <w:pStyle w:val="13"/>
              <w:spacing w:line="570" w:lineRule="exact"/>
              <w:ind w:firstLine="0" w:firstLineChars="0"/>
              <w:jc w:val="center"/>
              <w:rPr>
                <w:rFonts w:hint="eastAsia" w:cs="宋体"/>
                <w:kern w:val="0"/>
                <w:sz w:val="32"/>
                <w:szCs w:val="32"/>
              </w:rPr>
            </w:pPr>
            <w:r>
              <w:rPr>
                <w:rFonts w:hint="eastAsia" w:cs="宋体"/>
                <w:kern w:val="0"/>
                <w:sz w:val="32"/>
                <w:szCs w:val="32"/>
              </w:rPr>
              <w:t>馏程</w:t>
            </w:r>
          </w:p>
        </w:tc>
        <w:tc>
          <w:tcPr>
            <w:tcW w:w="2711" w:type="dxa"/>
            <w:noWrap w:val="0"/>
            <w:vAlign w:val="center"/>
          </w:tcPr>
          <w:p w14:paraId="785F6C56">
            <w:pPr>
              <w:pStyle w:val="13"/>
              <w:spacing w:line="570" w:lineRule="exact"/>
              <w:ind w:firstLine="0" w:firstLineChars="0"/>
              <w:jc w:val="center"/>
              <w:rPr>
                <w:rFonts w:hint="eastAsia"/>
                <w:sz w:val="32"/>
                <w:szCs w:val="32"/>
              </w:rPr>
            </w:pPr>
            <w:r>
              <w:rPr>
                <w:sz w:val="32"/>
                <w:szCs w:val="32"/>
              </w:rPr>
              <w:t xml:space="preserve">GB/T </w:t>
            </w:r>
            <w:r>
              <w:rPr>
                <w:rFonts w:ascii="Times New Roman" w:hAnsi="Times New Roman"/>
                <w:sz w:val="32"/>
                <w:szCs w:val="32"/>
              </w:rPr>
              <w:t>6536</w:t>
            </w:r>
            <w:r>
              <w:rPr>
                <w:sz w:val="32"/>
                <w:szCs w:val="32"/>
              </w:rPr>
              <w:t>-</w:t>
            </w:r>
            <w:r>
              <w:rPr>
                <w:rFonts w:ascii="Times New Roman" w:hAnsi="Times New Roman"/>
                <w:sz w:val="32"/>
                <w:szCs w:val="32"/>
              </w:rPr>
              <w:t>2010</w:t>
            </w:r>
          </w:p>
        </w:tc>
        <w:tc>
          <w:tcPr>
            <w:tcW w:w="3184" w:type="dxa"/>
            <w:noWrap w:val="0"/>
            <w:vAlign w:val="center"/>
          </w:tcPr>
          <w:p w14:paraId="648B98BA">
            <w:pPr>
              <w:adjustRightInd w:val="0"/>
              <w:snapToGrid w:val="0"/>
              <w:spacing w:line="570" w:lineRule="exact"/>
              <w:rPr>
                <w:rFonts w:hint="eastAsia" w:ascii="仿宋_GB2312" w:eastAsia="仿宋_GB2312"/>
                <w:sz w:val="32"/>
                <w:szCs w:val="32"/>
              </w:rPr>
            </w:pPr>
            <w:r>
              <w:rPr>
                <w:rFonts w:hint="eastAsia" w:ascii="仿宋_GB2312" w:eastAsia="仿宋_GB2312"/>
                <w:sz w:val="32"/>
                <w:szCs w:val="32"/>
              </w:rPr>
              <w:t>石油产品常压蒸馏特性测定法</w:t>
            </w:r>
          </w:p>
        </w:tc>
      </w:tr>
      <w:tr w14:paraId="457C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134" w:type="dxa"/>
            <w:vMerge w:val="restart"/>
            <w:noWrap w:val="0"/>
            <w:vAlign w:val="center"/>
          </w:tcPr>
          <w:p w14:paraId="393B28AC">
            <w:pPr>
              <w:pStyle w:val="13"/>
              <w:spacing w:line="570" w:lineRule="exact"/>
              <w:ind w:firstLine="0" w:firstLineChars="0"/>
              <w:jc w:val="center"/>
              <w:rPr>
                <w:rFonts w:hint="eastAsia"/>
                <w:sz w:val="32"/>
                <w:szCs w:val="32"/>
              </w:rPr>
            </w:pPr>
            <w:r>
              <w:rPr>
                <w:rFonts w:hint="eastAsia" w:cs="宋体"/>
                <w:kern w:val="0"/>
                <w:sz w:val="32"/>
                <w:szCs w:val="32"/>
              </w:rPr>
              <w:t>车用柴油</w:t>
            </w:r>
          </w:p>
        </w:tc>
        <w:tc>
          <w:tcPr>
            <w:tcW w:w="1540" w:type="dxa"/>
            <w:noWrap w:val="0"/>
            <w:vAlign w:val="center"/>
          </w:tcPr>
          <w:p w14:paraId="76A1B702">
            <w:pPr>
              <w:pStyle w:val="13"/>
              <w:spacing w:line="570" w:lineRule="exact"/>
              <w:ind w:firstLine="0" w:firstLineChars="0"/>
              <w:jc w:val="center"/>
              <w:rPr>
                <w:rFonts w:hint="eastAsia" w:cs="宋体"/>
                <w:sz w:val="32"/>
                <w:szCs w:val="32"/>
              </w:rPr>
            </w:pPr>
            <w:r>
              <w:rPr>
                <w:rFonts w:hint="eastAsia" w:cs="宋体"/>
                <w:kern w:val="0"/>
                <w:sz w:val="32"/>
                <w:szCs w:val="32"/>
              </w:rPr>
              <w:t>硫含量</w:t>
            </w:r>
          </w:p>
        </w:tc>
        <w:tc>
          <w:tcPr>
            <w:tcW w:w="2711" w:type="dxa"/>
            <w:noWrap w:val="0"/>
            <w:vAlign w:val="center"/>
          </w:tcPr>
          <w:p w14:paraId="4DDAA3AE">
            <w:pPr>
              <w:pStyle w:val="13"/>
              <w:spacing w:line="570" w:lineRule="exact"/>
              <w:ind w:firstLine="0" w:firstLineChars="0"/>
              <w:jc w:val="center"/>
              <w:rPr>
                <w:rFonts w:hint="eastAsia" w:cs="宋体"/>
                <w:sz w:val="32"/>
                <w:szCs w:val="32"/>
              </w:rPr>
            </w:pPr>
            <w:r>
              <w:rPr>
                <w:rFonts w:hint="eastAsia"/>
                <w:sz w:val="32"/>
                <w:szCs w:val="32"/>
              </w:rPr>
              <w:t xml:space="preserve">SH/T </w:t>
            </w:r>
            <w:r>
              <w:rPr>
                <w:rFonts w:ascii="Times New Roman" w:hAnsi="Times New Roman"/>
                <w:sz w:val="32"/>
                <w:szCs w:val="32"/>
              </w:rPr>
              <w:t>0689</w:t>
            </w:r>
            <w:r>
              <w:rPr>
                <w:rFonts w:hint="eastAsia"/>
                <w:sz w:val="32"/>
                <w:szCs w:val="32"/>
              </w:rPr>
              <w:t xml:space="preserve"> -</w:t>
            </w:r>
            <w:r>
              <w:rPr>
                <w:rFonts w:ascii="Times New Roman" w:hAnsi="Times New Roman"/>
                <w:sz w:val="32"/>
                <w:szCs w:val="32"/>
              </w:rPr>
              <w:t>2000</w:t>
            </w:r>
          </w:p>
        </w:tc>
        <w:tc>
          <w:tcPr>
            <w:tcW w:w="3184" w:type="dxa"/>
            <w:noWrap w:val="0"/>
            <w:vAlign w:val="center"/>
          </w:tcPr>
          <w:p w14:paraId="15914EC4">
            <w:pPr>
              <w:adjustRightInd w:val="0"/>
              <w:snapToGrid w:val="0"/>
              <w:spacing w:line="570" w:lineRule="exact"/>
              <w:rPr>
                <w:rFonts w:hint="eastAsia" w:ascii="仿宋_GB2312" w:hAnsi="微软雅黑" w:eastAsia="仿宋_GB2312"/>
                <w:color w:val="454545"/>
                <w:sz w:val="32"/>
                <w:szCs w:val="32"/>
                <w:shd w:val="clear" w:color="auto" w:fill="FEFFFF"/>
              </w:rPr>
            </w:pPr>
            <w:r>
              <w:rPr>
                <w:rFonts w:hint="eastAsia" w:ascii="仿宋_GB2312" w:hAnsi="宋体" w:eastAsia="仿宋_GB2312"/>
                <w:sz w:val="32"/>
                <w:szCs w:val="32"/>
              </w:rPr>
              <w:t>轻质烃及发动机燃料和其他油品的总硫含量测定法（紫外荧光法）</w:t>
            </w:r>
          </w:p>
        </w:tc>
      </w:tr>
      <w:tr w14:paraId="0F86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34" w:type="dxa"/>
            <w:vMerge w:val="continue"/>
            <w:noWrap w:val="0"/>
            <w:vAlign w:val="center"/>
          </w:tcPr>
          <w:p w14:paraId="555FA328">
            <w:pPr>
              <w:adjustRightInd w:val="0"/>
              <w:snapToGrid w:val="0"/>
              <w:spacing w:line="570" w:lineRule="exact"/>
              <w:ind w:firstLine="537" w:firstLineChars="168"/>
              <w:jc w:val="center"/>
              <w:rPr>
                <w:rFonts w:hint="eastAsia" w:ascii="仿宋_GB2312" w:hAnsi="宋体" w:eastAsia="仿宋_GB2312"/>
                <w:sz w:val="32"/>
                <w:szCs w:val="32"/>
              </w:rPr>
            </w:pPr>
          </w:p>
        </w:tc>
        <w:tc>
          <w:tcPr>
            <w:tcW w:w="1540" w:type="dxa"/>
            <w:noWrap w:val="0"/>
            <w:vAlign w:val="center"/>
          </w:tcPr>
          <w:p w14:paraId="4A3A605D">
            <w:pPr>
              <w:pStyle w:val="13"/>
              <w:spacing w:line="570" w:lineRule="exact"/>
              <w:ind w:firstLine="0" w:firstLineChars="0"/>
              <w:jc w:val="center"/>
              <w:rPr>
                <w:rFonts w:hint="eastAsia" w:cs="宋体"/>
                <w:sz w:val="32"/>
                <w:szCs w:val="32"/>
              </w:rPr>
            </w:pPr>
            <w:r>
              <w:rPr>
                <w:rFonts w:hint="eastAsia" w:cs="宋体"/>
                <w:kern w:val="0"/>
                <w:sz w:val="32"/>
                <w:szCs w:val="32"/>
              </w:rPr>
              <w:t>闪点（闭口）</w:t>
            </w:r>
          </w:p>
        </w:tc>
        <w:tc>
          <w:tcPr>
            <w:tcW w:w="2711" w:type="dxa"/>
            <w:noWrap w:val="0"/>
            <w:vAlign w:val="center"/>
          </w:tcPr>
          <w:p w14:paraId="1E804F89">
            <w:pPr>
              <w:pStyle w:val="13"/>
              <w:spacing w:line="570" w:lineRule="exact"/>
              <w:ind w:firstLine="0" w:firstLineChars="0"/>
              <w:jc w:val="center"/>
              <w:rPr>
                <w:rFonts w:hint="eastAsia" w:cs="宋体"/>
                <w:sz w:val="32"/>
                <w:szCs w:val="32"/>
              </w:rPr>
            </w:pPr>
            <w:r>
              <w:rPr>
                <w:rFonts w:hint="eastAsia"/>
                <w:sz w:val="32"/>
                <w:szCs w:val="32"/>
              </w:rPr>
              <w:t xml:space="preserve">GB/T </w:t>
            </w:r>
            <w:r>
              <w:rPr>
                <w:rFonts w:ascii="Times New Roman" w:hAnsi="Times New Roman"/>
                <w:sz w:val="32"/>
                <w:szCs w:val="32"/>
              </w:rPr>
              <w:t>261</w:t>
            </w:r>
            <w:r>
              <w:rPr>
                <w:rFonts w:hint="eastAsia"/>
                <w:sz w:val="32"/>
                <w:szCs w:val="32"/>
              </w:rPr>
              <w:t>-</w:t>
            </w:r>
            <w:r>
              <w:rPr>
                <w:rFonts w:ascii="Times New Roman" w:hAnsi="Times New Roman"/>
                <w:sz w:val="32"/>
                <w:szCs w:val="32"/>
              </w:rPr>
              <w:t>2021</w:t>
            </w:r>
          </w:p>
        </w:tc>
        <w:tc>
          <w:tcPr>
            <w:tcW w:w="3184" w:type="dxa"/>
            <w:noWrap w:val="0"/>
            <w:vAlign w:val="center"/>
          </w:tcPr>
          <w:p w14:paraId="1348DC8F">
            <w:pPr>
              <w:adjustRightInd w:val="0"/>
              <w:snapToGrid w:val="0"/>
              <w:spacing w:line="570" w:lineRule="exact"/>
              <w:rPr>
                <w:rFonts w:hint="eastAsia" w:ascii="仿宋_GB2312" w:hAnsi="宋体" w:eastAsia="仿宋_GB2312"/>
                <w:sz w:val="32"/>
                <w:szCs w:val="32"/>
              </w:rPr>
            </w:pPr>
            <w:r>
              <w:rPr>
                <w:rFonts w:hint="eastAsia" w:ascii="仿宋_GB2312" w:eastAsia="仿宋_GB2312"/>
                <w:sz w:val="32"/>
                <w:szCs w:val="32"/>
              </w:rPr>
              <w:t>闪点的测定 宾斯基-马丁闭口杯法</w:t>
            </w:r>
          </w:p>
        </w:tc>
      </w:tr>
      <w:tr w14:paraId="674F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34" w:type="dxa"/>
            <w:vMerge w:val="continue"/>
            <w:noWrap w:val="0"/>
            <w:vAlign w:val="center"/>
          </w:tcPr>
          <w:p w14:paraId="37DDB0B7">
            <w:pPr>
              <w:adjustRightInd w:val="0"/>
              <w:snapToGrid w:val="0"/>
              <w:spacing w:line="570" w:lineRule="exact"/>
              <w:ind w:firstLine="537" w:firstLineChars="168"/>
              <w:jc w:val="center"/>
              <w:rPr>
                <w:rFonts w:hint="eastAsia" w:ascii="仿宋_GB2312" w:hAnsi="宋体" w:eastAsia="仿宋_GB2312"/>
                <w:sz w:val="32"/>
                <w:szCs w:val="32"/>
              </w:rPr>
            </w:pPr>
          </w:p>
        </w:tc>
        <w:tc>
          <w:tcPr>
            <w:tcW w:w="1540" w:type="dxa"/>
            <w:noWrap w:val="0"/>
            <w:vAlign w:val="center"/>
          </w:tcPr>
          <w:p w14:paraId="58AA2BEB">
            <w:pPr>
              <w:pStyle w:val="13"/>
              <w:spacing w:line="570" w:lineRule="exact"/>
              <w:ind w:firstLine="0" w:firstLineChars="0"/>
              <w:jc w:val="center"/>
              <w:rPr>
                <w:rFonts w:hint="eastAsia" w:cs="宋体"/>
                <w:kern w:val="0"/>
                <w:sz w:val="32"/>
                <w:szCs w:val="32"/>
              </w:rPr>
            </w:pPr>
            <w:r>
              <w:rPr>
                <w:rFonts w:hint="eastAsia" w:cs="宋体"/>
                <w:kern w:val="0"/>
                <w:sz w:val="32"/>
                <w:szCs w:val="32"/>
              </w:rPr>
              <w:t>馏程</w:t>
            </w:r>
          </w:p>
        </w:tc>
        <w:tc>
          <w:tcPr>
            <w:tcW w:w="2711" w:type="dxa"/>
            <w:noWrap w:val="0"/>
            <w:vAlign w:val="center"/>
          </w:tcPr>
          <w:p w14:paraId="08FF224F">
            <w:pPr>
              <w:pStyle w:val="13"/>
              <w:spacing w:line="570" w:lineRule="exact"/>
              <w:ind w:firstLine="0" w:firstLineChars="0"/>
              <w:jc w:val="center"/>
              <w:rPr>
                <w:rFonts w:hint="eastAsia"/>
                <w:sz w:val="32"/>
                <w:szCs w:val="32"/>
              </w:rPr>
            </w:pPr>
            <w:r>
              <w:rPr>
                <w:sz w:val="32"/>
                <w:szCs w:val="32"/>
              </w:rPr>
              <w:t xml:space="preserve">GB/T </w:t>
            </w:r>
            <w:r>
              <w:rPr>
                <w:rFonts w:ascii="Times New Roman" w:hAnsi="Times New Roman"/>
                <w:sz w:val="32"/>
                <w:szCs w:val="32"/>
              </w:rPr>
              <w:t>6536</w:t>
            </w:r>
            <w:r>
              <w:rPr>
                <w:sz w:val="32"/>
                <w:szCs w:val="32"/>
              </w:rPr>
              <w:t>-</w:t>
            </w:r>
            <w:r>
              <w:rPr>
                <w:rFonts w:ascii="Times New Roman" w:hAnsi="Times New Roman"/>
                <w:sz w:val="32"/>
                <w:szCs w:val="32"/>
              </w:rPr>
              <w:t>2010</w:t>
            </w:r>
          </w:p>
        </w:tc>
        <w:tc>
          <w:tcPr>
            <w:tcW w:w="3184" w:type="dxa"/>
            <w:noWrap w:val="0"/>
            <w:vAlign w:val="center"/>
          </w:tcPr>
          <w:p w14:paraId="19A3DE13">
            <w:pPr>
              <w:adjustRightInd w:val="0"/>
              <w:snapToGrid w:val="0"/>
              <w:spacing w:line="570" w:lineRule="exact"/>
              <w:rPr>
                <w:rFonts w:hint="eastAsia" w:ascii="仿宋_GB2312" w:eastAsia="仿宋_GB2312"/>
                <w:sz w:val="32"/>
                <w:szCs w:val="32"/>
              </w:rPr>
            </w:pPr>
            <w:r>
              <w:rPr>
                <w:rFonts w:hint="eastAsia" w:ascii="仿宋_GB2312" w:eastAsia="仿宋_GB2312"/>
                <w:sz w:val="32"/>
                <w:szCs w:val="32"/>
              </w:rPr>
              <w:t>石油产品常压蒸馏特性测定法</w:t>
            </w:r>
          </w:p>
        </w:tc>
      </w:tr>
    </w:tbl>
    <w:p w14:paraId="0066BCA9">
      <w:pPr>
        <w:adjustRightInd w:val="0"/>
        <w:snapToGrid w:val="0"/>
        <w:spacing w:line="570" w:lineRule="exact"/>
        <w:ind w:firstLine="640" w:firstLineChars="200"/>
        <w:rPr>
          <w:rFonts w:hint="eastAsia" w:ascii="黑体" w:hAnsi="黑体" w:eastAsia="黑体" w:cs="宋体"/>
          <w:b/>
          <w:sz w:val="32"/>
          <w:szCs w:val="32"/>
        </w:rPr>
      </w:pPr>
      <w:r>
        <w:rPr>
          <w:rFonts w:hint="eastAsia" w:ascii="黑体" w:hAnsi="黑体" w:eastAsia="黑体" w:cs="宋体"/>
          <w:sz w:val="32"/>
          <w:szCs w:val="32"/>
        </w:rPr>
        <w:t>四、监督抽查结果分析</w:t>
      </w:r>
    </w:p>
    <w:p w14:paraId="22438623">
      <w:pPr>
        <w:adjustRightInd w:val="0"/>
        <w:snapToGrid w:val="0"/>
        <w:spacing w:line="570" w:lineRule="exact"/>
        <w:ind w:firstLine="640" w:firstLineChars="200"/>
        <w:rPr>
          <w:rFonts w:hint="eastAsia" w:ascii="楷体_GB2312" w:hAnsi="宋体" w:eastAsia="楷体_GB2312" w:cs="宋体"/>
          <w:b w:val="0"/>
          <w:bCs/>
          <w:sz w:val="32"/>
          <w:szCs w:val="32"/>
        </w:rPr>
      </w:pPr>
      <w:r>
        <w:rPr>
          <w:rFonts w:hint="eastAsia" w:ascii="楷体_GB2312" w:hAnsi="宋体" w:eastAsia="楷体_GB2312" w:cs="宋体"/>
          <w:b w:val="0"/>
          <w:bCs/>
          <w:sz w:val="32"/>
          <w:szCs w:val="32"/>
        </w:rPr>
        <w:t>(一）综合分析</w:t>
      </w:r>
    </w:p>
    <w:p w14:paraId="5F16A858">
      <w:pPr>
        <w:adjustRightInd w:val="0"/>
        <w:snapToGrid w:val="0"/>
        <w:spacing w:line="570" w:lineRule="exact"/>
        <w:ind w:firstLine="800" w:firstLineChars="250"/>
        <w:rPr>
          <w:rFonts w:hint="eastAsia" w:ascii="仿宋_GB2312" w:hAnsi="宋体" w:eastAsia="仿宋_GB2312" w:cs="宋体"/>
          <w:sz w:val="32"/>
          <w:szCs w:val="32"/>
        </w:rPr>
      </w:pPr>
      <w:r>
        <w:rPr>
          <w:rFonts w:hint="eastAsia" w:ascii="仿宋_GB2312" w:hAnsi="宋体" w:eastAsia="仿宋_GB2312" w:cs="宋体"/>
          <w:sz w:val="32"/>
          <w:szCs w:val="32"/>
        </w:rPr>
        <w:t>本次车用汽柴油产品抽检加油站共</w:t>
      </w:r>
      <w:r>
        <w:rPr>
          <w:rFonts w:eastAsia="仿宋_GB2312"/>
          <w:sz w:val="32"/>
          <w:szCs w:val="32"/>
        </w:rPr>
        <w:t>20</w:t>
      </w:r>
      <w:r>
        <w:rPr>
          <w:rFonts w:hint="eastAsia" w:ascii="仿宋_GB2312" w:hAnsi="宋体" w:eastAsia="仿宋_GB2312" w:cs="宋体"/>
          <w:sz w:val="32"/>
          <w:szCs w:val="32"/>
        </w:rPr>
        <w:t>家，抽查车用汽油</w:t>
      </w:r>
      <w:r>
        <w:rPr>
          <w:rFonts w:hint="eastAsia" w:eastAsia="仿宋_GB2312"/>
          <w:sz w:val="32"/>
          <w:szCs w:val="32"/>
        </w:rPr>
        <w:t>15</w:t>
      </w:r>
      <w:r>
        <w:rPr>
          <w:rFonts w:hint="eastAsia" w:ascii="仿宋_GB2312" w:hAnsi="宋体" w:eastAsia="仿宋_GB2312" w:cs="宋体"/>
          <w:sz w:val="32"/>
          <w:szCs w:val="32"/>
        </w:rPr>
        <w:t>批次，车用柴油</w:t>
      </w:r>
      <w:r>
        <w:rPr>
          <w:rFonts w:hint="eastAsia" w:eastAsia="仿宋_GB2312"/>
          <w:sz w:val="32"/>
          <w:szCs w:val="32"/>
        </w:rPr>
        <w:t>5</w:t>
      </w:r>
      <w:r>
        <w:rPr>
          <w:rFonts w:hint="eastAsia" w:ascii="仿宋_GB2312" w:hAnsi="宋体" w:eastAsia="仿宋_GB2312" w:cs="宋体"/>
          <w:sz w:val="32"/>
          <w:szCs w:val="32"/>
        </w:rPr>
        <w:t>批次，</w:t>
      </w:r>
      <w:r>
        <w:rPr>
          <w:rFonts w:hint="eastAsia" w:eastAsia="仿宋_GB2312"/>
          <w:sz w:val="32"/>
          <w:szCs w:val="32"/>
        </w:rPr>
        <w:t>共计20批次</w:t>
      </w:r>
      <w:r>
        <w:rPr>
          <w:rFonts w:hint="eastAsia" w:ascii="仿宋_GB2312" w:hAnsi="宋体" w:eastAsia="仿宋_GB2312" w:cs="宋体"/>
          <w:sz w:val="32"/>
          <w:szCs w:val="32"/>
        </w:rPr>
        <w:t>。经检验，合格</w:t>
      </w:r>
      <w:r>
        <w:rPr>
          <w:rFonts w:hint="eastAsia" w:eastAsia="仿宋_GB2312"/>
          <w:sz w:val="32"/>
          <w:szCs w:val="32"/>
        </w:rPr>
        <w:t>20</w:t>
      </w:r>
      <w:r>
        <w:rPr>
          <w:rFonts w:hint="eastAsia" w:ascii="仿宋_GB2312" w:hAnsi="宋体" w:eastAsia="仿宋_GB2312" w:cs="宋体"/>
          <w:sz w:val="32"/>
          <w:szCs w:val="32"/>
        </w:rPr>
        <w:t>批次</w:t>
      </w:r>
      <w:r>
        <w:rPr>
          <w:rFonts w:hint="eastAsia" w:ascii="仿宋_GB2312" w:hAnsi="宋体" w:eastAsia="仿宋_GB2312" w:cs="宋体"/>
          <w:color w:val="000000"/>
          <w:kern w:val="0"/>
          <w:sz w:val="32"/>
          <w:szCs w:val="32"/>
          <w:lang w:bidi="ar"/>
        </w:rPr>
        <w:t>，合格率为</w:t>
      </w:r>
      <w:r>
        <w:rPr>
          <w:rFonts w:eastAsia="仿宋_GB2312"/>
          <w:color w:val="000000"/>
          <w:kern w:val="0"/>
          <w:sz w:val="32"/>
          <w:szCs w:val="32"/>
          <w:lang w:bidi="ar"/>
        </w:rPr>
        <w:t>100</w:t>
      </w:r>
      <w:r>
        <w:rPr>
          <w:rFonts w:hint="eastAsia" w:ascii="仿宋_GB2312" w:hAnsi="宋体" w:eastAsia="仿宋_GB2312" w:cs="宋体"/>
          <w:color w:val="000000"/>
          <w:kern w:val="0"/>
          <w:sz w:val="32"/>
          <w:szCs w:val="32"/>
          <w:lang w:bidi="ar"/>
        </w:rPr>
        <w:t>%。</w:t>
      </w:r>
    </w:p>
    <w:p w14:paraId="700C125C">
      <w:pPr>
        <w:adjustRightInd w:val="0"/>
        <w:snapToGrid w:val="0"/>
        <w:spacing w:line="570" w:lineRule="exact"/>
        <w:ind w:firstLine="643" w:firstLineChars="200"/>
        <w:jc w:val="center"/>
        <w:rPr>
          <w:rFonts w:ascii="仿宋_GB2312" w:hAnsi="宋体" w:eastAsia="仿宋_GB2312"/>
          <w:b/>
          <w:sz w:val="32"/>
          <w:szCs w:val="32"/>
        </w:rPr>
      </w:pPr>
      <w:r>
        <w:rPr>
          <w:rFonts w:hint="eastAsia" w:ascii="仿宋_GB2312" w:hAnsi="宋体" w:eastAsia="仿宋_GB2312"/>
          <w:b/>
          <w:sz w:val="32"/>
          <w:szCs w:val="32"/>
        </w:rPr>
        <w:t>表</w:t>
      </w:r>
      <w:r>
        <w:rPr>
          <w:rFonts w:eastAsia="仿宋_GB2312"/>
          <w:b/>
          <w:sz w:val="32"/>
          <w:szCs w:val="32"/>
        </w:rPr>
        <w:t>3</w:t>
      </w:r>
      <w:r>
        <w:rPr>
          <w:rFonts w:hint="eastAsia" w:ascii="仿宋_GB2312" w:hAnsi="宋体" w:eastAsia="仿宋_GB2312"/>
          <w:b/>
          <w:sz w:val="32"/>
          <w:szCs w:val="32"/>
        </w:rPr>
        <w:t>：车用汽柴油合格率统计</w:t>
      </w:r>
    </w:p>
    <w:tbl>
      <w:tblPr>
        <w:tblStyle w:val="10"/>
        <w:tblW w:w="48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06"/>
        <w:gridCol w:w="1848"/>
        <w:gridCol w:w="1572"/>
        <w:gridCol w:w="1685"/>
        <w:gridCol w:w="1625"/>
        <w:gridCol w:w="1087"/>
      </w:tblGrid>
      <w:tr w14:paraId="3E22A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0" w:type="pct"/>
            <w:noWrap w:val="0"/>
            <w:vAlign w:val="center"/>
          </w:tcPr>
          <w:p w14:paraId="38783713">
            <w:pPr>
              <w:spacing w:line="570" w:lineRule="exact"/>
              <w:jc w:val="center"/>
              <w:rPr>
                <w:rFonts w:ascii="仿宋_GB2312" w:hAnsi="宋体" w:eastAsia="仿宋_GB2312" w:cs="宋体"/>
                <w:sz w:val="32"/>
                <w:szCs w:val="32"/>
              </w:rPr>
            </w:pPr>
            <w:r>
              <w:rPr>
                <w:rFonts w:hint="eastAsia" w:ascii="仿宋_GB2312" w:hAnsi="宋体" w:eastAsia="仿宋_GB2312" w:cs="宋体"/>
                <w:sz w:val="32"/>
                <w:szCs w:val="32"/>
              </w:rPr>
              <w:t>序号</w:t>
            </w:r>
          </w:p>
        </w:tc>
        <w:tc>
          <w:tcPr>
            <w:tcW w:w="1047" w:type="pct"/>
            <w:noWrap w:val="0"/>
            <w:vAlign w:val="center"/>
          </w:tcPr>
          <w:p w14:paraId="2DA5CC43">
            <w:pPr>
              <w:spacing w:line="570" w:lineRule="exact"/>
              <w:jc w:val="center"/>
              <w:rPr>
                <w:rFonts w:ascii="仿宋_GB2312" w:hAnsi="宋体" w:eastAsia="仿宋_GB2312" w:cs="宋体"/>
                <w:sz w:val="32"/>
                <w:szCs w:val="32"/>
              </w:rPr>
            </w:pPr>
            <w:r>
              <w:rPr>
                <w:rFonts w:hint="eastAsia" w:ascii="仿宋_GB2312" w:hAnsi="宋体" w:eastAsia="仿宋_GB2312" w:cs="宋体"/>
                <w:sz w:val="32"/>
                <w:szCs w:val="32"/>
              </w:rPr>
              <w:t>抽样地区</w:t>
            </w:r>
          </w:p>
        </w:tc>
        <w:tc>
          <w:tcPr>
            <w:tcW w:w="891" w:type="pct"/>
            <w:noWrap w:val="0"/>
            <w:vAlign w:val="center"/>
          </w:tcPr>
          <w:p w14:paraId="73E71D4D">
            <w:pPr>
              <w:spacing w:line="570" w:lineRule="exact"/>
              <w:jc w:val="center"/>
              <w:rPr>
                <w:rFonts w:ascii="仿宋_GB2312" w:hAnsi="宋体" w:eastAsia="仿宋_GB2312" w:cs="宋体"/>
                <w:sz w:val="32"/>
                <w:szCs w:val="32"/>
              </w:rPr>
            </w:pPr>
            <w:r>
              <w:rPr>
                <w:rFonts w:hint="eastAsia" w:ascii="仿宋_GB2312" w:hAnsi="宋体" w:eastAsia="仿宋_GB2312" w:cs="宋体"/>
                <w:sz w:val="32"/>
                <w:szCs w:val="32"/>
              </w:rPr>
              <w:t>抽查批次</w:t>
            </w:r>
          </w:p>
        </w:tc>
        <w:tc>
          <w:tcPr>
            <w:tcW w:w="955" w:type="pct"/>
            <w:noWrap w:val="0"/>
            <w:vAlign w:val="center"/>
          </w:tcPr>
          <w:p w14:paraId="68138412">
            <w:pPr>
              <w:spacing w:line="570" w:lineRule="exact"/>
              <w:jc w:val="center"/>
              <w:rPr>
                <w:rFonts w:ascii="仿宋_GB2312" w:hAnsi="宋体" w:eastAsia="仿宋_GB2312" w:cs="宋体"/>
                <w:sz w:val="32"/>
                <w:szCs w:val="32"/>
              </w:rPr>
            </w:pPr>
            <w:r>
              <w:rPr>
                <w:rFonts w:hint="eastAsia" w:ascii="仿宋_GB2312" w:hAnsi="宋体" w:eastAsia="仿宋_GB2312" w:cs="宋体"/>
                <w:sz w:val="32"/>
                <w:szCs w:val="32"/>
              </w:rPr>
              <w:t>合格批次</w:t>
            </w:r>
          </w:p>
        </w:tc>
        <w:tc>
          <w:tcPr>
            <w:tcW w:w="921" w:type="pct"/>
            <w:noWrap w:val="0"/>
            <w:vAlign w:val="center"/>
          </w:tcPr>
          <w:p w14:paraId="1204A25B">
            <w:pPr>
              <w:spacing w:line="570" w:lineRule="exact"/>
              <w:jc w:val="center"/>
              <w:rPr>
                <w:rFonts w:hint="eastAsia" w:ascii="仿宋_GB2312" w:hAnsi="宋体" w:eastAsia="仿宋_GB2312" w:cs="宋体"/>
                <w:sz w:val="32"/>
                <w:szCs w:val="32"/>
              </w:rPr>
            </w:pPr>
            <w:r>
              <w:rPr>
                <w:rFonts w:hint="eastAsia" w:ascii="仿宋_GB2312" w:hAnsi="宋体" w:eastAsia="仿宋_GB2312" w:cs="宋体"/>
                <w:sz w:val="32"/>
                <w:szCs w:val="32"/>
              </w:rPr>
              <w:t>不合格</w:t>
            </w:r>
          </w:p>
          <w:p w14:paraId="54095BB2">
            <w:pPr>
              <w:spacing w:line="570" w:lineRule="exact"/>
              <w:jc w:val="center"/>
              <w:rPr>
                <w:rFonts w:ascii="仿宋_GB2312" w:hAnsi="宋体" w:eastAsia="仿宋_GB2312" w:cs="宋体"/>
                <w:sz w:val="32"/>
                <w:szCs w:val="32"/>
              </w:rPr>
            </w:pPr>
            <w:r>
              <w:rPr>
                <w:rFonts w:hint="eastAsia" w:ascii="仿宋_GB2312" w:hAnsi="宋体" w:eastAsia="仿宋_GB2312" w:cs="宋体"/>
                <w:sz w:val="32"/>
                <w:szCs w:val="32"/>
              </w:rPr>
              <w:t>批次</w:t>
            </w:r>
          </w:p>
        </w:tc>
        <w:tc>
          <w:tcPr>
            <w:tcW w:w="616" w:type="pct"/>
            <w:noWrap w:val="0"/>
            <w:vAlign w:val="center"/>
          </w:tcPr>
          <w:p w14:paraId="115CC774">
            <w:pPr>
              <w:spacing w:line="570" w:lineRule="exact"/>
              <w:jc w:val="center"/>
              <w:rPr>
                <w:rFonts w:ascii="仿宋_GB2312" w:hAnsi="宋体" w:eastAsia="仿宋_GB2312" w:cs="宋体"/>
                <w:sz w:val="32"/>
                <w:szCs w:val="32"/>
              </w:rPr>
            </w:pPr>
            <w:r>
              <w:rPr>
                <w:rFonts w:hint="eastAsia" w:ascii="仿宋_GB2312" w:hAnsi="宋体" w:eastAsia="仿宋_GB2312" w:cs="宋体"/>
                <w:sz w:val="32"/>
                <w:szCs w:val="32"/>
              </w:rPr>
              <w:t>合格率</w:t>
            </w:r>
          </w:p>
        </w:tc>
      </w:tr>
      <w:tr w14:paraId="7B212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0" w:type="pct"/>
            <w:noWrap w:val="0"/>
            <w:vAlign w:val="center"/>
          </w:tcPr>
          <w:p w14:paraId="68FF36BB">
            <w:pPr>
              <w:adjustRightInd w:val="0"/>
              <w:snapToGrid w:val="0"/>
              <w:spacing w:line="570" w:lineRule="exact"/>
              <w:jc w:val="center"/>
              <w:rPr>
                <w:rFonts w:eastAsia="仿宋_GB2312"/>
                <w:sz w:val="32"/>
                <w:szCs w:val="32"/>
              </w:rPr>
            </w:pPr>
            <w:r>
              <w:rPr>
                <w:rFonts w:eastAsia="仿宋_GB2312"/>
                <w:sz w:val="32"/>
                <w:szCs w:val="32"/>
              </w:rPr>
              <w:t>1</w:t>
            </w:r>
          </w:p>
        </w:tc>
        <w:tc>
          <w:tcPr>
            <w:tcW w:w="1047" w:type="pct"/>
            <w:vMerge w:val="restart"/>
            <w:noWrap w:val="0"/>
            <w:vAlign w:val="center"/>
          </w:tcPr>
          <w:p w14:paraId="28838B1E">
            <w:pPr>
              <w:spacing w:line="570" w:lineRule="exact"/>
              <w:jc w:val="center"/>
              <w:rPr>
                <w:rFonts w:ascii="仿宋_GB2312" w:hAnsi="宋体" w:eastAsia="仿宋_GB2312" w:cs="宋体"/>
                <w:sz w:val="32"/>
                <w:szCs w:val="32"/>
              </w:rPr>
            </w:pPr>
            <w:r>
              <w:rPr>
                <w:rFonts w:hint="eastAsia" w:ascii="仿宋_GB2312" w:hAnsi="宋体" w:eastAsia="仿宋_GB2312" w:cs="宋体"/>
                <w:sz w:val="32"/>
                <w:szCs w:val="32"/>
              </w:rPr>
              <w:t>新北区</w:t>
            </w:r>
          </w:p>
        </w:tc>
        <w:tc>
          <w:tcPr>
            <w:tcW w:w="891" w:type="pct"/>
            <w:noWrap w:val="0"/>
            <w:vAlign w:val="center"/>
          </w:tcPr>
          <w:p w14:paraId="0A974225">
            <w:pPr>
              <w:spacing w:line="570" w:lineRule="exact"/>
              <w:jc w:val="center"/>
              <w:rPr>
                <w:rFonts w:ascii="仿宋_GB2312" w:hAnsi="宋体" w:eastAsia="仿宋_GB2312" w:cs="宋体"/>
                <w:sz w:val="32"/>
                <w:szCs w:val="32"/>
              </w:rPr>
            </w:pPr>
            <w:r>
              <w:rPr>
                <w:rFonts w:hint="eastAsia" w:ascii="仿宋_GB2312" w:hAnsi="宋体" w:eastAsia="仿宋_GB2312" w:cs="宋体"/>
                <w:sz w:val="32"/>
                <w:szCs w:val="32"/>
              </w:rPr>
              <w:t>汽油</w:t>
            </w:r>
            <w:r>
              <w:rPr>
                <w:rFonts w:hint="eastAsia" w:eastAsia="仿宋_GB2312"/>
                <w:sz w:val="32"/>
                <w:szCs w:val="32"/>
              </w:rPr>
              <w:t>15</w:t>
            </w:r>
          </w:p>
        </w:tc>
        <w:tc>
          <w:tcPr>
            <w:tcW w:w="955" w:type="pct"/>
            <w:noWrap w:val="0"/>
            <w:vAlign w:val="center"/>
          </w:tcPr>
          <w:p w14:paraId="0693F592">
            <w:pPr>
              <w:spacing w:line="570" w:lineRule="exact"/>
              <w:jc w:val="center"/>
              <w:rPr>
                <w:rFonts w:eastAsia="仿宋_GB2312"/>
                <w:sz w:val="32"/>
                <w:szCs w:val="32"/>
              </w:rPr>
            </w:pPr>
            <w:r>
              <w:rPr>
                <w:rFonts w:hint="eastAsia" w:eastAsia="仿宋_GB2312"/>
                <w:sz w:val="32"/>
                <w:szCs w:val="32"/>
              </w:rPr>
              <w:t>15</w:t>
            </w:r>
          </w:p>
        </w:tc>
        <w:tc>
          <w:tcPr>
            <w:tcW w:w="921" w:type="pct"/>
            <w:noWrap w:val="0"/>
            <w:vAlign w:val="center"/>
          </w:tcPr>
          <w:p w14:paraId="01C78A44">
            <w:pPr>
              <w:adjustRightInd w:val="0"/>
              <w:snapToGrid w:val="0"/>
              <w:spacing w:line="570" w:lineRule="exact"/>
              <w:jc w:val="center"/>
              <w:rPr>
                <w:rFonts w:eastAsia="仿宋_GB2312"/>
                <w:sz w:val="32"/>
                <w:szCs w:val="32"/>
              </w:rPr>
            </w:pPr>
            <w:r>
              <w:rPr>
                <w:rFonts w:eastAsia="仿宋_GB2312"/>
                <w:sz w:val="32"/>
                <w:szCs w:val="32"/>
              </w:rPr>
              <w:t>0</w:t>
            </w:r>
          </w:p>
        </w:tc>
        <w:tc>
          <w:tcPr>
            <w:tcW w:w="616" w:type="pct"/>
            <w:noWrap w:val="0"/>
            <w:vAlign w:val="center"/>
          </w:tcPr>
          <w:p w14:paraId="31AABF1A">
            <w:pPr>
              <w:adjustRightInd w:val="0"/>
              <w:snapToGrid w:val="0"/>
              <w:spacing w:line="570" w:lineRule="exact"/>
              <w:jc w:val="center"/>
              <w:rPr>
                <w:rFonts w:ascii="仿宋_GB2312" w:hAnsi="宋体" w:eastAsia="仿宋_GB2312" w:cs="宋体"/>
                <w:sz w:val="32"/>
                <w:szCs w:val="32"/>
              </w:rPr>
            </w:pPr>
            <w:r>
              <w:rPr>
                <w:rFonts w:eastAsia="仿宋_GB2312"/>
                <w:sz w:val="32"/>
                <w:szCs w:val="32"/>
              </w:rPr>
              <w:t>100</w:t>
            </w:r>
            <w:r>
              <w:rPr>
                <w:rFonts w:hint="eastAsia" w:ascii="仿宋_GB2312" w:hAnsi="宋体" w:eastAsia="仿宋_GB2312" w:cs="宋体"/>
                <w:sz w:val="32"/>
                <w:szCs w:val="32"/>
              </w:rPr>
              <w:t>%</w:t>
            </w:r>
          </w:p>
        </w:tc>
      </w:tr>
      <w:tr w14:paraId="169B9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70" w:type="pct"/>
            <w:noWrap w:val="0"/>
            <w:vAlign w:val="center"/>
          </w:tcPr>
          <w:p w14:paraId="73FBBE82">
            <w:pPr>
              <w:adjustRightInd w:val="0"/>
              <w:snapToGrid w:val="0"/>
              <w:spacing w:line="570" w:lineRule="exact"/>
              <w:jc w:val="center"/>
              <w:rPr>
                <w:rFonts w:eastAsia="仿宋_GB2312"/>
                <w:sz w:val="32"/>
                <w:szCs w:val="32"/>
              </w:rPr>
            </w:pPr>
            <w:r>
              <w:rPr>
                <w:rFonts w:eastAsia="仿宋_GB2312"/>
                <w:sz w:val="32"/>
                <w:szCs w:val="32"/>
              </w:rPr>
              <w:t>2</w:t>
            </w:r>
          </w:p>
        </w:tc>
        <w:tc>
          <w:tcPr>
            <w:tcW w:w="1047" w:type="pct"/>
            <w:vMerge w:val="continue"/>
            <w:noWrap w:val="0"/>
            <w:vAlign w:val="center"/>
          </w:tcPr>
          <w:p w14:paraId="32D58669">
            <w:pPr>
              <w:spacing w:line="570" w:lineRule="exact"/>
              <w:jc w:val="center"/>
              <w:rPr>
                <w:rFonts w:ascii="仿宋_GB2312" w:hAnsi="宋体" w:eastAsia="仿宋_GB2312" w:cs="宋体"/>
                <w:sz w:val="32"/>
                <w:szCs w:val="32"/>
              </w:rPr>
            </w:pPr>
          </w:p>
        </w:tc>
        <w:tc>
          <w:tcPr>
            <w:tcW w:w="891" w:type="pct"/>
            <w:noWrap w:val="0"/>
            <w:vAlign w:val="center"/>
          </w:tcPr>
          <w:p w14:paraId="155AC4E2">
            <w:pPr>
              <w:spacing w:line="570" w:lineRule="exact"/>
              <w:jc w:val="center"/>
              <w:rPr>
                <w:rFonts w:ascii="仿宋_GB2312" w:hAnsi="宋体" w:eastAsia="仿宋_GB2312" w:cs="宋体"/>
                <w:sz w:val="32"/>
                <w:szCs w:val="32"/>
              </w:rPr>
            </w:pPr>
            <w:r>
              <w:rPr>
                <w:rFonts w:hint="eastAsia" w:ascii="仿宋_GB2312" w:hAnsi="宋体" w:eastAsia="仿宋_GB2312" w:cs="宋体"/>
                <w:sz w:val="32"/>
                <w:szCs w:val="32"/>
              </w:rPr>
              <w:t>柴油</w:t>
            </w:r>
            <w:r>
              <w:rPr>
                <w:rFonts w:hint="eastAsia" w:eastAsia="仿宋_GB2312"/>
                <w:sz w:val="32"/>
                <w:szCs w:val="32"/>
              </w:rPr>
              <w:t>5</w:t>
            </w:r>
          </w:p>
        </w:tc>
        <w:tc>
          <w:tcPr>
            <w:tcW w:w="955" w:type="pct"/>
            <w:noWrap w:val="0"/>
            <w:vAlign w:val="center"/>
          </w:tcPr>
          <w:p w14:paraId="4A64247A">
            <w:pPr>
              <w:spacing w:line="570" w:lineRule="exact"/>
              <w:jc w:val="center"/>
              <w:rPr>
                <w:rFonts w:eastAsia="仿宋_GB2312"/>
                <w:sz w:val="32"/>
                <w:szCs w:val="32"/>
              </w:rPr>
            </w:pPr>
            <w:r>
              <w:rPr>
                <w:rFonts w:hint="eastAsia" w:eastAsia="仿宋_GB2312"/>
                <w:sz w:val="32"/>
                <w:szCs w:val="32"/>
              </w:rPr>
              <w:t>5</w:t>
            </w:r>
          </w:p>
        </w:tc>
        <w:tc>
          <w:tcPr>
            <w:tcW w:w="921" w:type="pct"/>
            <w:noWrap w:val="0"/>
            <w:vAlign w:val="center"/>
          </w:tcPr>
          <w:p w14:paraId="14CD6D46">
            <w:pPr>
              <w:adjustRightInd w:val="0"/>
              <w:snapToGrid w:val="0"/>
              <w:spacing w:line="570" w:lineRule="exact"/>
              <w:jc w:val="center"/>
              <w:rPr>
                <w:rFonts w:eastAsia="仿宋_GB2312"/>
                <w:sz w:val="32"/>
                <w:szCs w:val="32"/>
              </w:rPr>
            </w:pPr>
            <w:r>
              <w:rPr>
                <w:rFonts w:eastAsia="仿宋_GB2312"/>
                <w:sz w:val="32"/>
                <w:szCs w:val="32"/>
              </w:rPr>
              <w:t>0</w:t>
            </w:r>
          </w:p>
        </w:tc>
        <w:tc>
          <w:tcPr>
            <w:tcW w:w="616" w:type="pct"/>
            <w:noWrap w:val="0"/>
            <w:vAlign w:val="center"/>
          </w:tcPr>
          <w:p w14:paraId="59D3E465">
            <w:pPr>
              <w:adjustRightInd w:val="0"/>
              <w:snapToGrid w:val="0"/>
              <w:spacing w:line="570" w:lineRule="exact"/>
              <w:jc w:val="center"/>
              <w:rPr>
                <w:rFonts w:ascii="仿宋_GB2312" w:hAnsi="宋体" w:eastAsia="仿宋_GB2312" w:cs="宋体"/>
                <w:sz w:val="32"/>
                <w:szCs w:val="32"/>
              </w:rPr>
            </w:pPr>
            <w:r>
              <w:rPr>
                <w:rFonts w:eastAsia="仿宋_GB2312"/>
                <w:sz w:val="32"/>
                <w:szCs w:val="32"/>
              </w:rPr>
              <w:t>100</w:t>
            </w:r>
            <w:r>
              <w:rPr>
                <w:rFonts w:hint="eastAsia" w:ascii="仿宋_GB2312" w:hAnsi="宋体" w:eastAsia="仿宋_GB2312" w:cs="宋体"/>
                <w:sz w:val="32"/>
                <w:szCs w:val="32"/>
              </w:rPr>
              <w:t>%</w:t>
            </w:r>
          </w:p>
        </w:tc>
      </w:tr>
      <w:tr w14:paraId="47B00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17" w:type="pct"/>
            <w:gridSpan w:val="2"/>
            <w:noWrap w:val="0"/>
            <w:vAlign w:val="center"/>
          </w:tcPr>
          <w:p w14:paraId="1B81E602">
            <w:pPr>
              <w:spacing w:line="570" w:lineRule="exact"/>
              <w:ind w:firstLine="480"/>
              <w:jc w:val="center"/>
              <w:rPr>
                <w:rFonts w:ascii="仿宋_GB2312" w:hAnsi="宋体" w:eastAsia="仿宋_GB2312" w:cs="宋体"/>
                <w:sz w:val="32"/>
                <w:szCs w:val="32"/>
              </w:rPr>
            </w:pPr>
            <w:r>
              <w:rPr>
                <w:rFonts w:hint="eastAsia" w:ascii="仿宋_GB2312" w:hAnsi="宋体" w:eastAsia="仿宋_GB2312" w:cs="宋体"/>
                <w:sz w:val="32"/>
                <w:szCs w:val="32"/>
              </w:rPr>
              <w:t>合计</w:t>
            </w:r>
          </w:p>
        </w:tc>
        <w:tc>
          <w:tcPr>
            <w:tcW w:w="891" w:type="pct"/>
            <w:noWrap w:val="0"/>
            <w:vAlign w:val="center"/>
          </w:tcPr>
          <w:p w14:paraId="30EFBAF5">
            <w:pPr>
              <w:spacing w:line="570" w:lineRule="exact"/>
              <w:jc w:val="center"/>
              <w:rPr>
                <w:rFonts w:eastAsia="仿宋_GB2312"/>
                <w:sz w:val="32"/>
                <w:szCs w:val="32"/>
              </w:rPr>
            </w:pPr>
            <w:r>
              <w:rPr>
                <w:rFonts w:hint="eastAsia" w:eastAsia="仿宋_GB2312"/>
                <w:sz w:val="32"/>
                <w:szCs w:val="32"/>
              </w:rPr>
              <w:t>20</w:t>
            </w:r>
          </w:p>
        </w:tc>
        <w:tc>
          <w:tcPr>
            <w:tcW w:w="955" w:type="pct"/>
            <w:noWrap w:val="0"/>
            <w:vAlign w:val="center"/>
          </w:tcPr>
          <w:p w14:paraId="0452150E">
            <w:pPr>
              <w:spacing w:line="570" w:lineRule="exact"/>
              <w:jc w:val="center"/>
              <w:rPr>
                <w:rFonts w:eastAsia="仿宋_GB2312"/>
                <w:sz w:val="32"/>
                <w:szCs w:val="32"/>
              </w:rPr>
            </w:pPr>
            <w:r>
              <w:rPr>
                <w:rFonts w:hint="eastAsia" w:eastAsia="仿宋_GB2312"/>
                <w:sz w:val="32"/>
                <w:szCs w:val="32"/>
              </w:rPr>
              <w:t>20</w:t>
            </w:r>
          </w:p>
        </w:tc>
        <w:tc>
          <w:tcPr>
            <w:tcW w:w="921" w:type="pct"/>
            <w:noWrap w:val="0"/>
            <w:vAlign w:val="center"/>
          </w:tcPr>
          <w:p w14:paraId="042CACC0">
            <w:pPr>
              <w:spacing w:line="570" w:lineRule="exact"/>
              <w:jc w:val="center"/>
              <w:rPr>
                <w:rFonts w:eastAsia="仿宋_GB2312"/>
                <w:sz w:val="32"/>
                <w:szCs w:val="32"/>
              </w:rPr>
            </w:pPr>
            <w:r>
              <w:rPr>
                <w:rFonts w:eastAsia="仿宋_GB2312"/>
                <w:sz w:val="32"/>
                <w:szCs w:val="32"/>
              </w:rPr>
              <w:t>0</w:t>
            </w:r>
          </w:p>
        </w:tc>
        <w:tc>
          <w:tcPr>
            <w:tcW w:w="616" w:type="pct"/>
            <w:noWrap w:val="0"/>
            <w:vAlign w:val="center"/>
          </w:tcPr>
          <w:p w14:paraId="6A6315B9">
            <w:pPr>
              <w:spacing w:line="570" w:lineRule="exact"/>
              <w:jc w:val="center"/>
              <w:rPr>
                <w:rFonts w:ascii="仿宋_GB2312" w:hAnsi="宋体" w:eastAsia="仿宋_GB2312" w:cs="宋体"/>
                <w:sz w:val="32"/>
                <w:szCs w:val="32"/>
              </w:rPr>
            </w:pPr>
            <w:r>
              <w:rPr>
                <w:rFonts w:eastAsia="仿宋_GB2312"/>
                <w:sz w:val="32"/>
                <w:szCs w:val="32"/>
              </w:rPr>
              <w:t>100</w:t>
            </w:r>
            <w:r>
              <w:rPr>
                <w:rFonts w:hint="eastAsia" w:ascii="仿宋_GB2312" w:hAnsi="宋体" w:eastAsia="仿宋_GB2312" w:cs="宋体"/>
                <w:sz w:val="32"/>
                <w:szCs w:val="32"/>
              </w:rPr>
              <w:t>%</w:t>
            </w:r>
          </w:p>
        </w:tc>
      </w:tr>
    </w:tbl>
    <w:p w14:paraId="4D73092D">
      <w:pPr>
        <w:adjustRightInd w:val="0"/>
        <w:snapToGrid w:val="0"/>
        <w:spacing w:line="570" w:lineRule="exact"/>
        <w:ind w:firstLine="640" w:firstLineChars="200"/>
        <w:rPr>
          <w:rFonts w:hint="eastAsia" w:ascii="楷体_GB2312" w:hAnsi="宋体" w:eastAsia="楷体_GB2312" w:cs="宋体"/>
          <w:b w:val="0"/>
          <w:bCs/>
          <w:sz w:val="32"/>
          <w:szCs w:val="32"/>
        </w:rPr>
      </w:pPr>
      <w:r>
        <w:rPr>
          <w:rFonts w:hint="eastAsia" w:ascii="楷体_GB2312" w:hAnsi="宋体" w:eastAsia="楷体_GB2312" w:cs="宋体"/>
          <w:b w:val="0"/>
          <w:bCs/>
          <w:sz w:val="32"/>
          <w:szCs w:val="32"/>
        </w:rPr>
        <w:t>（二）检验检测项目分析</w:t>
      </w:r>
    </w:p>
    <w:p w14:paraId="5B6F1B19">
      <w:pPr>
        <w:adjustRightInd w:val="0"/>
        <w:snapToGrid w:val="0"/>
        <w:spacing w:line="570" w:lineRule="exact"/>
        <w:ind w:firstLine="800" w:firstLineChars="250"/>
        <w:rPr>
          <w:rFonts w:ascii="仿宋_GB2312" w:hAnsi="宋体" w:eastAsia="仿宋_GB2312"/>
          <w:sz w:val="32"/>
          <w:szCs w:val="32"/>
        </w:rPr>
      </w:pPr>
      <w:r>
        <w:rPr>
          <w:rFonts w:hint="eastAsia" w:ascii="仿宋_GB2312" w:hAnsi="宋体" w:eastAsia="仿宋_GB2312" w:cs="宋体"/>
          <w:color w:val="000000"/>
          <w:sz w:val="32"/>
          <w:szCs w:val="32"/>
          <w:lang w:bidi="ar"/>
        </w:rPr>
        <w:t>本次抽检车用汽油</w:t>
      </w:r>
      <w:r>
        <w:rPr>
          <w:rFonts w:hint="eastAsia" w:ascii="仿宋_GB2312" w:hAnsi="宋体" w:eastAsia="仿宋_GB2312" w:cs="宋体"/>
          <w:sz w:val="32"/>
          <w:szCs w:val="32"/>
        </w:rPr>
        <w:t xml:space="preserve">产品抽检性能指标按GB </w:t>
      </w:r>
      <w:r>
        <w:rPr>
          <w:rFonts w:eastAsia="仿宋_GB2312"/>
          <w:sz w:val="32"/>
          <w:szCs w:val="32"/>
        </w:rPr>
        <w:t>17930</w:t>
      </w:r>
      <w:r>
        <w:rPr>
          <w:rFonts w:hint="eastAsia" w:ascii="仿宋_GB2312" w:hAnsi="宋体" w:eastAsia="仿宋_GB2312" w:cs="宋体"/>
          <w:sz w:val="32"/>
          <w:szCs w:val="32"/>
        </w:rPr>
        <w:t>-</w:t>
      </w:r>
      <w:r>
        <w:rPr>
          <w:rFonts w:eastAsia="仿宋_GB2312"/>
          <w:sz w:val="32"/>
          <w:szCs w:val="32"/>
        </w:rPr>
        <w:t>2016</w:t>
      </w:r>
      <w:r>
        <w:rPr>
          <w:rFonts w:hint="eastAsia" w:ascii="仿宋_GB2312" w:hAnsi="宋体" w:eastAsia="仿宋_GB2312"/>
          <w:sz w:val="32"/>
          <w:szCs w:val="32"/>
        </w:rPr>
        <w:t>标准检测。其中研究法辛烷值、硫含量、馏程是车用汽油的重要检测项目，与燃烧性能和环保指标有重大关系。</w:t>
      </w:r>
    </w:p>
    <w:p w14:paraId="0F4C2896">
      <w:pPr>
        <w:adjustRightInd w:val="0"/>
        <w:snapToGrid w:val="0"/>
        <w:spacing w:line="570" w:lineRule="exact"/>
        <w:ind w:firstLine="800" w:firstLineChars="250"/>
        <w:rPr>
          <w:rFonts w:ascii="仿宋_GB2312" w:hAnsi="宋体" w:eastAsia="仿宋_GB2312"/>
          <w:sz w:val="32"/>
          <w:szCs w:val="32"/>
        </w:rPr>
      </w:pPr>
      <w:r>
        <w:rPr>
          <w:rFonts w:hint="eastAsia" w:ascii="仿宋_GB2312" w:hAnsi="宋体" w:eastAsia="仿宋_GB2312"/>
          <w:sz w:val="32"/>
          <w:szCs w:val="32"/>
        </w:rPr>
        <w:t>研究法辛烷值（RON）：研究法辛烷值（RON）代表的是汽油在较低的负荷工况下抗爆震燃烧的能力，反映汽车在市区慢速行驶时的汽油抗爆性。它是在缓和的测定条件下，以汽油在发动机中产生爆震的倾向来评定其辛烷值。其数值高表示抗爆性好。不同等级的汽油辛烷值不同，等级越高，辛烷值越高，抗爆性越好。但对于不同车辆而言，研究法辛烷值（RON）也不是越高越好，消费者应使用厂商推荐牌号的车用汽油，避免车辆出现故障。</w:t>
      </w:r>
    </w:p>
    <w:p w14:paraId="6627F4D9">
      <w:pPr>
        <w:adjustRightInd w:val="0"/>
        <w:snapToGrid w:val="0"/>
        <w:spacing w:line="570" w:lineRule="exact"/>
        <w:ind w:firstLine="800" w:firstLineChars="250"/>
        <w:rPr>
          <w:rFonts w:ascii="仿宋_GB2312" w:hAnsi="宋体" w:eastAsia="仿宋_GB2312"/>
          <w:sz w:val="32"/>
          <w:szCs w:val="32"/>
        </w:rPr>
      </w:pPr>
      <w:r>
        <w:rPr>
          <w:rFonts w:hint="eastAsia" w:ascii="仿宋_GB2312" w:hAnsi="宋体" w:eastAsia="仿宋_GB2312"/>
          <w:sz w:val="32"/>
          <w:szCs w:val="32"/>
        </w:rPr>
        <w:t>馏程：汽油馏程是指汽油中各组分的沸点范围。</w:t>
      </w:r>
      <w:r>
        <w:rPr>
          <w:rFonts w:eastAsia="仿宋_GB2312"/>
          <w:sz w:val="32"/>
          <w:szCs w:val="32"/>
        </w:rPr>
        <w:t>10</w:t>
      </w:r>
      <w:r>
        <w:rPr>
          <w:rFonts w:hint="eastAsia" w:ascii="仿宋_GB2312" w:hAnsi="宋体" w:eastAsia="仿宋_GB2312"/>
          <w:sz w:val="32"/>
          <w:szCs w:val="32"/>
        </w:rPr>
        <w:t>%蒸发温度表示汽油的冷启动性能，与发动机在冬季启动的难易和夏季使用中是否发生“气阻”有关。</w:t>
      </w:r>
      <w:r>
        <w:rPr>
          <w:rFonts w:eastAsia="仿宋_GB2312"/>
          <w:sz w:val="32"/>
          <w:szCs w:val="32"/>
        </w:rPr>
        <w:t>50</w:t>
      </w:r>
      <w:r>
        <w:rPr>
          <w:rFonts w:hint="eastAsia" w:ascii="仿宋_GB2312" w:hAnsi="宋体" w:eastAsia="仿宋_GB2312"/>
          <w:sz w:val="32"/>
          <w:szCs w:val="32"/>
        </w:rPr>
        <w:t>%蒸发温度表示汽油的行车加速性能，对发动机的预热和加速有一定影响。</w:t>
      </w:r>
      <w:r>
        <w:rPr>
          <w:rFonts w:eastAsia="仿宋_GB2312"/>
          <w:sz w:val="32"/>
          <w:szCs w:val="32"/>
        </w:rPr>
        <w:t>90</w:t>
      </w:r>
      <w:r>
        <w:rPr>
          <w:rFonts w:hint="eastAsia" w:ascii="仿宋_GB2312" w:hAnsi="宋体" w:eastAsia="仿宋_GB2312"/>
          <w:sz w:val="32"/>
          <w:szCs w:val="32"/>
        </w:rPr>
        <w:t>%蒸发温度和终馏点表示汽油在气缸中蒸发的完全程度，这两个温度低表示其中不易蒸发的重质组分少，能够完全燃烧。</w:t>
      </w:r>
    </w:p>
    <w:p w14:paraId="1E79F451">
      <w:pPr>
        <w:adjustRightInd w:val="0"/>
        <w:snapToGrid w:val="0"/>
        <w:spacing w:line="570" w:lineRule="exact"/>
        <w:ind w:firstLine="800" w:firstLineChars="250"/>
        <w:rPr>
          <w:rFonts w:ascii="仿宋_GB2312" w:hAnsi="宋体" w:eastAsia="仿宋_GB2312" w:cs="仿宋_GB2312"/>
          <w:sz w:val="32"/>
          <w:szCs w:val="32"/>
        </w:rPr>
      </w:pPr>
      <w:r>
        <w:rPr>
          <w:rFonts w:hint="eastAsia" w:ascii="仿宋_GB2312" w:hAnsi="宋体" w:eastAsia="仿宋_GB2312"/>
          <w:sz w:val="32"/>
          <w:szCs w:val="32"/>
        </w:rPr>
        <w:t>硫含量：硫含量是衡量汽油中硫化物含量的指标，硫含量过高会导致发动机腐蚀和磨损。</w:t>
      </w:r>
      <w:r>
        <w:rPr>
          <w:rFonts w:hint="eastAsia" w:ascii="仿宋_GB2312" w:hAnsi="宋体" w:eastAsia="仿宋_GB2312" w:cs="仿宋_GB2312"/>
          <w:sz w:val="32"/>
          <w:szCs w:val="32"/>
        </w:rPr>
        <w:t>其次排放物会严重污染大气，造成酸雨，同时危害人和生物体的健康。硫含量超标的主要原因一是炼油厂没有脱硫装置或废弃不用；二也可能是不法商家用含硫量高的油品调和汽油所致；三是一些加油站用燃料油当做车用汽油来销售。</w:t>
      </w:r>
    </w:p>
    <w:p w14:paraId="3D05EA8C">
      <w:pPr>
        <w:adjustRightInd w:val="0"/>
        <w:snapToGrid w:val="0"/>
        <w:spacing w:line="570" w:lineRule="exact"/>
        <w:ind w:firstLine="800" w:firstLineChars="250"/>
        <w:rPr>
          <w:rFonts w:ascii="仿宋_GB2312" w:hAnsi="宋体" w:eastAsia="仿宋_GB2312" w:cs="宋体"/>
          <w:sz w:val="32"/>
          <w:szCs w:val="32"/>
        </w:rPr>
      </w:pPr>
      <w:r>
        <w:rPr>
          <w:rFonts w:hint="eastAsia" w:ascii="仿宋_GB2312" w:hAnsi="宋体" w:eastAsia="仿宋_GB2312" w:cs="宋体"/>
          <w:color w:val="000000"/>
          <w:sz w:val="32"/>
          <w:szCs w:val="32"/>
          <w:lang w:bidi="ar"/>
        </w:rPr>
        <w:t>本次抽检车用柴油</w:t>
      </w:r>
      <w:r>
        <w:rPr>
          <w:rFonts w:hint="eastAsia" w:ascii="仿宋_GB2312" w:hAnsi="宋体" w:eastAsia="仿宋_GB2312" w:cs="宋体"/>
          <w:sz w:val="32"/>
          <w:szCs w:val="32"/>
        </w:rPr>
        <w:t xml:space="preserve">产品抽检性能指标按GB </w:t>
      </w:r>
      <w:r>
        <w:rPr>
          <w:rFonts w:eastAsia="仿宋_GB2312"/>
          <w:sz w:val="32"/>
          <w:szCs w:val="32"/>
        </w:rPr>
        <w:t>19147</w:t>
      </w:r>
      <w:r>
        <w:rPr>
          <w:rFonts w:hint="eastAsia" w:ascii="仿宋_GB2312" w:hAnsi="宋体" w:eastAsia="仿宋_GB2312" w:cs="宋体"/>
          <w:sz w:val="32"/>
          <w:szCs w:val="32"/>
        </w:rPr>
        <w:t>-</w:t>
      </w:r>
      <w:r>
        <w:rPr>
          <w:rFonts w:eastAsia="仿宋_GB2312"/>
          <w:sz w:val="32"/>
          <w:szCs w:val="32"/>
        </w:rPr>
        <w:t>2016</w:t>
      </w:r>
      <w:r>
        <w:rPr>
          <w:rFonts w:hint="eastAsia" w:ascii="仿宋_GB2312" w:hAnsi="宋体" w:eastAsia="仿宋_GB2312"/>
          <w:sz w:val="32"/>
          <w:szCs w:val="32"/>
        </w:rPr>
        <w:t>标准检测。其中闪点</w:t>
      </w:r>
      <w:r>
        <w:rPr>
          <w:rFonts w:hint="eastAsia" w:ascii="仿宋_GB2312" w:hAnsi="宋体" w:eastAsia="仿宋_GB2312" w:cs="宋体"/>
          <w:sz w:val="32"/>
          <w:szCs w:val="32"/>
        </w:rPr>
        <w:t>（闭口）</w:t>
      </w:r>
      <w:r>
        <w:rPr>
          <w:rFonts w:hint="eastAsia" w:ascii="仿宋_GB2312" w:hAnsi="宋体" w:eastAsia="仿宋_GB2312"/>
          <w:sz w:val="32"/>
          <w:szCs w:val="32"/>
        </w:rPr>
        <w:t>、硫含量、馏程是车用柴油的重要检测项目，与燃烧性能、安全性能和环保指标有重大关系。</w:t>
      </w:r>
    </w:p>
    <w:p w14:paraId="1D65F895">
      <w:pPr>
        <w:adjustRightInd w:val="0"/>
        <w:snapToGrid w:val="0"/>
        <w:spacing w:line="570" w:lineRule="exact"/>
        <w:ind w:firstLine="800" w:firstLineChars="250"/>
        <w:rPr>
          <w:rFonts w:ascii="仿宋_GB2312" w:hAnsi="宋体" w:eastAsia="仿宋_GB2312" w:cs="宋体"/>
          <w:sz w:val="32"/>
          <w:szCs w:val="32"/>
        </w:rPr>
      </w:pPr>
      <w:r>
        <w:rPr>
          <w:rFonts w:hint="eastAsia" w:ascii="仿宋_GB2312" w:hAnsi="宋体" w:eastAsia="仿宋_GB2312" w:cs="宋体"/>
          <w:sz w:val="32"/>
          <w:szCs w:val="32"/>
        </w:rPr>
        <w:t>闪点（闭口）：是柴油安全性能的重要指标，闪点过低将对柴油贮存、运输、使用以及发生交通事故后的安全性带来极大的安全隐患。</w:t>
      </w:r>
    </w:p>
    <w:p w14:paraId="7BF829C3">
      <w:pPr>
        <w:adjustRightInd w:val="0"/>
        <w:snapToGrid w:val="0"/>
        <w:spacing w:line="570" w:lineRule="exact"/>
        <w:ind w:firstLine="800" w:firstLineChars="250"/>
        <w:rPr>
          <w:rFonts w:ascii="仿宋_GB2312" w:hAnsi="宋体" w:eastAsia="仿宋_GB2312" w:cs="仿宋_GB2312"/>
          <w:sz w:val="32"/>
          <w:szCs w:val="32"/>
        </w:rPr>
      </w:pPr>
      <w:r>
        <w:rPr>
          <w:rFonts w:hint="eastAsia" w:ascii="仿宋_GB2312" w:hAnsi="宋体" w:eastAsia="仿宋_GB2312" w:cs="仿宋_GB2312"/>
          <w:sz w:val="32"/>
          <w:szCs w:val="32"/>
        </w:rPr>
        <w:t>硫含量：</w:t>
      </w:r>
      <w:r>
        <w:rPr>
          <w:rFonts w:hint="eastAsia" w:ascii="仿宋_GB2312" w:hAnsi="宋体" w:eastAsia="仿宋_GB2312"/>
          <w:sz w:val="32"/>
          <w:szCs w:val="32"/>
        </w:rPr>
        <w:t>硫含量是衡量柴油中硫化物含量的指标，硫含量过高会导致发动机腐蚀和磨损。</w:t>
      </w:r>
      <w:r>
        <w:rPr>
          <w:rFonts w:hint="eastAsia" w:ascii="仿宋_GB2312" w:hAnsi="宋体" w:eastAsia="仿宋_GB2312" w:cs="仿宋_GB2312"/>
          <w:sz w:val="32"/>
          <w:szCs w:val="32"/>
        </w:rPr>
        <w:t>其次排放物会严重污染大气，造成酸雨，同时危害人和生物体的健康。硫含量超标的主要原因一是炼油厂没有脱硫装置或废弃不用；二也可能是不法商家用含硫量高的油品调和柴油所致；三是一些加油站用燃料油当做车用柴油来销售。</w:t>
      </w:r>
    </w:p>
    <w:p w14:paraId="4D74658C">
      <w:pPr>
        <w:adjustRightInd w:val="0"/>
        <w:snapToGrid w:val="0"/>
        <w:spacing w:line="570" w:lineRule="exact"/>
        <w:ind w:firstLine="800" w:firstLineChars="250"/>
        <w:rPr>
          <w:rFonts w:hint="eastAsia" w:ascii="仿宋_GB2312" w:hAnsi="宋体" w:eastAsia="仿宋_GB2312" w:cs="宋体"/>
          <w:sz w:val="32"/>
          <w:szCs w:val="32"/>
        </w:rPr>
      </w:pPr>
      <w:r>
        <w:rPr>
          <w:rFonts w:hint="eastAsia" w:ascii="仿宋_GB2312" w:hAnsi="宋体" w:eastAsia="仿宋_GB2312" w:cs="仿宋_GB2312"/>
          <w:sz w:val="32"/>
          <w:szCs w:val="32"/>
        </w:rPr>
        <w:t>馏程：柴油</w:t>
      </w:r>
      <w:r>
        <w:rPr>
          <w:rFonts w:hint="eastAsia" w:ascii="仿宋_GB2312" w:hAnsi="宋体" w:eastAsia="仿宋_GB2312"/>
          <w:sz w:val="32"/>
          <w:szCs w:val="32"/>
        </w:rPr>
        <w:t>馏程是指车用柴油中各组分的沸点范围。</w:t>
      </w:r>
      <w:r>
        <w:rPr>
          <w:rFonts w:hint="eastAsia" w:ascii="仿宋_GB2312" w:hAnsi="宋体" w:eastAsia="仿宋_GB2312" w:cs="仿宋_GB2312"/>
          <w:sz w:val="32"/>
          <w:szCs w:val="32"/>
        </w:rPr>
        <w:t>初馏点和</w:t>
      </w:r>
      <w:r>
        <w:rPr>
          <w:rFonts w:eastAsia="仿宋_GB2312"/>
          <w:sz w:val="32"/>
          <w:szCs w:val="32"/>
        </w:rPr>
        <w:t>10</w:t>
      </w:r>
      <w:r>
        <w:rPr>
          <w:rFonts w:hint="eastAsia" w:ascii="仿宋_GB2312" w:hAnsi="宋体" w:eastAsia="仿宋_GB2312" w:cs="仿宋_GB2312"/>
          <w:sz w:val="32"/>
          <w:szCs w:val="32"/>
        </w:rPr>
        <w:t>%馏出温度过高，柴油在冷车时不易启动，过低则可能产生气阻现象。</w:t>
      </w:r>
      <w:r>
        <w:rPr>
          <w:rFonts w:eastAsia="仿宋_GB2312"/>
          <w:sz w:val="32"/>
          <w:szCs w:val="32"/>
        </w:rPr>
        <w:t>50</w:t>
      </w:r>
      <w:r>
        <w:rPr>
          <w:rFonts w:hint="eastAsia" w:ascii="仿宋_GB2312" w:hAnsi="宋体" w:eastAsia="仿宋_GB2312" w:cs="仿宋_GB2312"/>
          <w:sz w:val="32"/>
          <w:szCs w:val="32"/>
        </w:rPr>
        <w:t>%馏出温度高，则发动机的加速性越差。</w:t>
      </w:r>
      <w:r>
        <w:rPr>
          <w:rFonts w:eastAsia="仿宋_GB2312"/>
          <w:sz w:val="32"/>
          <w:szCs w:val="32"/>
        </w:rPr>
        <w:t>90</w:t>
      </w:r>
      <w:r>
        <w:rPr>
          <w:rFonts w:hint="eastAsia" w:ascii="仿宋_GB2312" w:hAnsi="宋体" w:eastAsia="仿宋_GB2312" w:cs="仿宋_GB2312"/>
          <w:sz w:val="32"/>
          <w:szCs w:val="32"/>
        </w:rPr>
        <w:t>%馏出温度高表示柴油中不能完全蒸发和燃烧的重质馏分的含量高，从而增加柴油消耗量，甚至增加机件磨损。</w:t>
      </w:r>
    </w:p>
    <w:p w14:paraId="0FDF8369">
      <w:pPr>
        <w:adjustRightInd w:val="0"/>
        <w:snapToGrid w:val="0"/>
        <w:spacing w:line="570" w:lineRule="exact"/>
        <w:ind w:firstLine="640" w:firstLineChars="200"/>
        <w:rPr>
          <w:rFonts w:hint="eastAsia" w:ascii="黑体" w:hAnsi="黑体" w:eastAsia="黑体" w:cs="宋体"/>
          <w:sz w:val="32"/>
          <w:szCs w:val="32"/>
        </w:rPr>
      </w:pPr>
      <w:r>
        <w:rPr>
          <w:rFonts w:hint="eastAsia" w:ascii="黑体" w:hAnsi="黑体" w:eastAsia="黑体" w:cs="宋体"/>
          <w:sz w:val="32"/>
          <w:szCs w:val="32"/>
          <w:lang w:val="en-US" w:eastAsia="zh-CN"/>
        </w:rPr>
        <w:t>五</w:t>
      </w:r>
      <w:r>
        <w:rPr>
          <w:rFonts w:hint="eastAsia" w:ascii="黑体" w:hAnsi="黑体" w:eastAsia="黑体" w:cs="宋体"/>
          <w:sz w:val="32"/>
          <w:szCs w:val="32"/>
        </w:rPr>
        <w:t>、消费提示</w:t>
      </w:r>
      <w:bookmarkStart w:id="0" w:name="_GoBack"/>
      <w:bookmarkEnd w:id="0"/>
    </w:p>
    <w:p w14:paraId="4C1CC1EF">
      <w:pPr>
        <w:spacing w:line="570" w:lineRule="exact"/>
        <w:ind w:firstLine="640"/>
        <w:rPr>
          <w:rFonts w:hint="eastAsia" w:ascii="仿宋_GB2312" w:hAnsi="宋体" w:eastAsia="仿宋_GB2312"/>
          <w:sz w:val="32"/>
          <w:szCs w:val="32"/>
        </w:rPr>
      </w:pPr>
      <w:r>
        <w:rPr>
          <w:rFonts w:eastAsia="仿宋_GB2312"/>
          <w:sz w:val="32"/>
          <w:szCs w:val="32"/>
        </w:rPr>
        <w:t>1</w:t>
      </w:r>
      <w:r>
        <w:rPr>
          <w:rFonts w:hint="eastAsia" w:ascii="仿宋_GB2312" w:hAnsi="宋体" w:eastAsia="仿宋_GB2312"/>
          <w:sz w:val="32"/>
          <w:szCs w:val="32"/>
        </w:rPr>
        <w:t>、合格车用柴油应为无色、淡黄色或浅棕色的透明液体，无特殊异味;如发现柴油浑浊、呈酱油色、有臭味、沉积物等情况，应避免使用。</w:t>
      </w:r>
      <w:r>
        <w:rPr>
          <w:rFonts w:hint="eastAsia" w:eastAsia="仿宋_GB2312"/>
          <w:sz w:val="32"/>
          <w:szCs w:val="32"/>
        </w:rPr>
        <w:t>合格车用汽油颜色较浅，清澈透明，有淡淡的芳香，如发现汽油颜色发黑、发暗、显浑浊、有其它异味，应避免使用。</w:t>
      </w:r>
    </w:p>
    <w:p w14:paraId="7B2A9D9B">
      <w:pPr>
        <w:spacing w:line="570" w:lineRule="exact"/>
        <w:ind w:firstLine="640"/>
        <w:rPr>
          <w:rFonts w:hint="eastAsia" w:eastAsia="仿宋_GB2312"/>
          <w:sz w:val="32"/>
          <w:szCs w:val="32"/>
        </w:rPr>
      </w:pPr>
      <w:r>
        <w:rPr>
          <w:rFonts w:eastAsia="仿宋_GB2312"/>
          <w:sz w:val="32"/>
          <w:szCs w:val="32"/>
        </w:rPr>
        <w:t>2</w:t>
      </w:r>
      <w:r>
        <w:rPr>
          <w:rFonts w:hint="eastAsia" w:eastAsia="仿宋_GB2312"/>
          <w:sz w:val="32"/>
          <w:szCs w:val="32"/>
        </w:rPr>
        <w:t>、选择合适标号。根据车辆使用说明书以及发动机的压缩比选择适合自身车辆标号的车用汽油。并不是标号越高质量越好。</w:t>
      </w:r>
    </w:p>
    <w:p w14:paraId="296D106A">
      <w:pPr>
        <w:spacing w:line="570" w:lineRule="exact"/>
        <w:ind w:firstLine="640"/>
        <w:rPr>
          <w:rFonts w:hint="eastAsia" w:eastAsia="仿宋_GB2312"/>
          <w:sz w:val="32"/>
          <w:szCs w:val="32"/>
        </w:rPr>
      </w:pPr>
      <w:r>
        <w:rPr>
          <w:rFonts w:eastAsia="仿宋_GB2312"/>
          <w:sz w:val="32"/>
          <w:szCs w:val="32"/>
        </w:rPr>
        <w:t>3</w:t>
      </w:r>
      <w:r>
        <w:rPr>
          <w:rFonts w:hint="eastAsia" w:eastAsia="仿宋_GB2312"/>
          <w:sz w:val="32"/>
          <w:szCs w:val="32"/>
        </w:rPr>
        <w:t>、消费者在加油时，尽量选择大型连锁加油站，大型油品企业的储油库有内部实验室可以定期检测油品质量。其次大公司对油品进货及运输有严格的控制，进货时检测手段齐全，运输时汽油车、柴油车区分严格，专车专用，不容易产生质量问题。</w:t>
      </w:r>
    </w:p>
    <w:p w14:paraId="57BDD53D">
      <w:pPr>
        <w:spacing w:line="570" w:lineRule="exact"/>
        <w:ind w:firstLine="640"/>
        <w:rPr>
          <w:rFonts w:hint="eastAsia" w:ascii="仿宋_GB2312" w:hAnsi="宋体" w:eastAsia="仿宋_GB2312" w:cs="宋体"/>
          <w:color w:val="FF0000"/>
          <w:sz w:val="32"/>
          <w:szCs w:val="32"/>
        </w:rPr>
      </w:pPr>
      <w:r>
        <w:rPr>
          <w:rFonts w:eastAsia="仿宋_GB2312"/>
          <w:sz w:val="32"/>
          <w:szCs w:val="32"/>
        </w:rPr>
        <w:t>4</w:t>
      </w:r>
      <w:r>
        <w:rPr>
          <w:rFonts w:hint="eastAsia" w:ascii="仿宋_GB2312" w:hAnsi="宋体" w:eastAsia="仿宋_GB2312"/>
          <w:sz w:val="32"/>
          <w:szCs w:val="32"/>
        </w:rPr>
        <w:t>、尽量定点加油，在加完油后应及时索要加油票据。如果因使用油品引起车辆故障，也较容易查找原因，以维护自己的合法权益。</w:t>
      </w:r>
    </w:p>
    <w:p w14:paraId="0B9F298A">
      <w:pPr>
        <w:spacing w:line="570" w:lineRule="exact"/>
        <w:ind w:firstLine="480"/>
        <w:rPr>
          <w:rFonts w:hint="eastAsia" w:ascii="仿宋" w:hAnsi="仿宋" w:eastAsia="仿宋"/>
          <w:sz w:val="32"/>
          <w:szCs w:val="32"/>
        </w:rPr>
      </w:pPr>
      <w:r>
        <w:rPr>
          <w:rFonts w:hint="eastAsia" w:ascii="仿宋" w:hAnsi="仿宋" w:eastAsia="仿宋"/>
          <w:sz w:val="32"/>
          <w:szCs w:val="32"/>
        </w:rPr>
        <w:t xml:space="preserve">                        </w:t>
      </w:r>
    </w:p>
    <w:p w14:paraId="570C5BFA">
      <w:pPr>
        <w:adjustRightInd w:val="0"/>
        <w:snapToGrid w:val="0"/>
        <w:spacing w:line="360" w:lineRule="auto"/>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p>
    <w:sectPr>
      <w:footerReference r:id="rId3" w:type="default"/>
      <w:pgSz w:w="11906" w:h="16838"/>
      <w:pgMar w:top="2154" w:right="1361" w:bottom="1928" w:left="1474" w:header="851" w:footer="1134" w:gutter="0"/>
      <w:pgNumType w:fmt="decimal" w:start="1"/>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FCC4">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2565400</wp:posOffset>
              </wp:positionH>
              <wp:positionV relativeFrom="paragraph">
                <wp:posOffset>-352425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F2BB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pt;margin-top:-27.75pt;height:144pt;width:144pt;mso-position-horizontal-relative:margin;mso-wrap-style:none;z-index:251659264;mso-width-relative:page;mso-height-relative:page;" filled="f" stroked="f" coordsize="21600,21600" o:gfxdata="UEsDBAoAAAAAAIdO4kAAAAAAAAAAAAAAAAAEAAAAZHJzL1BLAwQUAAAACACHTuJA+jfMAdgAAAAL&#10;AQAADwAAAGRycy9kb3ducmV2LnhtbE2PzU7DMBCE70i8g7VI3Fq7aVJByKYSFeGIRMOBoxsvScA/&#10;ke2m4e0xJzjOzmj2m2q/GM1m8mF0FmGzFsDIdk6Ntkd4a5vVHbAQpVVSO0sI3xRgX19fVbJU7mJf&#10;aT7GnqUSG0qJMMQ4lZyHbiAjw9pNZJP34byRMUnfc+XlJZUbzTMhdtzI0aYPg5zoMFD3dTwbhEPT&#10;tn6m4PU7PTfbz5fHnJ4WxNubjXgAFmmJf2H4xU/oUCemkztbFZhGyEWetkSEVVEUwFJid5+lywkh&#10;22YF8Lri/zfUP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fMAd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68FF2BB7">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jMwMmMxZTZhNjI1OTQ2NjM1ZGU0MzU4NTgxZmYifQ=="/>
  </w:docVars>
  <w:rsids>
    <w:rsidRoot w:val="00000000"/>
    <w:rsid w:val="021603B2"/>
    <w:rsid w:val="040A4AA1"/>
    <w:rsid w:val="075D1A4D"/>
    <w:rsid w:val="0C580AA0"/>
    <w:rsid w:val="0D465BE4"/>
    <w:rsid w:val="0F694D72"/>
    <w:rsid w:val="12B97DBE"/>
    <w:rsid w:val="13655850"/>
    <w:rsid w:val="146B158C"/>
    <w:rsid w:val="15325C06"/>
    <w:rsid w:val="183D0B4A"/>
    <w:rsid w:val="197C1B46"/>
    <w:rsid w:val="26B91CE3"/>
    <w:rsid w:val="2A7C3754"/>
    <w:rsid w:val="2A9C3DF6"/>
    <w:rsid w:val="307F7AFA"/>
    <w:rsid w:val="351153E0"/>
    <w:rsid w:val="358D4A67"/>
    <w:rsid w:val="37CE746E"/>
    <w:rsid w:val="3870241E"/>
    <w:rsid w:val="3E8E35FE"/>
    <w:rsid w:val="42CE08A9"/>
    <w:rsid w:val="48D83DF3"/>
    <w:rsid w:val="492E6109"/>
    <w:rsid w:val="4CC34DBA"/>
    <w:rsid w:val="4EB64BD7"/>
    <w:rsid w:val="4F7C7BCE"/>
    <w:rsid w:val="5281374D"/>
    <w:rsid w:val="53F65A75"/>
    <w:rsid w:val="589917F1"/>
    <w:rsid w:val="5A20384C"/>
    <w:rsid w:val="5B5C018E"/>
    <w:rsid w:val="5DD706C5"/>
    <w:rsid w:val="611B6B1B"/>
    <w:rsid w:val="6200643D"/>
    <w:rsid w:val="6E625D89"/>
    <w:rsid w:val="6FEF189F"/>
    <w:rsid w:val="71AD50A1"/>
    <w:rsid w:val="71FE226D"/>
    <w:rsid w:val="72563E57"/>
    <w:rsid w:val="72987FCC"/>
    <w:rsid w:val="75D752AF"/>
    <w:rsid w:val="7761738C"/>
    <w:rsid w:val="79F144F9"/>
    <w:rsid w:val="7E413C0D"/>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lang w:val="en-US" w:eastAsia="zh-CN" w:bidi="ar-SA"/>
    </w:rPr>
  </w:style>
  <w:style w:type="paragraph" w:styleId="2">
    <w:name w:val="heading 4"/>
    <w:next w:val="1"/>
    <w:qFormat/>
    <w:uiPriority w:val="9"/>
    <w:pPr>
      <w:keepNext/>
      <w:keepLines/>
      <w:widowControl w:val="0"/>
      <w:spacing w:before="280" w:after="290" w:line="376" w:lineRule="auto"/>
      <w:jc w:val="both"/>
      <w:outlineLvl w:val="3"/>
    </w:pPr>
    <w:rPr>
      <w:rFonts w:ascii="Calibri Light" w:hAnsi="Calibri Light" w:eastAsia="宋体" w:cs="Times New Roman"/>
      <w:b/>
      <w:bCs/>
      <w:kern w:val="2"/>
      <w:sz w:val="28"/>
      <w:szCs w:val="28"/>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snapToGrid/>
      <w:spacing w:line="240" w:lineRule="auto"/>
      <w:ind w:firstLine="420"/>
    </w:pPr>
    <w:rPr>
      <w:sz w:val="21"/>
    </w:rPr>
  </w:style>
  <w:style w:type="paragraph" w:styleId="4">
    <w:name w:val="Body Text"/>
    <w:basedOn w:val="1"/>
    <w:unhideWhenUsed/>
    <w:qFormat/>
    <w:uiPriority w:val="1"/>
    <w:pPr>
      <w:autoSpaceDE w:val="0"/>
      <w:autoSpaceDN w:val="0"/>
      <w:ind w:left="140" w:firstLine="419"/>
      <w:jc w:val="left"/>
    </w:pPr>
    <w:rPr>
      <w:rFonts w:ascii="宋体" w:hAnsi="宋体" w:cs="宋体" w:eastAsiaTheme="minorEastAsia"/>
      <w:szCs w:val="21"/>
      <w:lang w:val="zh-CN" w:bidi="zh-CN"/>
    </w:rPr>
  </w:style>
  <w:style w:type="paragraph" w:styleId="5">
    <w:name w:val="Plain Text"/>
    <w:basedOn w:val="1"/>
    <w:qFormat/>
    <w:uiPriority w:val="0"/>
    <w:pPr>
      <w:adjustRightInd/>
      <w:snapToGrid/>
      <w:spacing w:line="240" w:lineRule="auto"/>
      <w:ind w:firstLine="0" w:firstLineChars="0"/>
    </w:pPr>
    <w:rPr>
      <w:rFonts w:ascii="宋体" w:hAnsi="Courier New" w:cs="Courier New"/>
      <w:sz w:val="21"/>
      <w:szCs w:val="21"/>
    </w:rPr>
  </w:style>
  <w:style w:type="paragraph" w:styleId="6">
    <w:name w:val="Body Text Indent 2"/>
    <w:basedOn w:val="1"/>
    <w:unhideWhenUsed/>
    <w:qFormat/>
    <w:uiPriority w:val="99"/>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sz w:val="24"/>
    </w:rPr>
  </w:style>
  <w:style w:type="paragraph" w:customStyle="1" w:styleId="12">
    <w:name w:val="Table Paragraph"/>
    <w:basedOn w:val="1"/>
    <w:qFormat/>
    <w:uiPriority w:val="1"/>
    <w:pPr>
      <w:autoSpaceDE w:val="0"/>
      <w:autoSpaceDN w:val="0"/>
      <w:spacing w:before="100"/>
      <w:jc w:val="center"/>
    </w:pPr>
    <w:rPr>
      <w:rFonts w:ascii="宋体" w:hAnsi="宋体" w:cs="宋体"/>
      <w:kern w:val="0"/>
      <w:sz w:val="22"/>
      <w:szCs w:val="22"/>
      <w:lang w:val="zh-CN" w:bidi="zh-CN"/>
    </w:rPr>
  </w:style>
  <w:style w:type="paragraph" w:customStyle="1" w:styleId="13">
    <w:name w:val="正文 + (西文) Times New Roman"/>
    <w:basedOn w:val="9"/>
    <w:uiPriority w:val="99"/>
    <w:pPr>
      <w:widowControl/>
      <w:spacing w:line="360" w:lineRule="auto"/>
      <w:ind w:firstLine="560" w:firstLineChars="200"/>
      <w:jc w:val="left"/>
    </w:pPr>
    <w:rPr>
      <w:rFonts w:ascii="仿宋_GB2312" w:hAnsi="宋体"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728</Words>
  <Characters>746</Characters>
  <Lines>0</Lines>
  <Paragraphs>0</Paragraphs>
  <TotalTime>8</TotalTime>
  <ScaleCrop>false</ScaleCrop>
  <LinksUpToDate>false</LinksUpToDate>
  <CharactersWithSpaces>746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2024-06-11T02:46:00Z</dcterms:created>
  <dc:creator>SDB</dc:creator>
  <cp:lastModifiedBy>盛</cp:lastModifiedBy>
  <dcterms:modified xsi:type="dcterms:W3CDTF">2024-12-09T02:01:22Z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CEFB21BCDEF34FF7B17E29F7E9725B81_12</vt:lpwstr>
  </property>
</Properties>
</file>