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1D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清单及控制价编制说明</w:t>
      </w:r>
    </w:p>
    <w:p w14:paraId="4FD03051"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工程名称：</w:t>
      </w:r>
      <w:bookmarkStart w:id="0" w:name="_GoBack"/>
      <w:bookmarkEnd w:id="0"/>
      <w:r>
        <w:rPr>
          <w:rFonts w:hint="eastAsia" w:ascii="宋体" w:hAnsi="宋体" w:cs="楷体_GB2312"/>
          <w:sz w:val="24"/>
          <w:szCs w:val="24"/>
          <w:lang w:val="en-US" w:eastAsia="zh-CN"/>
        </w:rPr>
        <w:t>井冈山大沟(南段1期)整治建设项目</w:t>
      </w:r>
    </w:p>
    <w:tbl>
      <w:tblPr>
        <w:tblStyle w:val="4"/>
        <w:tblW w:w="9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3"/>
      </w:tblGrid>
      <w:tr w14:paraId="40438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2" w:hRule="atLeast"/>
          <w:jc w:val="center"/>
        </w:trPr>
        <w:tc>
          <w:tcPr>
            <w:tcW w:w="9353" w:type="dxa"/>
            <w:noWrap w:val="0"/>
            <w:vAlign w:val="top"/>
          </w:tcPr>
          <w:p w14:paraId="60B019E0">
            <w:pPr>
              <w:pStyle w:val="2"/>
              <w:numPr>
                <w:ilvl w:val="0"/>
                <w:numId w:val="1"/>
              </w:numPr>
              <w:spacing w:line="440" w:lineRule="exact"/>
              <w:outlineLvl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工程概况：</w:t>
            </w:r>
          </w:p>
          <w:p w14:paraId="2D6EB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 xml:space="preserve">本工程为孟河井冈山河综合整治工程，井冈山河全长 1988m，本次整治长度为 </w:t>
            </w:r>
            <w:r>
              <w:rPr>
                <w:rFonts w:hint="default" w:ascii="宋体" w:hAnsi="宋体" w:cs="楷体_GB2312"/>
                <w:sz w:val="24"/>
                <w:szCs w:val="24"/>
                <w:lang w:val="en-US" w:eastAsia="zh-CN"/>
              </w:rPr>
              <w:t>420m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，起点为井冈山北闸站，一路向南至井冈山路。工程主要建设内容：</w:t>
            </w:r>
          </w:p>
          <w:p w14:paraId="7B4BC6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(1)河道岸坡整治:对河道两侧全线河坡清杂整坡,新建组合桩护岸1300m,新建取水井1座。</w:t>
            </w:r>
          </w:p>
          <w:p w14:paraId="25728D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(2)河道疏浚:采用干式挖机拓浚，土方开挖4963.3m</w:t>
            </w:r>
            <w:r>
              <w:rPr>
                <w:rFonts w:hint="eastAsia" w:ascii="宋体" w:hAnsi="宋体" w:cs="楷体_GB2312"/>
                <w:sz w:val="24"/>
                <w:szCs w:val="24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，土方回填2182.5m</w:t>
            </w:r>
            <w:r>
              <w:rPr>
                <w:rFonts w:hint="eastAsia" w:ascii="宋体" w:hAnsi="宋体" w:cs="楷体_GB2312"/>
                <w:sz w:val="24"/>
                <w:szCs w:val="24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清淤土方955.5m</w:t>
            </w:r>
            <w:r>
              <w:rPr>
                <w:rFonts w:hint="eastAsia" w:ascii="宋体" w:hAnsi="宋体" w:cs="楷体_GB2312"/>
                <w:sz w:val="24"/>
                <w:szCs w:val="24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。</w:t>
            </w:r>
          </w:p>
          <w:p w14:paraId="4D3E88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(3)绿化工程设计:河道两岸种植绿化，提升河道环境，以两岸斜坡种植草皮护坡5850m2。</w:t>
            </w:r>
          </w:p>
          <w:p w14:paraId="6BEDC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具体内容详见清单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。</w:t>
            </w:r>
          </w:p>
          <w:p w14:paraId="08F3B70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textAlignment w:val="auto"/>
              <w:outlineLvl w:val="0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二、编制依据：</w:t>
            </w:r>
          </w:p>
          <w:p w14:paraId="65818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采用的工程量清单计价规范及预算定额：</w:t>
            </w:r>
          </w:p>
          <w:p w14:paraId="7A874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《水利工程工程量清单计价规范》（</w:t>
            </w:r>
            <w:r>
              <w:rPr>
                <w:rFonts w:ascii="宋体" w:hAnsi="宋体" w:cs="楷体_GB2312"/>
                <w:sz w:val="24"/>
                <w:szCs w:val="24"/>
              </w:rPr>
              <w:t>GB50501-2007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）</w:t>
            </w:r>
          </w:p>
          <w:p w14:paraId="37EF9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《江苏水利工程招标投标文件工程量清单格式》（苏水基（</w:t>
            </w:r>
            <w:r>
              <w:rPr>
                <w:rFonts w:ascii="宋体" w:hAnsi="宋体" w:cs="楷体_GB2312"/>
                <w:sz w:val="24"/>
                <w:szCs w:val="24"/>
              </w:rPr>
              <w:t>2011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）</w:t>
            </w:r>
            <w:r>
              <w:rPr>
                <w:rFonts w:ascii="宋体" w:hAnsi="宋体" w:cs="楷体_GB2312"/>
                <w:sz w:val="24"/>
                <w:szCs w:val="24"/>
              </w:rPr>
              <w:t>21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号）</w:t>
            </w:r>
          </w:p>
          <w:p w14:paraId="5E40B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《江苏省水利工程设计概（估）算编制规定（</w:t>
            </w:r>
            <w:r>
              <w:rPr>
                <w:rFonts w:ascii="宋体" w:hAnsi="宋体" w:cs="楷体_GB2312"/>
                <w:sz w:val="24"/>
                <w:szCs w:val="24"/>
              </w:rPr>
              <w:t>2017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年版）》（苏水基（</w:t>
            </w:r>
            <w:r>
              <w:rPr>
                <w:rFonts w:ascii="宋体" w:hAnsi="宋体" w:cs="楷体_GB2312"/>
                <w:sz w:val="24"/>
                <w:szCs w:val="24"/>
              </w:rPr>
              <w:t>2016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）</w:t>
            </w:r>
            <w:r>
              <w:rPr>
                <w:rFonts w:ascii="宋体" w:hAnsi="宋体" w:cs="楷体_GB2312"/>
                <w:sz w:val="24"/>
                <w:szCs w:val="24"/>
              </w:rPr>
              <w:t>26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号）</w:t>
            </w:r>
          </w:p>
          <w:p w14:paraId="44E3B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《江苏省水利工程预算定额（</w:t>
            </w:r>
            <w:r>
              <w:rPr>
                <w:rFonts w:ascii="宋体" w:hAnsi="宋体" w:cs="楷体_GB2312"/>
                <w:sz w:val="24"/>
                <w:szCs w:val="24"/>
              </w:rPr>
              <w:t>2010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年版）》（苏水基〔</w:t>
            </w:r>
            <w:r>
              <w:rPr>
                <w:rFonts w:ascii="宋体" w:hAnsi="宋体" w:cs="楷体_GB2312"/>
                <w:sz w:val="24"/>
                <w:szCs w:val="24"/>
              </w:rPr>
              <w:t>2010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〕</w:t>
            </w:r>
            <w:r>
              <w:rPr>
                <w:rFonts w:ascii="宋体" w:hAnsi="宋体" w:cs="楷体_GB2312"/>
                <w:sz w:val="24"/>
                <w:szCs w:val="24"/>
              </w:rPr>
              <w:t>61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号）</w:t>
            </w:r>
          </w:p>
          <w:p w14:paraId="4422B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《江苏省水利工程预算定额动态基价表》</w:t>
            </w:r>
            <w:r>
              <w:rPr>
                <w:rFonts w:ascii="宋体" w:hAnsi="宋体" w:cs="楷体_GB2312"/>
                <w:sz w:val="24"/>
                <w:szCs w:val="24"/>
              </w:rPr>
              <w:t>(2017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年版</w:t>
            </w:r>
            <w:r>
              <w:rPr>
                <w:rFonts w:ascii="宋体" w:hAnsi="宋体" w:cs="楷体_GB2312"/>
                <w:sz w:val="24"/>
                <w:szCs w:val="24"/>
              </w:rPr>
              <w:t>)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（苏水基〔</w:t>
            </w:r>
            <w:r>
              <w:rPr>
                <w:rFonts w:ascii="宋体" w:hAnsi="宋体" w:cs="楷体_GB2312"/>
                <w:sz w:val="24"/>
                <w:szCs w:val="24"/>
              </w:rPr>
              <w:t>2016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〕</w:t>
            </w:r>
            <w:r>
              <w:rPr>
                <w:rFonts w:ascii="宋体" w:hAnsi="宋体" w:cs="楷体_GB2312"/>
                <w:sz w:val="24"/>
                <w:szCs w:val="24"/>
              </w:rPr>
              <w:t>27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号）</w:t>
            </w:r>
          </w:p>
          <w:p w14:paraId="00F86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《江苏省市政工程计价定额》（2014年版）</w:t>
            </w:r>
          </w:p>
          <w:p w14:paraId="3FC81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《江苏省</w:t>
            </w:r>
            <w:r>
              <w:rPr>
                <w:rFonts w:hint="eastAsia" w:ascii="宋体" w:hAnsi="宋体" w:eastAsia="宋体" w:cs="楷体_GB2312"/>
                <w:sz w:val="24"/>
                <w:szCs w:val="24"/>
                <w:lang w:val="en-US" w:eastAsia="zh-CN"/>
              </w:rPr>
              <w:t>园林绿化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工程计价定额》（2</w:t>
            </w:r>
            <w:r>
              <w:rPr>
                <w:rFonts w:hint="eastAsia" w:ascii="宋体" w:hAnsi="宋体" w:eastAsia="宋体" w:cs="楷体_GB2312"/>
                <w:sz w:val="24"/>
                <w:szCs w:val="24"/>
                <w:lang w:val="en-US" w:eastAsia="zh-CN"/>
              </w:rPr>
              <w:t>007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年版）</w:t>
            </w:r>
          </w:p>
          <w:p w14:paraId="5A8BA3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根据图纸、设计说明及</w:t>
            </w:r>
            <w:r>
              <w:rPr>
                <w:rFonts w:hint="eastAsia" w:ascii="宋体" w:hAnsi="宋体" w:cs="楷体_GB2312"/>
                <w:sz w:val="24"/>
                <w:szCs w:val="24"/>
                <w:lang w:eastAsia="zh-CN"/>
              </w:rPr>
              <w:t>建设方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提供的相关资料等；凡本清单内容中明确的，按清单的要求编制投标报价；本清单未作说明的，按上述规范、文件和要求编制投标报价。</w:t>
            </w:r>
          </w:p>
          <w:p w14:paraId="5B242F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楷体_GB2312"/>
                <w:sz w:val="24"/>
                <w:szCs w:val="24"/>
              </w:rPr>
              <w:t>、本工程采用增值税一般计税办法，税金按9%计取。</w:t>
            </w:r>
          </w:p>
          <w:p w14:paraId="7D9E0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宋体" w:hAnsi="宋体" w:cs="楷体_GB2312"/>
                <w:sz w:val="24"/>
                <w:szCs w:val="24"/>
              </w:rPr>
            </w:pPr>
            <w:r>
              <w:rPr>
                <w:rFonts w:hint="eastAsia" w:ascii="宋体" w:hAnsi="宋体" w:cs="楷体_GB2312"/>
                <w:sz w:val="24"/>
                <w:szCs w:val="24"/>
              </w:rPr>
              <w:t>三、编制说明：</w:t>
            </w:r>
          </w:p>
          <w:p w14:paraId="1291A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</w:rPr>
              <w:t>1、 本清单所列工程数量是根据招标图纸暂定的，仅作为投标的共同基础，不能作为最终结算与支付的依据；</w:t>
            </w:r>
          </w:p>
          <w:p w14:paraId="00325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jc w:val="left"/>
              <w:textAlignment w:val="auto"/>
              <w:rPr>
                <w:rFonts w:hint="default" w:ascii="宋体" w:hAnsi="宋体" w:eastAsia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</w:rPr>
              <w:t>2、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分类分项工程量清单计价表中未列出明细的临时设施，均在措施项目“临时工程”中考虑；</w:t>
            </w:r>
          </w:p>
          <w:p w14:paraId="7E7EFE4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3、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清单中以“项”为单位的分部分项工程除注明“明标”外均按总价承包，结算时不调整，未实施不计；</w:t>
            </w:r>
          </w:p>
          <w:p w14:paraId="2EFD80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本工程中所用模板、脚手架不单独列项，费用包含在相关项目单价中；</w:t>
            </w:r>
          </w:p>
          <w:p w14:paraId="33C04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、本工程所有砼采用商品砼，混凝土浇筑输送方式由投标人自行考虑，相关费用均含在清单相关子目中。</w:t>
            </w:r>
          </w:p>
          <w:p w14:paraId="3B18A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 w:cs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Arial" w:cs="宋体"/>
                <w:kern w:val="0"/>
                <w:sz w:val="24"/>
                <w:szCs w:val="24"/>
              </w:rPr>
              <w:t>本工程</w:t>
            </w:r>
            <w:r>
              <w:rPr>
                <w:rFonts w:hint="eastAsia" w:ascii="宋体" w:hAnsi="Arial" w:cs="宋体"/>
                <w:kern w:val="0"/>
                <w:sz w:val="24"/>
                <w:szCs w:val="24"/>
                <w:lang w:val="en-US" w:eastAsia="zh-CN"/>
              </w:rPr>
              <w:t>余土需考虑外运，回填土由投标单位自行考虑场内堆放，</w:t>
            </w:r>
            <w:r>
              <w:rPr>
                <w:rFonts w:hint="eastAsia" w:ascii="宋体" w:hAnsi="Arial" w:cs="宋体"/>
                <w:kern w:val="0"/>
                <w:sz w:val="24"/>
                <w:szCs w:val="24"/>
              </w:rPr>
              <w:t>投标单位必须充分考虑挖土、填土、缺方内运（含场外自行取土）、余土或废料场外运输的单价及风险。本工程土方或拆除物的运输均已包括在各分部分项单价中</w:t>
            </w:r>
            <w:r>
              <w:rPr>
                <w:rFonts w:hint="eastAsia" w:ascii="宋体" w:hAnsi="Arial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仿宋"/>
                <w:kern w:val="0"/>
                <w:sz w:val="24"/>
                <w:szCs w:val="24"/>
              </w:rPr>
              <w:t>废料弃运按环保要求实施。</w:t>
            </w:r>
          </w:p>
          <w:p w14:paraId="7A111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default" w:ascii="宋体" w:hAnsi="宋体" w:eastAsia="宋体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4"/>
                <w:szCs w:val="24"/>
                <w:lang w:val="en-US" w:eastAsia="zh-CN"/>
              </w:rPr>
              <w:t>7、本工程淤泥外运处置、检测需提供方案，经设计、监理、建设方认可后实施，所有费用在报价中综合考虑，结算不再调整。</w:t>
            </w:r>
          </w:p>
          <w:p w14:paraId="7CEC7FA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、苗木分部分项综合单价包括苗木采购、运输、挖坑、苗木种植、反季节种植、种植土加基肥、渗水试验、机械上力、管理费、利润、土壤有机肥、草炭土、泥炭土、绿化用地的精平、场内运输、管养期内养护（修剪、治虫、浇灌、施肥、补栽、更换、水电等），结算时综合单价不调整。</w:t>
            </w:r>
          </w:p>
          <w:p w14:paraId="128446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、投标人须自行考虑整个施工范围内，各种建筑施工材料的运输条件、运输距离、各种可能存在的干扰因素，合理安排各种材料设备的运输方法、运输设备，并在投标报价中充分考虑相应场内、场外运输费用，材料的场内、场外运输费用，结算时均不另行计算。</w:t>
            </w:r>
          </w:p>
          <w:p w14:paraId="35F430C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本工程单价已经考虑了停电、停水、二次搬运、施工场地不足、发包人现场约束、中间验收、成品保护、按发包人要求配合场内其他单位、接受其他单位配合服务等所需措施和维护产生的一切费用, 并已考虑了相关机械正常供电不足施工单位采用必要的发电设备、箱变等电费的补贴费用，相关电费的补贴费用、各种可能影响施工的因素及其所增加的费用，施工单位在投标报价中予以充分考虑，不再另外计取。</w:t>
            </w:r>
          </w:p>
          <w:p w14:paraId="77080D5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11、本工程单价中已考虑相关专家论证、泥浆池制作及拆除等费用，不再另列清单。</w:t>
            </w:r>
          </w:p>
          <w:p w14:paraId="480F918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12、施工期间需做好排水方案，并在投标报价中综合考虑。</w:t>
            </w:r>
          </w:p>
          <w:p w14:paraId="786B2B0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13、保险费（含建筑安装工程一切险、第三者责任险、工伤保险、安全生产责任险）；费率暂定0.7%，费率不可竞争，结算价不得超过投标价。</w:t>
            </w:r>
          </w:p>
          <w:p w14:paraId="23BBE1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14、安全文明措施费（按实结算,结算价不得超过投标价；费率按2.5%计取；按照省水利厅关于安全文明措施费使用管理办法》（苏水规[2017]2号）文件结算，为不可竞争，结算价不得超投标价）需满足苏水规[2020]6号文及常州市人民政府令第14号文件。</w:t>
            </w:r>
          </w:p>
          <w:p w14:paraId="64A515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default" w:ascii="宋体" w:hAnsi="宋体"/>
                <w:snapToGrid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15、环境保护措施费中需考虑扬尘管控费用，结算不再调整。</w:t>
            </w:r>
          </w:p>
          <w:p w14:paraId="3E6869E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420" w:lineRule="exact"/>
              <w:ind w:firstLine="480" w:firstLineChars="200"/>
              <w:textAlignment w:val="auto"/>
              <w:rPr>
                <w:rFonts w:hint="eastAsia" w:ascii="宋体" w:hAnsi="宋体"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、其他项目预留金按</w:t>
            </w: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150000元，为不可竞争费</w:t>
            </w:r>
            <w:r>
              <w:rPr>
                <w:rFonts w:hint="eastAsia" w:ascii="宋体" w:hAnsi="宋体"/>
                <w:snapToGrid w:val="0"/>
                <w:sz w:val="24"/>
                <w:szCs w:val="24"/>
              </w:rPr>
              <w:t>。</w:t>
            </w:r>
          </w:p>
          <w:p w14:paraId="5844A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sz w:val="24"/>
                <w:szCs w:val="24"/>
                <w:lang w:val="en-US" w:eastAsia="zh-CN"/>
              </w:rPr>
              <w:t>17、控制价材料价格按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《常州工程造价信息》发布的常州市</w:t>
            </w:r>
            <w:r>
              <w:rPr>
                <w:rFonts w:ascii="宋体" w:hAnsi="宋体"/>
                <w:bCs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bCs/>
                <w:color w:val="FF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份建筑工程材料除税指导价编制，</w:t>
            </w:r>
            <w:r>
              <w:rPr>
                <w:rFonts w:hint="eastAsia" w:ascii="宋体" w:hAnsi="宋体"/>
                <w:bCs/>
                <w:color w:val="FF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月份没有的价格，依次向前推。</w:t>
            </w:r>
          </w:p>
          <w:p w14:paraId="25DE5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20" w:lineRule="exact"/>
              <w:ind w:firstLine="480" w:firstLineChars="200"/>
              <w:jc w:val="right"/>
              <w:textAlignment w:val="auto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 w14:paraId="70249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20" w:lineRule="exact"/>
              <w:ind w:firstLine="480" w:firstLineChars="200"/>
              <w:jc w:val="center"/>
              <w:textAlignment w:val="auto"/>
              <w:rPr>
                <w:rFonts w:hint="default" w:ascii="宋体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                                  2024年12月2日</w:t>
            </w:r>
          </w:p>
          <w:p w14:paraId="6AE7E0D9">
            <w:pPr>
              <w:bidi w:val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 w14:paraId="0A174EF4"/>
    <w:sectPr>
      <w:pgSz w:w="11906" w:h="16838"/>
      <w:pgMar w:top="1108" w:right="1066" w:bottom="103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FC788F"/>
    <w:multiLevelType w:val="singleLevel"/>
    <w:tmpl w:val="FCFC788F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492262F5"/>
    <w:multiLevelType w:val="multilevel"/>
    <w:tmpl w:val="492262F5"/>
    <w:lvl w:ilvl="0" w:tentative="0">
      <w:start w:val="1"/>
      <w:numFmt w:val="japaneseCounting"/>
      <w:lvlText w:val="%1、"/>
      <w:lvlJc w:val="left"/>
      <w:pPr>
        <w:tabs>
          <w:tab w:val="left" w:pos="450"/>
        </w:tabs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2ZGFkM2U2YjFjOTNjZmE3Yjc0MWUwYmE5NzU1MjMifQ=="/>
  </w:docVars>
  <w:rsids>
    <w:rsidRoot w:val="3E997EE2"/>
    <w:rsid w:val="02FE1DBD"/>
    <w:rsid w:val="0401556B"/>
    <w:rsid w:val="07362D97"/>
    <w:rsid w:val="080977BF"/>
    <w:rsid w:val="08641650"/>
    <w:rsid w:val="0A3E4304"/>
    <w:rsid w:val="10ED60CF"/>
    <w:rsid w:val="13EB044B"/>
    <w:rsid w:val="1676496E"/>
    <w:rsid w:val="17B514F8"/>
    <w:rsid w:val="182702A6"/>
    <w:rsid w:val="18E3544F"/>
    <w:rsid w:val="19D104BE"/>
    <w:rsid w:val="1D1F0C37"/>
    <w:rsid w:val="2318009E"/>
    <w:rsid w:val="2A8A2314"/>
    <w:rsid w:val="2BB3163E"/>
    <w:rsid w:val="30717AD3"/>
    <w:rsid w:val="315E6C79"/>
    <w:rsid w:val="34283143"/>
    <w:rsid w:val="34A73B34"/>
    <w:rsid w:val="34E64C13"/>
    <w:rsid w:val="35E601F8"/>
    <w:rsid w:val="369576EC"/>
    <w:rsid w:val="3E997EE2"/>
    <w:rsid w:val="41C72874"/>
    <w:rsid w:val="46641A0B"/>
    <w:rsid w:val="526F2229"/>
    <w:rsid w:val="52A41FEC"/>
    <w:rsid w:val="58297840"/>
    <w:rsid w:val="5858051A"/>
    <w:rsid w:val="5A4E3F60"/>
    <w:rsid w:val="5B16605C"/>
    <w:rsid w:val="5DE61F4B"/>
    <w:rsid w:val="65880429"/>
    <w:rsid w:val="65C90FD1"/>
    <w:rsid w:val="66025A02"/>
    <w:rsid w:val="6FDF7BEB"/>
    <w:rsid w:val="71433214"/>
    <w:rsid w:val="723320B1"/>
    <w:rsid w:val="73022DCF"/>
    <w:rsid w:val="745F79D2"/>
    <w:rsid w:val="7516192A"/>
    <w:rsid w:val="752863EC"/>
    <w:rsid w:val="76F74ECE"/>
    <w:rsid w:val="78C8052C"/>
    <w:rsid w:val="7B2A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  <w:spacing w:line="360" w:lineRule="auto"/>
    </w:pPr>
    <w:rPr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1687</Words>
  <Characters>1815</Characters>
  <Lines>0</Lines>
  <Paragraphs>0</Paragraphs>
  <TotalTime>88</TotalTime>
  <ScaleCrop>false</ScaleCrop>
  <LinksUpToDate>false</LinksUpToDate>
  <CharactersWithSpaces>1854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2021-08-27T02:29:00Z</dcterms:created>
  <dc:creator>朱璟忠</dc:creator>
  <cp:lastModifiedBy>水木年华</cp:lastModifiedBy>
  <dcterms:modified xsi:type="dcterms:W3CDTF">2024-12-11T00:58:21Z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7C62327436874E49A6D4C8F87000FF67</vt:lpwstr>
  </property>
</Properties>
</file>