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12C01">
      <w:pPr>
        <w:spacing w:line="360" w:lineRule="auto"/>
        <w:jc w:val="center"/>
        <w:rPr>
          <w:rFonts w:ascii="宋体" w:hAnsi="宋体" w:eastAsia="宋体" w:cs="宋体"/>
          <w:b/>
          <w:sz w:val="36"/>
          <w:szCs w:val="36"/>
        </w:rPr>
      </w:pPr>
      <w:r>
        <w:rPr>
          <w:rFonts w:hint="eastAsia" w:ascii="宋体" w:hAnsi="宋体" w:eastAsia="宋体" w:cs="宋体"/>
          <w:b/>
          <w:sz w:val="36"/>
          <w:szCs w:val="36"/>
        </w:rPr>
        <w:t>奔牛镇固定资产(</w:t>
      </w:r>
      <w:bookmarkStart w:id="0" w:name="_GoBack"/>
      <w:bookmarkEnd w:id="0"/>
      <w:r>
        <w:rPr>
          <w:rFonts w:hint="eastAsia" w:ascii="宋体" w:hAnsi="宋体" w:eastAsia="宋体" w:cs="宋体"/>
          <w:b/>
          <w:sz w:val="36"/>
          <w:szCs w:val="36"/>
        </w:rPr>
        <w:t>商铺等)公开招租公告</w:t>
      </w:r>
    </w:p>
    <w:p w14:paraId="15BA7BB2">
      <w:pPr>
        <w:spacing w:line="560" w:lineRule="exact"/>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rPr>
        <w:t>招租编号：BNJY20240</w:t>
      </w:r>
      <w:r>
        <w:rPr>
          <w:rFonts w:hint="eastAsia" w:ascii="宋体" w:hAnsi="宋体" w:eastAsia="宋体" w:cs="宋体"/>
          <w:b/>
          <w:sz w:val="24"/>
          <w:szCs w:val="24"/>
          <w:lang w:val="en-US" w:eastAsia="zh-CN"/>
        </w:rPr>
        <w:t>27</w:t>
      </w:r>
      <w:r>
        <w:rPr>
          <w:rFonts w:hint="eastAsia" w:ascii="宋体" w:hAnsi="宋体" w:eastAsia="宋体" w:cs="宋体"/>
          <w:b/>
          <w:sz w:val="24"/>
          <w:szCs w:val="24"/>
        </w:rPr>
        <w:t xml:space="preserve">                           时间：2024年</w:t>
      </w:r>
      <w:r>
        <w:rPr>
          <w:rFonts w:hint="eastAsia" w:ascii="宋体" w:hAnsi="宋体" w:eastAsia="宋体" w:cs="宋体"/>
          <w:b/>
          <w:sz w:val="24"/>
          <w:szCs w:val="24"/>
          <w:lang w:eastAsia="zh-CN"/>
        </w:rPr>
        <w:t>12月25日</w:t>
      </w:r>
    </w:p>
    <w:p w14:paraId="449D6D56">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为盘活国有资产，拟对：原</w:t>
      </w:r>
      <w:r>
        <w:rPr>
          <w:rFonts w:hint="eastAsia" w:ascii="宋体" w:hAnsi="宋体" w:eastAsia="宋体" w:cs="宋体"/>
          <w:sz w:val="24"/>
          <w:szCs w:val="24"/>
          <w:lang w:eastAsia="zh-CN"/>
        </w:rPr>
        <w:t>稻麦原种场资产停尸房旁旧仓库</w:t>
      </w:r>
      <w:r>
        <w:rPr>
          <w:rFonts w:hint="eastAsia" w:ascii="宋体" w:hAnsi="宋体" w:eastAsia="宋体" w:cs="宋体"/>
          <w:sz w:val="24"/>
          <w:szCs w:val="24"/>
        </w:rPr>
        <w:t>进行公开招租，招租情况如下：</w:t>
      </w:r>
    </w:p>
    <w:p w14:paraId="74ADE38B">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304" w:tblpY="402"/>
        <w:tblOverlap w:val="never"/>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937"/>
        <w:gridCol w:w="1328"/>
        <w:gridCol w:w="1531"/>
        <w:gridCol w:w="1454"/>
        <w:gridCol w:w="1484"/>
        <w:gridCol w:w="1531"/>
      </w:tblGrid>
      <w:tr w14:paraId="4110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579" w:type="dxa"/>
            <w:vAlign w:val="center"/>
          </w:tcPr>
          <w:p w14:paraId="7BA5D0DA">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37" w:type="dxa"/>
            <w:vAlign w:val="center"/>
          </w:tcPr>
          <w:p w14:paraId="584555A4">
            <w:pPr>
              <w:spacing w:line="400" w:lineRule="exact"/>
              <w:ind w:firstLine="241" w:firstLineChars="100"/>
              <w:rPr>
                <w:rFonts w:ascii="宋体" w:hAnsi="宋体" w:eastAsia="宋体" w:cs="宋体"/>
                <w:b/>
                <w:bCs/>
                <w:sz w:val="24"/>
                <w:szCs w:val="24"/>
              </w:rPr>
            </w:pPr>
            <w:r>
              <w:rPr>
                <w:rFonts w:hint="eastAsia" w:ascii="宋体" w:hAnsi="宋体" w:eastAsia="宋体" w:cs="宋体"/>
                <w:b/>
                <w:bCs/>
                <w:sz w:val="24"/>
                <w:szCs w:val="24"/>
              </w:rPr>
              <w:t>物业名称</w:t>
            </w:r>
          </w:p>
        </w:tc>
        <w:tc>
          <w:tcPr>
            <w:tcW w:w="1328" w:type="dxa"/>
            <w:vAlign w:val="center"/>
          </w:tcPr>
          <w:p w14:paraId="7147AAE9">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面积</w:t>
            </w:r>
          </w:p>
          <w:p w14:paraId="10EDC105">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531" w:type="dxa"/>
            <w:vAlign w:val="center"/>
          </w:tcPr>
          <w:p w14:paraId="5D99B44E">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14:paraId="2504DCC7">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454" w:type="dxa"/>
            <w:vAlign w:val="center"/>
          </w:tcPr>
          <w:p w14:paraId="2452E028">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14:paraId="6F1C6861">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（元/年）</w:t>
            </w:r>
          </w:p>
        </w:tc>
        <w:tc>
          <w:tcPr>
            <w:tcW w:w="1484" w:type="dxa"/>
            <w:vAlign w:val="center"/>
          </w:tcPr>
          <w:p w14:paraId="2DC05234">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投标保证</w:t>
            </w:r>
          </w:p>
          <w:p w14:paraId="5132917B">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（单位：元）</w:t>
            </w:r>
          </w:p>
        </w:tc>
        <w:tc>
          <w:tcPr>
            <w:tcW w:w="1531" w:type="dxa"/>
            <w:vAlign w:val="center"/>
          </w:tcPr>
          <w:p w14:paraId="19C5774A">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2D5F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79" w:type="dxa"/>
            <w:vAlign w:val="center"/>
          </w:tcPr>
          <w:p w14:paraId="4A5655DA">
            <w:pPr>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1937" w:type="dxa"/>
            <w:vAlign w:val="center"/>
          </w:tcPr>
          <w:p w14:paraId="69AB5141">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稻麦原种场资产停尸房旁旧仓库</w:t>
            </w:r>
          </w:p>
        </w:tc>
        <w:tc>
          <w:tcPr>
            <w:tcW w:w="1328" w:type="dxa"/>
            <w:vAlign w:val="center"/>
          </w:tcPr>
          <w:p w14:paraId="605D1746">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60.8</w:t>
            </w:r>
          </w:p>
        </w:tc>
        <w:tc>
          <w:tcPr>
            <w:tcW w:w="1531" w:type="dxa"/>
            <w:vAlign w:val="center"/>
          </w:tcPr>
          <w:p w14:paraId="27F64079">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3年</w:t>
            </w:r>
          </w:p>
        </w:tc>
        <w:tc>
          <w:tcPr>
            <w:tcW w:w="1454" w:type="dxa"/>
            <w:vAlign w:val="center"/>
          </w:tcPr>
          <w:p w14:paraId="5044DB05">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2432</w:t>
            </w:r>
          </w:p>
        </w:tc>
        <w:tc>
          <w:tcPr>
            <w:tcW w:w="1484" w:type="dxa"/>
            <w:vAlign w:val="center"/>
          </w:tcPr>
          <w:p w14:paraId="509719A6">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300</w:t>
            </w:r>
          </w:p>
        </w:tc>
        <w:tc>
          <w:tcPr>
            <w:tcW w:w="1531" w:type="dxa"/>
            <w:vAlign w:val="center"/>
          </w:tcPr>
          <w:p w14:paraId="586FCF3D">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截至2027年12月31日</w:t>
            </w:r>
          </w:p>
        </w:tc>
      </w:tr>
    </w:tbl>
    <w:p w14:paraId="147692D1">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有底价公开招租，底价如上表，整体招租。</w:t>
      </w:r>
    </w:p>
    <w:p w14:paraId="0E9844FD">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rPr>
        <w:t>租期</w:t>
      </w:r>
      <w:r>
        <w:rPr>
          <w:rFonts w:hint="eastAsia" w:ascii="宋体" w:hAnsi="宋体" w:eastAsia="宋体" w:cs="宋体"/>
          <w:sz w:val="24"/>
          <w:szCs w:val="24"/>
          <w:lang w:eastAsia="zh-CN"/>
        </w:rPr>
        <w:t>截至2027年12月31日</w:t>
      </w:r>
      <w:r>
        <w:rPr>
          <w:rFonts w:hint="eastAsia" w:ascii="宋体" w:hAnsi="宋体" w:eastAsia="宋体" w:cs="宋体"/>
          <w:sz w:val="24"/>
          <w:szCs w:val="24"/>
        </w:rPr>
        <w:t>。租金壹年壹付，先付后用。（中标人保证金直接转为所中标物业押金）</w:t>
      </w:r>
    </w:p>
    <w:p w14:paraId="67C3E702">
      <w:pPr>
        <w:numPr>
          <w:ilvl w:val="0"/>
          <w:numId w:val="1"/>
        </w:numPr>
        <w:spacing w:line="360" w:lineRule="auto"/>
        <w:rPr>
          <w:rFonts w:ascii="宋体" w:hAnsi="宋体" w:eastAsia="宋体" w:cs="宋体"/>
          <w:b/>
          <w:sz w:val="24"/>
          <w:szCs w:val="24"/>
        </w:rPr>
      </w:pPr>
      <w:r>
        <w:rPr>
          <w:rFonts w:hint="eastAsia" w:ascii="宋体" w:hAnsi="宋体" w:eastAsia="宋体" w:cs="宋体"/>
          <w:b/>
          <w:sz w:val="24"/>
          <w:szCs w:val="24"/>
        </w:rPr>
        <w:t>租赁条件：</w:t>
      </w:r>
      <w:r>
        <w:rPr>
          <w:rFonts w:hint="eastAsia" w:ascii="宋体" w:hAnsi="宋体" w:eastAsia="宋体" w:cs="宋体"/>
          <w:bCs/>
          <w:sz w:val="24"/>
          <w:szCs w:val="24"/>
        </w:rPr>
        <w:t>（1）</w:t>
      </w:r>
      <w:r>
        <w:rPr>
          <w:rFonts w:hint="eastAsia" w:ascii="宋体" w:hAnsi="宋体" w:eastAsia="宋体" w:cs="宋体"/>
          <w:sz w:val="24"/>
          <w:szCs w:val="24"/>
          <w:lang w:eastAsia="zh-CN"/>
        </w:rPr>
        <w:t>稻麦原种场资产停尸房旁旧仓库</w:t>
      </w:r>
      <w:r>
        <w:rPr>
          <w:rFonts w:hint="eastAsia" w:ascii="宋体" w:hAnsi="宋体" w:eastAsia="宋体" w:cs="宋体"/>
          <w:bCs/>
          <w:sz w:val="24"/>
          <w:szCs w:val="24"/>
        </w:rPr>
        <w:t>该地块使用范围仅限</w:t>
      </w:r>
      <w:r>
        <w:rPr>
          <w:rFonts w:hint="eastAsia" w:ascii="宋体" w:hAnsi="宋体" w:eastAsia="宋体" w:cs="宋体"/>
          <w:bCs/>
          <w:sz w:val="24"/>
          <w:szCs w:val="24"/>
          <w:lang w:val="en-US" w:eastAsia="zh-CN"/>
        </w:rPr>
        <w:t>仓储</w:t>
      </w:r>
      <w:r>
        <w:rPr>
          <w:rFonts w:ascii="宋体" w:hAnsi="宋体" w:eastAsia="宋体" w:cs="宋体"/>
          <w:bCs/>
          <w:sz w:val="24"/>
          <w:szCs w:val="24"/>
        </w:rPr>
        <w:t>；</w:t>
      </w:r>
      <w:r>
        <w:rPr>
          <w:rFonts w:hint="eastAsia" w:ascii="宋体" w:hAnsi="宋体" w:eastAsia="宋体" w:cs="宋体"/>
          <w:bCs/>
          <w:sz w:val="24"/>
          <w:szCs w:val="24"/>
        </w:rPr>
        <w:t>（2）承租人须遵守租赁合同的全部约定，全面履行承租人义务，按时足额缴纳租金。（3）承租人须严格遵守国家法律、法规的规定，守法经营，按章纳税，不得将承租的物业转租、转借或以其他方式变相转租。（4）竞租成功后，承租人应在7日内将年租金支付给出租人，逾期则取消中标资格。</w:t>
      </w:r>
    </w:p>
    <w:p w14:paraId="00BD5057">
      <w:pPr>
        <w:spacing w:line="360" w:lineRule="auto"/>
        <w:rPr>
          <w:rFonts w:ascii="宋体" w:hAnsi="宋体" w:eastAsia="宋体" w:cs="宋体"/>
          <w:b/>
          <w:sz w:val="24"/>
          <w:szCs w:val="24"/>
        </w:rPr>
      </w:pPr>
      <w:r>
        <w:rPr>
          <w:rFonts w:hint="eastAsia" w:ascii="宋体" w:hAnsi="宋体" w:eastAsia="宋体" w:cs="宋体"/>
          <w:b/>
          <w:sz w:val="24"/>
          <w:szCs w:val="24"/>
        </w:rPr>
        <w:t>四、报名条件：</w:t>
      </w:r>
    </w:p>
    <w:p w14:paraId="442FE449">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14:paraId="12FB8A5B">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14:paraId="718F0724">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﹙3﹚报名时若是自然人同时递交壹份经本人亲自签名的身份证复印件并注明限于奔牛镇固定资产公开招租公告（非自然人本人须递交委托书附件3及身份证复印件）；</w:t>
      </w:r>
    </w:p>
    <w:p w14:paraId="0CC8C63F">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14:paraId="02CE6972">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报名时需足额缴纳竞标保证金（具体情况见上表）。</w:t>
      </w:r>
    </w:p>
    <w:p w14:paraId="3A431F71">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14:paraId="149DF76B">
      <w:pPr>
        <w:pStyle w:val="16"/>
        <w:numPr>
          <w:ilvl w:val="0"/>
          <w:numId w:val="3"/>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报名时间：2024年</w:t>
      </w:r>
      <w:r>
        <w:rPr>
          <w:rFonts w:hint="eastAsia" w:ascii="宋体" w:hAnsi="宋体" w:eastAsia="宋体" w:cs="宋体"/>
          <w:sz w:val="24"/>
          <w:szCs w:val="24"/>
          <w:lang w:eastAsia="zh-CN"/>
        </w:rPr>
        <w:t>12月25日</w:t>
      </w:r>
      <w:r>
        <w:rPr>
          <w:rFonts w:hint="eastAsia" w:ascii="宋体" w:hAnsi="宋体" w:eastAsia="宋体" w:cs="宋体"/>
          <w:sz w:val="24"/>
          <w:szCs w:val="24"/>
        </w:rPr>
        <w:t>至2024年</w:t>
      </w:r>
      <w:r>
        <w:rPr>
          <w:rFonts w:hint="eastAsia" w:ascii="宋体" w:hAnsi="宋体" w:eastAsia="宋体" w:cs="宋体"/>
          <w:sz w:val="24"/>
          <w:szCs w:val="24"/>
          <w:lang w:eastAsia="zh-CN"/>
        </w:rPr>
        <w:t>12月27日</w:t>
      </w:r>
      <w:r>
        <w:rPr>
          <w:rFonts w:hint="eastAsia" w:ascii="宋体" w:hAnsi="宋体" w:eastAsia="宋体" w:cs="宋体"/>
          <w:sz w:val="24"/>
          <w:szCs w:val="24"/>
        </w:rPr>
        <w:t>（09:00-16:00）（节假日除外）</w:t>
      </w:r>
    </w:p>
    <w:p w14:paraId="53B6ABC1">
      <w:pPr>
        <w:pStyle w:val="16"/>
        <w:numPr>
          <w:ilvl w:val="0"/>
          <w:numId w:val="3"/>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报名地点：奔牛镇政府院内西侧三楼302室</w:t>
      </w:r>
    </w:p>
    <w:p w14:paraId="0F728886">
      <w:pPr>
        <w:pStyle w:val="16"/>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联系人：叶萤    联系电话：0519-83217918   </w:t>
      </w:r>
    </w:p>
    <w:p w14:paraId="0FE6264A">
      <w:pPr>
        <w:pStyle w:val="16"/>
        <w:spacing w:line="360" w:lineRule="auto"/>
        <w:ind w:firstLine="440"/>
        <w:rPr>
          <w:rFonts w:ascii="宋体" w:hAnsi="宋体" w:eastAsia="宋体" w:cs="宋体"/>
          <w:sz w:val="24"/>
          <w:szCs w:val="24"/>
        </w:rPr>
      </w:pPr>
      <w:r>
        <w:rPr>
          <w:rFonts w:ascii="微软雅黑" w:hAnsi="微软雅黑" w:eastAsia="微软雅黑" w:cs="微软雅黑"/>
          <w:b/>
          <w:bCs/>
          <w:color w:val="000000"/>
          <w:sz w:val="22"/>
        </w:rPr>
        <w:t> </w:t>
      </w:r>
      <w:r>
        <w:rPr>
          <w:rFonts w:hint="eastAsia" w:ascii="微软雅黑" w:hAnsi="微软雅黑" w:eastAsia="微软雅黑" w:cs="微软雅黑"/>
          <w:b/>
          <w:bCs/>
          <w:color w:val="000000"/>
          <w:sz w:val="22"/>
        </w:rPr>
        <w:t>上述个人信息由于工作需要经机构或本人同意对外公布。</w:t>
      </w:r>
    </w:p>
    <w:p w14:paraId="7B83F729">
      <w:pPr>
        <w:spacing w:line="360" w:lineRule="auto"/>
        <w:rPr>
          <w:rFonts w:ascii="宋体" w:hAnsi="宋体" w:eastAsia="宋体" w:cs="宋体"/>
          <w:b/>
          <w:sz w:val="24"/>
          <w:szCs w:val="24"/>
        </w:rPr>
      </w:pPr>
      <w:r>
        <w:rPr>
          <w:rFonts w:hint="eastAsia" w:ascii="宋体" w:hAnsi="宋体" w:eastAsia="宋体" w:cs="宋体"/>
          <w:b/>
          <w:sz w:val="24"/>
          <w:szCs w:val="24"/>
        </w:rPr>
        <w:t>六、竞标：</w:t>
      </w:r>
    </w:p>
    <w:p w14:paraId="3AB3E589">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14:paraId="0AD2828D">
      <w:pPr>
        <w:spacing w:line="360" w:lineRule="auto"/>
        <w:rPr>
          <w:rFonts w:ascii="宋体" w:hAnsi="宋体" w:eastAsia="宋体" w:cs="宋体"/>
          <w:sz w:val="24"/>
          <w:szCs w:val="24"/>
        </w:rPr>
      </w:pPr>
      <w:r>
        <w:rPr>
          <w:rFonts w:hint="eastAsia" w:ascii="宋体" w:hAnsi="宋体" w:eastAsia="宋体" w:cs="宋体"/>
          <w:sz w:val="24"/>
          <w:szCs w:val="24"/>
        </w:rPr>
        <w:t>（1）2024年</w:t>
      </w:r>
      <w:r>
        <w:rPr>
          <w:rFonts w:hint="eastAsia" w:ascii="宋体" w:hAnsi="宋体" w:eastAsia="宋体" w:cs="宋体"/>
          <w:sz w:val="24"/>
          <w:szCs w:val="24"/>
          <w:lang w:eastAsia="zh-CN"/>
        </w:rPr>
        <w:t>12月30日</w:t>
      </w:r>
      <w:r>
        <w:rPr>
          <w:rFonts w:hint="eastAsia" w:ascii="宋体" w:hAnsi="宋体" w:eastAsia="宋体" w:cs="宋体"/>
          <w:sz w:val="24"/>
          <w:szCs w:val="24"/>
        </w:rPr>
        <w:t xml:space="preserve"> 周</w:t>
      </w:r>
      <w:r>
        <w:rPr>
          <w:rFonts w:hint="eastAsia" w:ascii="宋体" w:hAnsi="宋体" w:eastAsia="宋体" w:cs="宋体"/>
          <w:sz w:val="24"/>
          <w:szCs w:val="24"/>
          <w:lang w:val="en-US" w:eastAsia="zh-CN"/>
        </w:rPr>
        <w:t>一</w:t>
      </w:r>
      <w:r>
        <w:rPr>
          <w:rFonts w:hint="eastAsia" w:ascii="宋体" w:hAnsi="宋体" w:eastAsia="宋体" w:cs="宋体"/>
          <w:sz w:val="24"/>
          <w:szCs w:val="24"/>
        </w:rPr>
        <w:t xml:space="preserve"> 上午10：00，逾期未签到者视为自动放弃投标资格。</w:t>
      </w:r>
    </w:p>
    <w:p w14:paraId="5E5CAFDA">
      <w:pPr>
        <w:pStyle w:val="16"/>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2、竞标地点：奔牛镇人民政府院内西侧建设局三楼303室</w:t>
      </w:r>
    </w:p>
    <w:p w14:paraId="19FEC6EA">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14:paraId="3437B296">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14:paraId="6643CD14">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14:paraId="60AF4788">
      <w:pPr>
        <w:spacing w:line="360" w:lineRule="auto"/>
        <w:rPr>
          <w:rFonts w:ascii="宋体" w:hAnsi="宋体" w:eastAsia="宋体" w:cs="宋体"/>
          <w:sz w:val="24"/>
          <w:szCs w:val="24"/>
        </w:rPr>
      </w:pPr>
    </w:p>
    <w:p w14:paraId="79CF7F8D">
      <w:pPr>
        <w:spacing w:line="360" w:lineRule="auto"/>
        <w:rPr>
          <w:rFonts w:hint="eastAsia" w:ascii="宋体" w:hAnsi="宋体" w:eastAsia="宋体" w:cs="宋体"/>
          <w:sz w:val="24"/>
          <w:szCs w:val="24"/>
        </w:rPr>
      </w:pPr>
    </w:p>
    <w:p w14:paraId="0417F506">
      <w:pPr>
        <w:widowControl/>
        <w:jc w:val="right"/>
        <w:rPr>
          <w:rFonts w:ascii="宋体" w:hAnsi="宋体" w:eastAsia="宋体" w:cs="宋体"/>
          <w:sz w:val="24"/>
          <w:szCs w:val="24"/>
        </w:rPr>
      </w:pPr>
      <w:r>
        <w:rPr>
          <w:rFonts w:hint="eastAsia" w:ascii="宋体" w:hAnsi="宋体" w:eastAsia="宋体" w:cs="宋体"/>
          <w:sz w:val="24"/>
          <w:szCs w:val="24"/>
        </w:rPr>
        <w:t>招标人：常州市新北区奔牛稻麦原种场有限公司</w:t>
      </w:r>
    </w:p>
    <w:p w14:paraId="73328F14">
      <w:pPr>
        <w:widowControl/>
        <w:jc w:val="right"/>
        <w:rPr>
          <w:rFonts w:ascii="宋体" w:hAnsi="宋体" w:eastAsia="宋体" w:cs="宋体"/>
          <w:kern w:val="0"/>
          <w:sz w:val="24"/>
          <w:szCs w:val="24"/>
          <w:lang w:bidi="en-US"/>
        </w:rPr>
      </w:pPr>
      <w:r>
        <w:rPr>
          <w:rFonts w:hint="eastAsia" w:ascii="宋体" w:hAnsi="宋体" w:eastAsia="宋体" w:cs="宋体"/>
          <w:sz w:val="24"/>
          <w:szCs w:val="24"/>
        </w:rPr>
        <w:t xml:space="preserve">   2024年</w:t>
      </w:r>
      <w:r>
        <w:rPr>
          <w:rFonts w:hint="eastAsia" w:ascii="宋体" w:hAnsi="宋体" w:eastAsia="宋体" w:cs="宋体"/>
          <w:sz w:val="24"/>
          <w:szCs w:val="24"/>
          <w:lang w:eastAsia="zh-CN"/>
        </w:rPr>
        <w:t>12月25日</w:t>
      </w:r>
      <w:r>
        <w:rPr>
          <w:rFonts w:hint="eastAsia" w:ascii="宋体" w:hAnsi="宋体" w:eastAsia="宋体" w:cs="宋体"/>
          <w:sz w:val="24"/>
          <w:szCs w:val="24"/>
        </w:rPr>
        <w:br w:type="page"/>
      </w:r>
    </w:p>
    <w:p w14:paraId="48C03D7E">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14:paraId="692EAC46">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14:paraId="0235DC96">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14:paraId="3BDA1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14:paraId="06AB9787">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14:paraId="618D3605">
            <w:pPr>
              <w:spacing w:line="360" w:lineRule="auto"/>
              <w:rPr>
                <w:rFonts w:ascii="宋体" w:hAnsi="宋体" w:eastAsia="宋体" w:cs="宋体"/>
                <w:sz w:val="24"/>
                <w:szCs w:val="24"/>
              </w:rPr>
            </w:pPr>
            <w:r>
              <w:rPr>
                <w:rFonts w:hint="eastAsia" w:ascii="宋体" w:hAnsi="宋体" w:eastAsia="宋体" w:cs="宋体"/>
                <w:kern w:val="0"/>
                <w:sz w:val="24"/>
                <w:szCs w:val="24"/>
              </w:rPr>
              <w:t xml:space="preserve">              常州市新北区奔牛稻麦原种场有限公司</w:t>
            </w:r>
          </w:p>
        </w:tc>
      </w:tr>
      <w:tr w14:paraId="20332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14:paraId="26B8BE2B">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14:paraId="42BA3DF8">
            <w:pPr>
              <w:spacing w:line="360" w:lineRule="auto"/>
              <w:jc w:val="center"/>
              <w:rPr>
                <w:rFonts w:ascii="宋体" w:hAnsi="宋体" w:eastAsia="宋体" w:cs="宋体"/>
                <w:kern w:val="0"/>
                <w:sz w:val="24"/>
                <w:szCs w:val="24"/>
              </w:rPr>
            </w:pPr>
            <w:r>
              <w:rPr>
                <w:rFonts w:hint="eastAsia" w:ascii="宋体" w:hAnsi="宋体" w:eastAsia="宋体" w:cs="宋体"/>
                <w:bCs/>
                <w:sz w:val="24"/>
                <w:szCs w:val="24"/>
              </w:rPr>
              <w:t>奔牛镇固定资产(商铺等)公开招租公告</w:t>
            </w:r>
          </w:p>
        </w:tc>
      </w:tr>
      <w:tr w14:paraId="1A095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14:paraId="51324A6F">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14:paraId="74A9264B">
            <w:pPr>
              <w:ind w:firstLine="1920" w:firstLineChars="800"/>
              <w:rPr>
                <w:rFonts w:ascii="宋体" w:hAnsi="宋体" w:eastAsia="宋体" w:cs="宋体"/>
                <w:kern w:val="0"/>
                <w:sz w:val="24"/>
                <w:szCs w:val="24"/>
              </w:rPr>
            </w:pPr>
            <w:r>
              <w:rPr>
                <w:rFonts w:hint="eastAsia" w:ascii="宋体" w:hAnsi="宋体" w:eastAsia="宋体" w:cs="宋体"/>
                <w:sz w:val="24"/>
                <w:szCs w:val="24"/>
              </w:rPr>
              <w:t xml:space="preserve"> </w:t>
            </w:r>
          </w:p>
        </w:tc>
      </w:tr>
      <w:tr w14:paraId="43941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14:paraId="580D3441">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14:paraId="4354D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558B8ED6">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14:paraId="522BF07C">
            <w:pPr>
              <w:autoSpaceDE w:val="0"/>
              <w:autoSpaceDN w:val="0"/>
              <w:spacing w:line="560" w:lineRule="exact"/>
              <w:jc w:val="center"/>
              <w:rPr>
                <w:rFonts w:ascii="宋体" w:hAnsi="宋体" w:eastAsia="宋体" w:cs="宋体"/>
                <w:kern w:val="0"/>
                <w:sz w:val="24"/>
                <w:szCs w:val="24"/>
              </w:rPr>
            </w:pPr>
          </w:p>
        </w:tc>
      </w:tr>
      <w:tr w14:paraId="1D17D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200E4029">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14:paraId="1E1C1C45">
            <w:pPr>
              <w:autoSpaceDE w:val="0"/>
              <w:autoSpaceDN w:val="0"/>
              <w:spacing w:line="560" w:lineRule="exact"/>
              <w:jc w:val="center"/>
              <w:rPr>
                <w:rFonts w:ascii="宋体" w:hAnsi="宋体" w:eastAsia="宋体" w:cs="宋体"/>
                <w:kern w:val="0"/>
                <w:sz w:val="24"/>
                <w:szCs w:val="24"/>
              </w:rPr>
            </w:pPr>
          </w:p>
        </w:tc>
      </w:tr>
      <w:tr w14:paraId="05BD4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14:paraId="10A5F9A1">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14:paraId="3EB2F601">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17273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14:paraId="42365C6B">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14:paraId="6C2043DA">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1253E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4C0A3BB6">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14:paraId="26EFFD70">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72E3B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14:paraId="7C046B46">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14:paraId="42829209">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14:paraId="77E1AAFB">
            <w:pPr>
              <w:autoSpaceDE w:val="0"/>
              <w:autoSpaceDN w:val="0"/>
              <w:spacing w:line="560" w:lineRule="exact"/>
              <w:jc w:val="center"/>
              <w:rPr>
                <w:rFonts w:ascii="宋体" w:hAnsi="宋体" w:eastAsia="宋体" w:cs="宋体"/>
                <w:kern w:val="0"/>
                <w:sz w:val="24"/>
                <w:szCs w:val="24"/>
              </w:rPr>
            </w:pPr>
          </w:p>
          <w:p w14:paraId="307531BA">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14:paraId="7D98A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14:paraId="75D4AF5E">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14:paraId="6443EBB5">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14:paraId="566AB5FA">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14:paraId="1C25AFD5">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14:paraId="3A34F140">
      <w:pPr>
        <w:snapToGrid w:val="0"/>
        <w:rPr>
          <w:rFonts w:ascii="宋体" w:hAnsi="宋体" w:eastAsia="宋体" w:cs="宋体"/>
          <w:sz w:val="24"/>
          <w:szCs w:val="24"/>
        </w:rPr>
      </w:pPr>
    </w:p>
    <w:p w14:paraId="69E7078D">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14:paraId="65214479">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14:paraId="44C5A2DD">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14:paraId="760B9A8E">
      <w:pPr>
        <w:spacing w:line="360" w:lineRule="auto"/>
        <w:rPr>
          <w:rFonts w:ascii="宋体" w:hAnsi="宋体" w:eastAsia="宋体" w:cs="宋体"/>
          <w:sz w:val="24"/>
          <w:szCs w:val="24"/>
        </w:rPr>
      </w:pPr>
      <w:r>
        <w:rPr>
          <w:rFonts w:hint="eastAsia" w:ascii="宋体" w:hAnsi="宋体" w:eastAsia="宋体" w:cs="宋体"/>
          <w:kern w:val="0"/>
          <w:sz w:val="24"/>
          <w:szCs w:val="24"/>
        </w:rPr>
        <w:t>致</w:t>
      </w:r>
      <w:r>
        <w:rPr>
          <w:rFonts w:hint="eastAsia" w:ascii="宋体" w:hAnsi="宋体" w:eastAsia="宋体" w:cs="宋体"/>
          <w:sz w:val="24"/>
          <w:szCs w:val="24"/>
        </w:rPr>
        <w:t>奔牛镇招标办公室</w:t>
      </w:r>
      <w:r>
        <w:rPr>
          <w:rFonts w:hint="eastAsia" w:ascii="宋体" w:hAnsi="宋体" w:eastAsia="宋体" w:cs="宋体"/>
          <w:kern w:val="0"/>
          <w:sz w:val="24"/>
          <w:szCs w:val="24"/>
        </w:rPr>
        <w:t>：</w:t>
      </w:r>
    </w:p>
    <w:p w14:paraId="6189F893">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14:paraId="6AFFF5AB">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4BC99A4E">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29653BEE">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50F6CF23">
      <w:pPr>
        <w:widowControl/>
        <w:shd w:val="clear" w:color="auto" w:fill="FFFFFF"/>
        <w:spacing w:line="480" w:lineRule="exact"/>
        <w:ind w:firstLine="6480" w:firstLineChars="2700"/>
        <w:jc w:val="left"/>
        <w:rPr>
          <w:rFonts w:ascii="宋体" w:hAnsi="宋体" w:eastAsia="宋体" w:cs="宋体"/>
          <w:kern w:val="0"/>
          <w:sz w:val="24"/>
          <w:szCs w:val="24"/>
        </w:rPr>
      </w:pPr>
    </w:p>
    <w:p w14:paraId="21D47E20">
      <w:pPr>
        <w:widowControl/>
        <w:shd w:val="clear" w:color="auto" w:fill="FFFFFF"/>
        <w:spacing w:line="480" w:lineRule="exact"/>
        <w:ind w:firstLine="6480" w:firstLineChars="2700"/>
        <w:jc w:val="left"/>
        <w:rPr>
          <w:rFonts w:ascii="宋体" w:hAnsi="宋体" w:eastAsia="宋体" w:cs="宋体"/>
          <w:kern w:val="0"/>
          <w:sz w:val="24"/>
          <w:szCs w:val="24"/>
        </w:rPr>
      </w:pPr>
    </w:p>
    <w:p w14:paraId="67270F3A">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14:paraId="14B2C4B4">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14:paraId="4C95B7E2">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14:paraId="426D86CB">
      <w:pPr>
        <w:widowControl/>
        <w:shd w:val="clear" w:color="auto" w:fill="FFFFFF"/>
        <w:spacing w:line="480" w:lineRule="exact"/>
        <w:ind w:firstLine="6240" w:firstLineChars="2600"/>
        <w:jc w:val="left"/>
        <w:rPr>
          <w:rFonts w:ascii="宋体" w:hAnsi="宋体" w:eastAsia="宋体" w:cs="宋体"/>
          <w:kern w:val="0"/>
          <w:sz w:val="24"/>
          <w:szCs w:val="24"/>
        </w:rPr>
      </w:pPr>
    </w:p>
    <w:p w14:paraId="7A139D4F">
      <w:pPr>
        <w:widowControl/>
        <w:shd w:val="clear" w:color="auto" w:fill="FFFFFF"/>
        <w:spacing w:line="480" w:lineRule="exact"/>
        <w:ind w:firstLine="6240" w:firstLineChars="2600"/>
        <w:jc w:val="left"/>
        <w:rPr>
          <w:rFonts w:ascii="宋体" w:hAnsi="宋体" w:eastAsia="宋体" w:cs="宋体"/>
          <w:kern w:val="0"/>
          <w:sz w:val="24"/>
          <w:szCs w:val="24"/>
        </w:rPr>
      </w:pPr>
    </w:p>
    <w:p w14:paraId="75EC8BAB">
      <w:pPr>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     </w:t>
      </w:r>
    </w:p>
    <w:p w14:paraId="5E6570F6">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0A2D89B6">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14:paraId="2825DE44">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14:paraId="24C2AA7D">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14:paraId="5952DE08">
      <w:pPr>
        <w:widowControl/>
        <w:shd w:val="clear" w:color="auto" w:fill="FFFFFF"/>
        <w:spacing w:line="480" w:lineRule="exact"/>
        <w:ind w:firstLine="590"/>
        <w:jc w:val="left"/>
        <w:rPr>
          <w:rFonts w:ascii="宋体" w:hAnsi="宋体" w:eastAsia="宋体" w:cs="宋体"/>
          <w:kern w:val="0"/>
          <w:sz w:val="24"/>
          <w:szCs w:val="24"/>
        </w:rPr>
      </w:pPr>
    </w:p>
    <w:p w14:paraId="6FDFED74">
      <w:pPr>
        <w:spacing w:line="360" w:lineRule="auto"/>
        <w:jc w:val="center"/>
        <w:rPr>
          <w:rFonts w:ascii="宋体" w:hAnsi="宋体" w:eastAsia="宋体" w:cs="宋体"/>
          <w:sz w:val="24"/>
          <w:szCs w:val="24"/>
          <w:u w:val="single"/>
        </w:rPr>
      </w:pPr>
    </w:p>
    <w:p w14:paraId="25C6533E">
      <w:pPr>
        <w:spacing w:line="360" w:lineRule="auto"/>
        <w:jc w:val="center"/>
        <w:rPr>
          <w:rFonts w:ascii="宋体" w:hAnsi="宋体" w:eastAsia="宋体" w:cs="宋体"/>
          <w:sz w:val="24"/>
          <w:szCs w:val="24"/>
          <w:u w:val="single"/>
        </w:rPr>
      </w:pPr>
    </w:p>
    <w:p w14:paraId="5C3B7C18">
      <w:pPr>
        <w:spacing w:line="360" w:lineRule="auto"/>
        <w:jc w:val="center"/>
        <w:rPr>
          <w:rFonts w:ascii="宋体" w:hAnsi="宋体" w:eastAsia="宋体" w:cs="宋体"/>
          <w:sz w:val="24"/>
          <w:szCs w:val="24"/>
          <w:u w:val="single"/>
        </w:rPr>
      </w:pPr>
    </w:p>
    <w:p w14:paraId="3A7AB0A5">
      <w:pPr>
        <w:spacing w:line="360" w:lineRule="auto"/>
        <w:jc w:val="center"/>
        <w:rPr>
          <w:rFonts w:ascii="宋体" w:hAnsi="宋体" w:eastAsia="宋体" w:cs="宋体"/>
          <w:sz w:val="24"/>
          <w:szCs w:val="24"/>
          <w:u w:val="single"/>
        </w:rPr>
      </w:pPr>
    </w:p>
    <w:p w14:paraId="11CAC306">
      <w:pPr>
        <w:spacing w:line="440" w:lineRule="exact"/>
        <w:rPr>
          <w:rFonts w:ascii="宋体" w:hAnsi="宋体" w:eastAsia="宋体" w:cs="宋体"/>
          <w:sz w:val="24"/>
          <w:szCs w:val="24"/>
        </w:rPr>
      </w:pPr>
    </w:p>
    <w:p w14:paraId="4EC1772A">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14:paraId="688650ED">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14:paraId="332CAF0D">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sz w:val="24"/>
          <w:szCs w:val="24"/>
        </w:rPr>
        <w:t>奔牛镇招标办</w:t>
      </w:r>
      <w:r>
        <w:rPr>
          <w:rFonts w:hint="eastAsia" w:ascii="宋体" w:hAnsi="宋体" w:eastAsia="宋体" w:cs="宋体"/>
          <w:kern w:val="0"/>
          <w:sz w:val="24"/>
          <w:szCs w:val="24"/>
        </w:rPr>
        <w:t>：</w:t>
      </w:r>
    </w:p>
    <w:p w14:paraId="27DFADB8">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(意向承租人姓名)授权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（代理人的姓名）为本人的合法代理人，就贵方组织的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722765EF">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7BE5E2DE">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6B7F12C2">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534A4705">
      <w:pPr>
        <w:spacing w:line="360" w:lineRule="auto"/>
        <w:rPr>
          <w:rFonts w:ascii="宋体" w:hAnsi="宋体" w:eastAsia="宋体" w:cs="宋体"/>
          <w:color w:val="000000"/>
          <w:sz w:val="24"/>
          <w:szCs w:val="24"/>
        </w:rPr>
      </w:pPr>
    </w:p>
    <w:p w14:paraId="34C9DA8E">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14:paraId="49B9E774">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47BF47AD">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14:paraId="184034F4">
      <w:pPr>
        <w:spacing w:before="312" w:beforeLines="100" w:after="312"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397B7EA0">
      <w:pPr>
        <w:spacing w:before="312" w:beforeLines="100" w:after="312" w:afterLines="100" w:line="360" w:lineRule="auto"/>
        <w:ind w:left="640" w:leftChars="305"/>
        <w:jc w:val="center"/>
        <w:rPr>
          <w:rFonts w:ascii="宋体" w:hAnsi="宋体" w:eastAsia="宋体" w:cs="宋体"/>
          <w:color w:val="000000"/>
          <w:sz w:val="24"/>
          <w:szCs w:val="24"/>
        </w:rPr>
      </w:pPr>
    </w:p>
    <w:p w14:paraId="47588FB8">
      <w:pPr>
        <w:spacing w:before="312" w:beforeLines="100" w:after="312" w:afterLines="100" w:line="360" w:lineRule="auto"/>
        <w:jc w:val="center"/>
        <w:rPr>
          <w:rFonts w:ascii="宋体" w:hAnsi="宋体" w:eastAsia="宋体" w:cs="宋体"/>
          <w:color w:val="000000"/>
          <w:sz w:val="24"/>
          <w:szCs w:val="24"/>
        </w:rPr>
      </w:pPr>
    </w:p>
    <w:p w14:paraId="3867E01C">
      <w:pPr>
        <w:widowControl/>
        <w:jc w:val="left"/>
        <w:rPr>
          <w:rFonts w:ascii="宋体" w:hAnsi="宋体" w:eastAsia="宋体" w:cs="宋体"/>
          <w:sz w:val="24"/>
          <w:szCs w:val="24"/>
        </w:rPr>
      </w:pPr>
      <w:r>
        <w:rPr>
          <w:rFonts w:hint="eastAsia" w:ascii="宋体" w:hAnsi="宋体" w:eastAsia="宋体" w:cs="宋体"/>
          <w:sz w:val="24"/>
          <w:szCs w:val="24"/>
        </w:rPr>
        <w:br w:type="page"/>
      </w:r>
    </w:p>
    <w:p w14:paraId="626BB65A">
      <w:pPr>
        <w:spacing w:line="460" w:lineRule="exact"/>
        <w:rPr>
          <w:rFonts w:ascii="宋体" w:hAnsi="宋体" w:eastAsia="宋体" w:cs="宋体"/>
          <w:sz w:val="24"/>
          <w:szCs w:val="24"/>
        </w:rPr>
      </w:pPr>
      <w:r>
        <w:rPr>
          <w:rFonts w:hint="eastAsia" w:ascii="宋体" w:hAnsi="宋体" w:eastAsia="宋体" w:cs="宋体"/>
          <w:sz w:val="24"/>
          <w:szCs w:val="24"/>
        </w:rPr>
        <w:t xml:space="preserve">附件4： </w:t>
      </w:r>
    </w:p>
    <w:p w14:paraId="31CEBCE4">
      <w:pPr>
        <w:spacing w:line="460" w:lineRule="exact"/>
        <w:jc w:val="center"/>
        <w:rPr>
          <w:rFonts w:ascii="宋体" w:hAnsi="宋体" w:eastAsia="宋体" w:cs="宋体"/>
          <w:b/>
          <w:bCs/>
          <w:sz w:val="24"/>
          <w:szCs w:val="24"/>
        </w:rPr>
      </w:pPr>
      <w:r>
        <w:rPr>
          <w:rFonts w:hint="eastAsia" w:ascii="宋体" w:hAnsi="宋体" w:eastAsia="宋体" w:cs="宋体"/>
          <w:b/>
          <w:bCs/>
          <w:sz w:val="24"/>
          <w:szCs w:val="24"/>
          <w:highlight w:val="white"/>
        </w:rPr>
        <w:t>投标保证金</w:t>
      </w:r>
      <w:r>
        <w:rPr>
          <w:rFonts w:hint="eastAsia" w:ascii="宋体" w:hAnsi="宋体" w:eastAsia="宋体" w:cs="宋体"/>
          <w:b/>
          <w:bCs/>
          <w:sz w:val="24"/>
          <w:szCs w:val="24"/>
        </w:rPr>
        <w:t>说明</w:t>
      </w:r>
    </w:p>
    <w:p w14:paraId="3D5B875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highlight w:val="white"/>
        </w:rPr>
        <w:t>1、投标人在递交投标文件的同时，应按招标文件中“投标人须知前附表”规定的金额递交投标保证金。联合体投标的，其投标保证金由牵头人递交，并应符合招标文件中“投标人须知前附表”的规定。投标人应充分考虑投标保证金在途时间，确保投标保证金在</w:t>
      </w:r>
      <w:r>
        <w:rPr>
          <w:rFonts w:hint="eastAsia" w:ascii="宋体" w:hAnsi="宋体" w:eastAsia="宋体" w:cs="宋体"/>
          <w:sz w:val="24"/>
          <w:szCs w:val="24"/>
        </w:rPr>
        <w:t>2024年</w:t>
      </w:r>
      <w:r>
        <w:rPr>
          <w:rFonts w:hint="eastAsia" w:ascii="宋体" w:hAnsi="宋体" w:eastAsia="宋体" w:cs="宋体"/>
          <w:sz w:val="24"/>
          <w:szCs w:val="24"/>
          <w:lang w:eastAsia="zh-CN"/>
        </w:rPr>
        <w:t>12月27日</w:t>
      </w:r>
      <w:r>
        <w:rPr>
          <w:rFonts w:hint="eastAsia" w:ascii="宋体" w:hAnsi="宋体" w:eastAsia="宋体" w:cs="宋体"/>
          <w:sz w:val="24"/>
          <w:szCs w:val="24"/>
        </w:rPr>
        <w:t xml:space="preserve"> 16：00</w:t>
      </w:r>
      <w:r>
        <w:rPr>
          <w:rFonts w:hint="eastAsia" w:ascii="宋体" w:hAnsi="宋体" w:eastAsia="宋体" w:cs="宋体"/>
          <w:sz w:val="24"/>
          <w:szCs w:val="24"/>
          <w:highlight w:val="white"/>
        </w:rPr>
        <w:t>前到达投标保证金专用账户。如投标保证金在</w:t>
      </w:r>
      <w:r>
        <w:rPr>
          <w:rFonts w:hint="eastAsia" w:ascii="宋体" w:hAnsi="宋体" w:eastAsia="宋体" w:cs="宋体"/>
          <w:sz w:val="24"/>
          <w:szCs w:val="24"/>
        </w:rPr>
        <w:t>2024年</w:t>
      </w:r>
      <w:r>
        <w:rPr>
          <w:rFonts w:hint="eastAsia" w:ascii="宋体" w:hAnsi="宋体" w:eastAsia="宋体" w:cs="宋体"/>
          <w:sz w:val="24"/>
          <w:szCs w:val="24"/>
          <w:lang w:eastAsia="zh-CN"/>
        </w:rPr>
        <w:t>12月27日</w:t>
      </w:r>
      <w:r>
        <w:rPr>
          <w:rFonts w:hint="eastAsia" w:ascii="宋体" w:hAnsi="宋体" w:eastAsia="宋体" w:cs="宋体"/>
          <w:sz w:val="24"/>
          <w:szCs w:val="24"/>
        </w:rPr>
        <w:t xml:space="preserve"> 16：00</w:t>
      </w:r>
      <w:r>
        <w:rPr>
          <w:rFonts w:hint="eastAsia" w:ascii="宋体" w:hAnsi="宋体" w:eastAsia="宋体" w:cs="宋体"/>
          <w:sz w:val="24"/>
          <w:szCs w:val="24"/>
          <w:highlight w:val="white"/>
        </w:rPr>
        <w:t>前未到账，作未缴纳投标保证金处理。</w:t>
      </w:r>
    </w:p>
    <w:p w14:paraId="724EE763">
      <w:pPr>
        <w:spacing w:line="4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2、投标保证金递交的要求如下：</w:t>
      </w:r>
    </w:p>
    <w:p w14:paraId="74942AD4">
      <w:pPr>
        <w:spacing w:line="440" w:lineRule="exact"/>
        <w:ind w:firstLine="360" w:firstLineChars="1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（1）投标保证金专用账户：</w:t>
      </w:r>
    </w:p>
    <w:p w14:paraId="1F90F2F1">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收款人：常州市新北区奔牛稻麦原种场有限公司</w:t>
      </w:r>
    </w:p>
    <w:p w14:paraId="52E9F162">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开户行：江南农村商业银行常州市奔牛支行</w:t>
      </w:r>
    </w:p>
    <w:p w14:paraId="4925FD97">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账号：8633204215801201000005256</w:t>
      </w:r>
    </w:p>
    <w:p w14:paraId="48BDDB43">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地址：常州市新北区奔牛镇九里 </w:t>
      </w:r>
    </w:p>
    <w:p w14:paraId="681F7F5A">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联系电话：0519-83138022</w:t>
      </w:r>
    </w:p>
    <w:p w14:paraId="7F92864B">
      <w:pPr>
        <w:spacing w:line="440" w:lineRule="exact"/>
        <w:rPr>
          <w:rFonts w:ascii="宋体" w:hAnsi="宋体" w:eastAsia="宋体" w:cs="宋体"/>
          <w:sz w:val="24"/>
          <w:szCs w:val="24"/>
        </w:rPr>
      </w:pPr>
      <w:r>
        <w:rPr>
          <w:rFonts w:ascii="微软雅黑" w:hAnsi="微软雅黑" w:eastAsia="微软雅黑" w:cs="微软雅黑"/>
          <w:b/>
          <w:bCs/>
          <w:color w:val="000000"/>
          <w:sz w:val="22"/>
        </w:rPr>
        <w:t> </w:t>
      </w:r>
      <w:r>
        <w:rPr>
          <w:rFonts w:hint="eastAsia" w:ascii="微软雅黑" w:hAnsi="微软雅黑" w:eastAsia="微软雅黑" w:cs="微软雅黑"/>
          <w:b/>
          <w:bCs/>
          <w:color w:val="000000"/>
          <w:sz w:val="22"/>
        </w:rPr>
        <w:t>上述个人信息由于工作需要经机构或本人同意对外公布。</w:t>
      </w:r>
    </w:p>
    <w:p w14:paraId="23BF65C9">
      <w:pPr>
        <w:spacing w:line="440" w:lineRule="exact"/>
        <w:ind w:firstLine="240" w:firstLineChars="100"/>
        <w:rPr>
          <w:rFonts w:ascii="宋体" w:hAnsi="宋体" w:eastAsia="宋体" w:cs="宋体"/>
          <w:sz w:val="24"/>
          <w:szCs w:val="24"/>
        </w:rPr>
      </w:pPr>
      <w:r>
        <w:rPr>
          <w:rFonts w:hint="eastAsia" w:ascii="宋体" w:hAnsi="宋体" w:eastAsia="宋体" w:cs="宋体"/>
          <w:sz w:val="24"/>
          <w:szCs w:val="24"/>
        </w:rPr>
        <w:t>（2）投标保证金金额：</w:t>
      </w:r>
    </w:p>
    <w:p w14:paraId="3B679396">
      <w:pPr>
        <w:widowControl/>
        <w:snapToGrid w:val="0"/>
        <w:spacing w:line="380" w:lineRule="exact"/>
        <w:ind w:firstLine="560"/>
        <w:jc w:val="left"/>
        <w:rPr>
          <w:rFonts w:ascii="宋体" w:hAnsi="宋体" w:eastAsia="宋体" w:cs="宋体"/>
          <w:bCs/>
          <w:sz w:val="24"/>
          <w:szCs w:val="24"/>
        </w:rPr>
      </w:pPr>
      <w:r>
        <w:rPr>
          <w:rFonts w:hint="eastAsia" w:ascii="宋体" w:hAnsi="宋体" w:eastAsia="宋体" w:cs="宋体"/>
          <w:sz w:val="24"/>
          <w:szCs w:val="24"/>
        </w:rPr>
        <w:t>投标单位（自然人）每标段保证金，必须在2024年</w:t>
      </w:r>
      <w:r>
        <w:rPr>
          <w:rFonts w:hint="eastAsia" w:ascii="宋体" w:hAnsi="宋体" w:eastAsia="宋体" w:cs="宋体"/>
          <w:sz w:val="24"/>
          <w:szCs w:val="24"/>
          <w:lang w:eastAsia="zh-CN"/>
        </w:rPr>
        <w:t>12月27日</w:t>
      </w:r>
      <w:r>
        <w:rPr>
          <w:rFonts w:hint="eastAsia" w:ascii="宋体" w:hAnsi="宋体" w:eastAsia="宋体" w:cs="宋体"/>
          <w:sz w:val="24"/>
          <w:szCs w:val="24"/>
        </w:rPr>
        <w:t xml:space="preserve"> 16：00</w:t>
      </w:r>
      <w:r>
        <w:rPr>
          <w:rFonts w:hint="eastAsia" w:ascii="宋体" w:hAnsi="宋体" w:eastAsia="宋体" w:cs="宋体"/>
          <w:sz w:val="24"/>
          <w:szCs w:val="24"/>
          <w:highlight w:val="white"/>
        </w:rPr>
        <w:t>前</w:t>
      </w:r>
      <w:r>
        <w:rPr>
          <w:rFonts w:hint="eastAsia" w:ascii="宋体" w:hAnsi="宋体" w:eastAsia="宋体" w:cs="宋体"/>
          <w:sz w:val="24"/>
          <w:szCs w:val="24"/>
        </w:rPr>
        <w:t>时间前用转账支票、电汇、网上银行等方式（现金除外）自行将保证金从基本账户解进到保证金专用账户。（说明;保证金金额根据各单项物业分别缴纳，具体见物业简介）</w:t>
      </w:r>
    </w:p>
    <w:p w14:paraId="27043B21">
      <w:pPr>
        <w:spacing w:line="440" w:lineRule="exact"/>
        <w:ind w:firstLine="360" w:firstLineChars="150"/>
        <w:rPr>
          <w:rFonts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投标单位缴纳投标保证金后，凭银行进账单到奔牛镇财政所3楼303室开具投标保证金付款凭证【保证金付款凭证必须在</w:t>
      </w:r>
      <w:r>
        <w:rPr>
          <w:rFonts w:hint="eastAsia" w:ascii="宋体" w:hAnsi="宋体" w:eastAsia="宋体" w:cs="宋体"/>
          <w:sz w:val="24"/>
          <w:szCs w:val="24"/>
        </w:rPr>
        <w:t>2024年</w:t>
      </w:r>
      <w:r>
        <w:rPr>
          <w:rFonts w:hint="eastAsia" w:ascii="宋体" w:hAnsi="宋体" w:eastAsia="宋体" w:cs="宋体"/>
          <w:sz w:val="24"/>
          <w:szCs w:val="24"/>
          <w:lang w:eastAsia="zh-CN"/>
        </w:rPr>
        <w:t>12月27日</w:t>
      </w:r>
      <w:r>
        <w:rPr>
          <w:rFonts w:hint="eastAsia" w:ascii="宋体" w:hAnsi="宋体" w:eastAsia="宋体" w:cs="宋体"/>
          <w:sz w:val="24"/>
          <w:szCs w:val="24"/>
        </w:rPr>
        <w:t xml:space="preserve"> 16：00</w:t>
      </w:r>
      <w:r>
        <w:rPr>
          <w:rFonts w:hint="eastAsia" w:ascii="宋体" w:hAnsi="宋体" w:eastAsia="宋体" w:cs="宋体"/>
          <w:sz w:val="24"/>
          <w:szCs w:val="24"/>
          <w:highlight w:val="white"/>
        </w:rPr>
        <w:t>前</w:t>
      </w:r>
      <w:r>
        <w:rPr>
          <w:rFonts w:hint="eastAsia" w:ascii="宋体" w:hAnsi="宋体" w:eastAsia="宋体" w:cs="宋体"/>
          <w:kern w:val="0"/>
          <w:sz w:val="24"/>
          <w:szCs w:val="24"/>
        </w:rPr>
        <w:t>到账并换取，若已到账却没在规定时间来换取的，逾期不再换取】。</w:t>
      </w:r>
    </w:p>
    <w:p w14:paraId="4BB5A0D1">
      <w:pPr>
        <w:widowControl/>
        <w:spacing w:line="440" w:lineRule="exact"/>
        <w:ind w:firstLine="480" w:firstLineChars="200"/>
        <w:rPr>
          <w:rFonts w:ascii="宋体" w:hAnsi="宋体" w:eastAsia="宋体" w:cs="宋体"/>
          <w:sz w:val="24"/>
          <w:szCs w:val="24"/>
          <w:highlight w:val="white"/>
        </w:rPr>
      </w:pPr>
      <w:r>
        <w:rPr>
          <w:rFonts w:hint="eastAsia" w:ascii="宋体" w:hAnsi="宋体" w:eastAsia="宋体" w:cs="宋体"/>
          <w:sz w:val="24"/>
          <w:szCs w:val="24"/>
          <w:highlight w:val="white"/>
        </w:rPr>
        <w:t>3、投标保证金的退还：中标人的投标保证金在签订合同并缴纳足额租金后五个工作日内退还；其余投标人的投标保证金，在竞标结束后五个工作日内退还。投标保证金退还至缴纳账户。</w:t>
      </w:r>
    </w:p>
    <w:p w14:paraId="5452ED71">
      <w:pPr>
        <w:spacing w:line="360" w:lineRule="auto"/>
        <w:ind w:firstLine="470" w:firstLineChars="196"/>
        <w:rPr>
          <w:rFonts w:ascii="宋体" w:hAnsi="宋体" w:eastAsia="宋体" w:cs="宋体"/>
          <w:sz w:val="24"/>
          <w:szCs w:val="24"/>
        </w:rPr>
      </w:pPr>
      <w:r>
        <w:rPr>
          <w:rFonts w:hint="eastAsia" w:ascii="宋体" w:hAnsi="宋体" w:eastAsia="宋体" w:cs="宋体"/>
          <w:kern w:val="0"/>
          <w:sz w:val="24"/>
          <w:szCs w:val="24"/>
        </w:rPr>
        <w:t>注：有下列情形之一的,保证金不予退还：</w:t>
      </w:r>
      <w:r>
        <w:rPr>
          <w:rFonts w:hint="eastAsia" w:ascii="宋体" w:hAnsi="宋体" w:eastAsia="宋体" w:cs="宋体"/>
          <w:sz w:val="24"/>
          <w:szCs w:val="24"/>
        </w:rPr>
        <w:t>交易保证金：是指意向承租人为保证接受招租公告中的全部条件，并保证以不低于公示的租金底价承租标的而缴纳的保证金。若出现以下任何一种情形时，交易保证金作为违约金不予返还：</w:t>
      </w:r>
    </w:p>
    <w:p w14:paraId="7DF45AFC">
      <w:pPr>
        <w:spacing w:line="360" w:lineRule="auto"/>
        <w:ind w:firstLine="472" w:firstLineChars="197"/>
        <w:rPr>
          <w:rFonts w:ascii="宋体" w:hAnsi="宋体" w:eastAsia="宋体" w:cs="宋体"/>
          <w:sz w:val="24"/>
          <w:szCs w:val="24"/>
        </w:rPr>
      </w:pPr>
      <w:r>
        <w:rPr>
          <w:rFonts w:hint="eastAsia" w:ascii="宋体" w:hAnsi="宋体" w:eastAsia="宋体" w:cs="宋体"/>
          <w:sz w:val="24"/>
          <w:szCs w:val="24"/>
        </w:rPr>
        <w:t>（1）意向承租人在报名截止日后单方撤回承租申请的；</w:t>
      </w:r>
    </w:p>
    <w:p w14:paraId="17246F8F">
      <w:pPr>
        <w:spacing w:line="360" w:lineRule="auto"/>
        <w:ind w:firstLine="465" w:firstLineChars="194"/>
        <w:rPr>
          <w:rFonts w:ascii="宋体" w:hAnsi="宋体" w:eastAsia="宋体" w:cs="宋体"/>
          <w:sz w:val="24"/>
          <w:szCs w:val="24"/>
        </w:rPr>
      </w:pPr>
      <w:r>
        <w:rPr>
          <w:rFonts w:hint="eastAsia" w:ascii="宋体" w:hAnsi="宋体" w:eastAsia="宋体" w:cs="宋体"/>
          <w:sz w:val="24"/>
          <w:szCs w:val="24"/>
        </w:rPr>
        <w:t>（2）开标时，各意向承租人针对标的均不应价造成标的流拍的；</w:t>
      </w:r>
    </w:p>
    <w:p w14:paraId="5F36233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（3）成交后，承租人无正当理由不签署或未在规定的时间内签署《竞价成交确认书》或《房屋租赁合同书》的； </w:t>
      </w:r>
    </w:p>
    <w:p w14:paraId="15DD839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（4）成交后，承租人不支付或者未按期支付首期租金、承租押金及佣金的；</w:t>
      </w:r>
    </w:p>
    <w:p w14:paraId="4D745C8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（5）采用作弊、欺诈、强迫等有违公平的手段参与本次竞租的。</w:t>
      </w:r>
    </w:p>
    <w:p w14:paraId="4285185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kern w:val="0"/>
          <w:sz w:val="24"/>
          <w:szCs w:val="24"/>
        </w:rPr>
        <w:t>投标人涉嫌违法违规或被投诉,在调查处理期间,保证金暂不退还,待调查处理结果明确后按规定处理;</w:t>
      </w:r>
      <w:r>
        <w:rPr>
          <w:rFonts w:hint="eastAsia" w:ascii="宋体" w:hAnsi="宋体" w:eastAsia="宋体" w:cs="宋体"/>
          <w:sz w:val="24"/>
          <w:szCs w:val="24"/>
        </w:rPr>
        <w:t xml:space="preserve"> </w:t>
      </w:r>
    </w:p>
    <w:p w14:paraId="6CBFCB2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kern w:val="0"/>
          <w:sz w:val="24"/>
          <w:szCs w:val="24"/>
        </w:rPr>
        <w:t>法律法规或招标文件规定的其他情形。</w:t>
      </w:r>
    </w:p>
    <w:p w14:paraId="7CE68B4B">
      <w:pPr>
        <w:spacing w:line="360" w:lineRule="auto"/>
        <w:rPr>
          <w:rFonts w:ascii="宋体" w:hAnsi="宋体" w:eastAsia="宋体" w:cs="宋体"/>
          <w:sz w:val="24"/>
          <w:szCs w:val="24"/>
        </w:rPr>
      </w:pPr>
    </w:p>
    <w:p w14:paraId="6E94E7EA">
      <w:pPr>
        <w:spacing w:line="360" w:lineRule="auto"/>
        <w:rPr>
          <w:rFonts w:ascii="宋体" w:hAnsi="宋体" w:eastAsia="宋体" w:cs="宋体"/>
          <w:sz w:val="24"/>
          <w:szCs w:val="24"/>
        </w:rPr>
      </w:pPr>
      <w:r>
        <w:rPr>
          <w:rFonts w:hint="eastAsia" w:ascii="宋体" w:hAnsi="宋体" w:eastAsia="宋体" w:cs="宋体"/>
          <w:sz w:val="24"/>
          <w:szCs w:val="24"/>
        </w:rPr>
        <w:t xml:space="preserve">                   </w:t>
      </w: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29B26DD"/>
    <w:multiLevelType w:val="multilevel"/>
    <w:tmpl w:val="629B26DD"/>
    <w:lvl w:ilvl="0" w:tentative="0">
      <w:start w:val="5"/>
      <w:numFmt w:val="decimal"/>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ZTBhNmIyMTI1MThlMjE0NjhjYTM4ZTQ0NmE3ZmQifQ=="/>
  </w:docVars>
  <w:rsids>
    <w:rsidRoot w:val="009D7705"/>
    <w:rsid w:val="00027A9D"/>
    <w:rsid w:val="000549D9"/>
    <w:rsid w:val="00076D33"/>
    <w:rsid w:val="00093025"/>
    <w:rsid w:val="000A300B"/>
    <w:rsid w:val="000F2DE3"/>
    <w:rsid w:val="00107C7C"/>
    <w:rsid w:val="00165F4A"/>
    <w:rsid w:val="001C4D2B"/>
    <w:rsid w:val="00205DF3"/>
    <w:rsid w:val="00240C60"/>
    <w:rsid w:val="00242BA3"/>
    <w:rsid w:val="002564A7"/>
    <w:rsid w:val="00261687"/>
    <w:rsid w:val="002E23B9"/>
    <w:rsid w:val="00321B67"/>
    <w:rsid w:val="00326F15"/>
    <w:rsid w:val="00331841"/>
    <w:rsid w:val="003700DD"/>
    <w:rsid w:val="00370D32"/>
    <w:rsid w:val="00393AEA"/>
    <w:rsid w:val="003A2B2B"/>
    <w:rsid w:val="003D6442"/>
    <w:rsid w:val="00414F0C"/>
    <w:rsid w:val="00455326"/>
    <w:rsid w:val="00484DFD"/>
    <w:rsid w:val="00486368"/>
    <w:rsid w:val="004E0F1D"/>
    <w:rsid w:val="004E19A3"/>
    <w:rsid w:val="0050053B"/>
    <w:rsid w:val="00506AC0"/>
    <w:rsid w:val="005207C1"/>
    <w:rsid w:val="00551D7B"/>
    <w:rsid w:val="0055224D"/>
    <w:rsid w:val="00575C74"/>
    <w:rsid w:val="005C0658"/>
    <w:rsid w:val="00661A74"/>
    <w:rsid w:val="006B43FD"/>
    <w:rsid w:val="006C4EA0"/>
    <w:rsid w:val="006F76F3"/>
    <w:rsid w:val="00720D03"/>
    <w:rsid w:val="0074754D"/>
    <w:rsid w:val="007A732A"/>
    <w:rsid w:val="007B2F10"/>
    <w:rsid w:val="007B59D5"/>
    <w:rsid w:val="00816463"/>
    <w:rsid w:val="008233CA"/>
    <w:rsid w:val="00837D0A"/>
    <w:rsid w:val="00874226"/>
    <w:rsid w:val="00880090"/>
    <w:rsid w:val="008C57E1"/>
    <w:rsid w:val="008D14FA"/>
    <w:rsid w:val="0096442C"/>
    <w:rsid w:val="00970C97"/>
    <w:rsid w:val="009D7705"/>
    <w:rsid w:val="00A412AE"/>
    <w:rsid w:val="00B4760D"/>
    <w:rsid w:val="00B54764"/>
    <w:rsid w:val="00B85049"/>
    <w:rsid w:val="00B95D15"/>
    <w:rsid w:val="00BD1B95"/>
    <w:rsid w:val="00BD7381"/>
    <w:rsid w:val="00BE1921"/>
    <w:rsid w:val="00BE3E1F"/>
    <w:rsid w:val="00BE5F2F"/>
    <w:rsid w:val="00C70EE9"/>
    <w:rsid w:val="00C77ADA"/>
    <w:rsid w:val="00CA6151"/>
    <w:rsid w:val="00CD4DAA"/>
    <w:rsid w:val="00CE72DA"/>
    <w:rsid w:val="00CF5DB2"/>
    <w:rsid w:val="00D37F22"/>
    <w:rsid w:val="00D4049D"/>
    <w:rsid w:val="00D52098"/>
    <w:rsid w:val="00D87E1C"/>
    <w:rsid w:val="00DA5343"/>
    <w:rsid w:val="00DE43BE"/>
    <w:rsid w:val="00E47010"/>
    <w:rsid w:val="00EE74A8"/>
    <w:rsid w:val="00F34C77"/>
    <w:rsid w:val="00F34EFD"/>
    <w:rsid w:val="00F532AD"/>
    <w:rsid w:val="01C27CA6"/>
    <w:rsid w:val="01D97F4F"/>
    <w:rsid w:val="033259E7"/>
    <w:rsid w:val="03332CC0"/>
    <w:rsid w:val="03C55231"/>
    <w:rsid w:val="04A02481"/>
    <w:rsid w:val="054322E1"/>
    <w:rsid w:val="05814EBD"/>
    <w:rsid w:val="063216BD"/>
    <w:rsid w:val="068B5D96"/>
    <w:rsid w:val="06921FDB"/>
    <w:rsid w:val="069B5E85"/>
    <w:rsid w:val="06A92456"/>
    <w:rsid w:val="07040793"/>
    <w:rsid w:val="07E95BEE"/>
    <w:rsid w:val="081D6CA3"/>
    <w:rsid w:val="087A0AE6"/>
    <w:rsid w:val="09620772"/>
    <w:rsid w:val="0C2C55B3"/>
    <w:rsid w:val="0DBD5632"/>
    <w:rsid w:val="0EFB1A21"/>
    <w:rsid w:val="0F357D16"/>
    <w:rsid w:val="0F5E64D6"/>
    <w:rsid w:val="10FE7E4C"/>
    <w:rsid w:val="11773F99"/>
    <w:rsid w:val="117B3C5D"/>
    <w:rsid w:val="12597020"/>
    <w:rsid w:val="133B724D"/>
    <w:rsid w:val="14033401"/>
    <w:rsid w:val="140E1D0C"/>
    <w:rsid w:val="1496338C"/>
    <w:rsid w:val="15711280"/>
    <w:rsid w:val="15D91380"/>
    <w:rsid w:val="15FF7A78"/>
    <w:rsid w:val="162A7FF5"/>
    <w:rsid w:val="1761630E"/>
    <w:rsid w:val="17660CE7"/>
    <w:rsid w:val="17B46DA6"/>
    <w:rsid w:val="17C2578F"/>
    <w:rsid w:val="17F168D2"/>
    <w:rsid w:val="187F1322"/>
    <w:rsid w:val="197C601E"/>
    <w:rsid w:val="198A331B"/>
    <w:rsid w:val="1A1D7D25"/>
    <w:rsid w:val="1A461F5D"/>
    <w:rsid w:val="1A733161"/>
    <w:rsid w:val="1A996F7B"/>
    <w:rsid w:val="1AE424CD"/>
    <w:rsid w:val="1B7B3FD7"/>
    <w:rsid w:val="1B920882"/>
    <w:rsid w:val="1BE76F14"/>
    <w:rsid w:val="1CF25FAF"/>
    <w:rsid w:val="1D181B85"/>
    <w:rsid w:val="1EC0619A"/>
    <w:rsid w:val="20B861F5"/>
    <w:rsid w:val="21E335B3"/>
    <w:rsid w:val="220724E3"/>
    <w:rsid w:val="22380187"/>
    <w:rsid w:val="22537D66"/>
    <w:rsid w:val="22DB78DD"/>
    <w:rsid w:val="2407309B"/>
    <w:rsid w:val="24D665AE"/>
    <w:rsid w:val="253C002F"/>
    <w:rsid w:val="25951A13"/>
    <w:rsid w:val="259674AD"/>
    <w:rsid w:val="25AE0639"/>
    <w:rsid w:val="26B3559A"/>
    <w:rsid w:val="26B45BAF"/>
    <w:rsid w:val="27313F6F"/>
    <w:rsid w:val="27A26C1B"/>
    <w:rsid w:val="28D74770"/>
    <w:rsid w:val="28F4690B"/>
    <w:rsid w:val="29865427"/>
    <w:rsid w:val="2A275097"/>
    <w:rsid w:val="2A3F4BEF"/>
    <w:rsid w:val="2A614B6C"/>
    <w:rsid w:val="2A7F3244"/>
    <w:rsid w:val="2AC37984"/>
    <w:rsid w:val="2B2A4B4F"/>
    <w:rsid w:val="2BD25D7E"/>
    <w:rsid w:val="2CCB631B"/>
    <w:rsid w:val="2CD35BCE"/>
    <w:rsid w:val="2D776CE0"/>
    <w:rsid w:val="2E993042"/>
    <w:rsid w:val="2F5960F5"/>
    <w:rsid w:val="2F9E3ABB"/>
    <w:rsid w:val="2FB12636"/>
    <w:rsid w:val="30040918"/>
    <w:rsid w:val="306270E5"/>
    <w:rsid w:val="30B6527B"/>
    <w:rsid w:val="30BB50F1"/>
    <w:rsid w:val="30C84D61"/>
    <w:rsid w:val="310444A3"/>
    <w:rsid w:val="320F0635"/>
    <w:rsid w:val="32982F29"/>
    <w:rsid w:val="32ED3A88"/>
    <w:rsid w:val="33485731"/>
    <w:rsid w:val="33A505BB"/>
    <w:rsid w:val="33ED64B6"/>
    <w:rsid w:val="34B65AB4"/>
    <w:rsid w:val="34DF462E"/>
    <w:rsid w:val="3542727C"/>
    <w:rsid w:val="3557589F"/>
    <w:rsid w:val="36462C33"/>
    <w:rsid w:val="36747241"/>
    <w:rsid w:val="36BB6556"/>
    <w:rsid w:val="36F268D1"/>
    <w:rsid w:val="37FB254A"/>
    <w:rsid w:val="39FA447E"/>
    <w:rsid w:val="3AF5066A"/>
    <w:rsid w:val="3B3332CE"/>
    <w:rsid w:val="3B486DF3"/>
    <w:rsid w:val="3B7F7FED"/>
    <w:rsid w:val="3B980AA2"/>
    <w:rsid w:val="3BB16FD5"/>
    <w:rsid w:val="3C487939"/>
    <w:rsid w:val="3C7D2C3E"/>
    <w:rsid w:val="3CC64D02"/>
    <w:rsid w:val="3D554211"/>
    <w:rsid w:val="3DD376D7"/>
    <w:rsid w:val="3E123D6F"/>
    <w:rsid w:val="3F014D82"/>
    <w:rsid w:val="3F2B62F0"/>
    <w:rsid w:val="3FA41A31"/>
    <w:rsid w:val="400A0361"/>
    <w:rsid w:val="403515B2"/>
    <w:rsid w:val="413C18CD"/>
    <w:rsid w:val="41800873"/>
    <w:rsid w:val="429A49A0"/>
    <w:rsid w:val="43951352"/>
    <w:rsid w:val="43AF64F0"/>
    <w:rsid w:val="43B82984"/>
    <w:rsid w:val="4508524C"/>
    <w:rsid w:val="454F46E5"/>
    <w:rsid w:val="45553C1A"/>
    <w:rsid w:val="45ED5B56"/>
    <w:rsid w:val="46E65A05"/>
    <w:rsid w:val="47706643"/>
    <w:rsid w:val="47DC60C9"/>
    <w:rsid w:val="490221DB"/>
    <w:rsid w:val="491B2F0E"/>
    <w:rsid w:val="49A46D2E"/>
    <w:rsid w:val="4A740E4C"/>
    <w:rsid w:val="4A8113EE"/>
    <w:rsid w:val="4ABE5F47"/>
    <w:rsid w:val="4AF02072"/>
    <w:rsid w:val="4B342FA5"/>
    <w:rsid w:val="4B8675C9"/>
    <w:rsid w:val="4CBE11B0"/>
    <w:rsid w:val="4D3C578A"/>
    <w:rsid w:val="4D422183"/>
    <w:rsid w:val="4D442A0B"/>
    <w:rsid w:val="4D503FED"/>
    <w:rsid w:val="4DB25A3C"/>
    <w:rsid w:val="4DE838C5"/>
    <w:rsid w:val="4E82224D"/>
    <w:rsid w:val="4FB04B68"/>
    <w:rsid w:val="4FBB1F56"/>
    <w:rsid w:val="50072A0B"/>
    <w:rsid w:val="50C256A5"/>
    <w:rsid w:val="51BA7CF2"/>
    <w:rsid w:val="51C56EC3"/>
    <w:rsid w:val="522C3B60"/>
    <w:rsid w:val="5307633F"/>
    <w:rsid w:val="54315721"/>
    <w:rsid w:val="546C76AF"/>
    <w:rsid w:val="55A01294"/>
    <w:rsid w:val="56C336C6"/>
    <w:rsid w:val="57392582"/>
    <w:rsid w:val="576D6204"/>
    <w:rsid w:val="57831D16"/>
    <w:rsid w:val="57EA58F1"/>
    <w:rsid w:val="591E4E4A"/>
    <w:rsid w:val="5A294E30"/>
    <w:rsid w:val="5ABE762B"/>
    <w:rsid w:val="5B2F24FD"/>
    <w:rsid w:val="5B7F2670"/>
    <w:rsid w:val="5B977B3E"/>
    <w:rsid w:val="5BF06969"/>
    <w:rsid w:val="5C236BF9"/>
    <w:rsid w:val="5C6572CA"/>
    <w:rsid w:val="5CBD7BB2"/>
    <w:rsid w:val="5F497AD8"/>
    <w:rsid w:val="5FE225C2"/>
    <w:rsid w:val="60CC4F30"/>
    <w:rsid w:val="612A51BE"/>
    <w:rsid w:val="61DA2E84"/>
    <w:rsid w:val="62CC4571"/>
    <w:rsid w:val="632223E3"/>
    <w:rsid w:val="643B1A19"/>
    <w:rsid w:val="64D717D3"/>
    <w:rsid w:val="655D3CF7"/>
    <w:rsid w:val="662F6AE9"/>
    <w:rsid w:val="664A48C8"/>
    <w:rsid w:val="66835035"/>
    <w:rsid w:val="66836977"/>
    <w:rsid w:val="66EF33C3"/>
    <w:rsid w:val="67130E3E"/>
    <w:rsid w:val="676B1578"/>
    <w:rsid w:val="67D77497"/>
    <w:rsid w:val="69301E44"/>
    <w:rsid w:val="6A0A6AA1"/>
    <w:rsid w:val="6A8A47B7"/>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D67BAC"/>
    <w:rsid w:val="71DC40A5"/>
    <w:rsid w:val="72795105"/>
    <w:rsid w:val="727E6F0A"/>
    <w:rsid w:val="73457BC2"/>
    <w:rsid w:val="738C4BF9"/>
    <w:rsid w:val="73C70590"/>
    <w:rsid w:val="73DA3F9C"/>
    <w:rsid w:val="740018D8"/>
    <w:rsid w:val="74E104EA"/>
    <w:rsid w:val="757E64AD"/>
    <w:rsid w:val="75FF3C89"/>
    <w:rsid w:val="7628162D"/>
    <w:rsid w:val="77884926"/>
    <w:rsid w:val="785A760E"/>
    <w:rsid w:val="798A2677"/>
    <w:rsid w:val="7B2571CA"/>
    <w:rsid w:val="7B364EF4"/>
    <w:rsid w:val="7BE852F3"/>
    <w:rsid w:val="7CDF55A9"/>
    <w:rsid w:val="7D2378BD"/>
    <w:rsid w:val="7D3D7D79"/>
    <w:rsid w:val="7D8B644F"/>
    <w:rsid w:val="7E0701A3"/>
    <w:rsid w:val="7E4C00EA"/>
    <w:rsid w:val="7F9B734D"/>
    <w:rsid w:val="7FDE0311"/>
    <w:rsid w:val="7FF9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TML Definition"/>
    <w:basedOn w:val="7"/>
    <w:autoRedefine/>
    <w:semiHidden/>
    <w:unhideWhenUsed/>
    <w:qFormat/>
    <w:uiPriority w:val="99"/>
  </w:style>
  <w:style w:type="character" w:styleId="11">
    <w:name w:val="HTML Acronym"/>
    <w:basedOn w:val="7"/>
    <w:autoRedefine/>
    <w:semiHidden/>
    <w:unhideWhenUsed/>
    <w:qFormat/>
    <w:uiPriority w:val="99"/>
  </w:style>
  <w:style w:type="character" w:styleId="12">
    <w:name w:val="HTML Variable"/>
    <w:basedOn w:val="7"/>
    <w:autoRedefine/>
    <w:semiHidden/>
    <w:unhideWhenUsed/>
    <w:qFormat/>
    <w:uiPriority w:val="99"/>
  </w:style>
  <w:style w:type="character" w:styleId="13">
    <w:name w:val="Hyperlink"/>
    <w:basedOn w:val="7"/>
    <w:autoRedefine/>
    <w:semiHidden/>
    <w:unhideWhenUsed/>
    <w:qFormat/>
    <w:uiPriority w:val="99"/>
    <w:rPr>
      <w:color w:val="333333"/>
      <w:u w:val="none"/>
    </w:rPr>
  </w:style>
  <w:style w:type="character" w:styleId="14">
    <w:name w:val="HTML Code"/>
    <w:basedOn w:val="7"/>
    <w:autoRedefine/>
    <w:semiHidden/>
    <w:unhideWhenUsed/>
    <w:qFormat/>
    <w:uiPriority w:val="99"/>
    <w:rPr>
      <w:rFonts w:ascii="Courier New" w:hAnsi="Courier New"/>
      <w:sz w:val="20"/>
    </w:rPr>
  </w:style>
  <w:style w:type="character" w:styleId="15">
    <w:name w:val="HTML Cite"/>
    <w:basedOn w:val="7"/>
    <w:autoRedefine/>
    <w:semiHidden/>
    <w:unhideWhenUsed/>
    <w:qFormat/>
    <w:uiPriority w:val="99"/>
  </w:style>
  <w:style w:type="paragraph" w:styleId="16">
    <w:name w:val="List Paragraph"/>
    <w:basedOn w:val="1"/>
    <w:autoRedefine/>
    <w:qFormat/>
    <w:uiPriority w:val="34"/>
    <w:pPr>
      <w:ind w:firstLine="420" w:firstLineChars="200"/>
    </w:pPr>
  </w:style>
  <w:style w:type="character" w:customStyle="1" w:styleId="17">
    <w:name w:val="页眉 字符"/>
    <w:basedOn w:val="7"/>
    <w:link w:val="4"/>
    <w:autoRedefine/>
    <w:qFormat/>
    <w:uiPriority w:val="99"/>
    <w:rPr>
      <w:sz w:val="18"/>
      <w:szCs w:val="18"/>
    </w:rPr>
  </w:style>
  <w:style w:type="character" w:customStyle="1" w:styleId="18">
    <w:name w:val="页脚 字符"/>
    <w:basedOn w:val="7"/>
    <w:link w:val="3"/>
    <w:autoRedefine/>
    <w:qFormat/>
    <w:uiPriority w:val="99"/>
    <w:rPr>
      <w:sz w:val="18"/>
      <w:szCs w:val="18"/>
    </w:rPr>
  </w:style>
  <w:style w:type="paragraph" w:styleId="19">
    <w:name w:val="No Spacing"/>
    <w:basedOn w:val="1"/>
    <w:autoRedefine/>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autoRedefine/>
    <w:qFormat/>
    <w:uiPriority w:val="0"/>
    <w:rPr>
      <w:sz w:val="18"/>
      <w:szCs w:val="18"/>
    </w:rPr>
  </w:style>
  <w:style w:type="character" w:customStyle="1" w:styleId="21">
    <w:name w:val="fr3"/>
    <w:basedOn w:val="7"/>
    <w:autoRedefine/>
    <w:qFormat/>
    <w:uiPriority w:val="0"/>
  </w:style>
  <w:style w:type="character" w:customStyle="1" w:styleId="22">
    <w:name w:val="fr4"/>
    <w:basedOn w:val="7"/>
    <w:autoRedefine/>
    <w:qFormat/>
    <w:uiPriority w:val="0"/>
  </w:style>
  <w:style w:type="character" w:customStyle="1" w:styleId="23">
    <w:name w:val="info"/>
    <w:basedOn w:val="7"/>
    <w:autoRedefine/>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xt256.com</Company>
  <Pages>7</Pages>
  <Words>2910</Words>
  <Characters>3044</Characters>
  <Lines>25</Lines>
  <Paragraphs>7</Paragraphs>
  <TotalTime>7</TotalTime>
  <ScaleCrop>false</ScaleCrop>
  <LinksUpToDate>false</LinksUpToDate>
  <CharactersWithSpaces>3496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2018-01-31T06:35:00Z</dcterms:created>
  <dc:creator>admin</dc:creator>
  <cp:lastModifiedBy>叶子</cp:lastModifiedBy>
  <cp:lastPrinted>2021-12-03T06:11:00Z</cp:lastPrinted>
  <dcterms:modified xsi:type="dcterms:W3CDTF">2024-12-25T02:41:23Z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B851818319C5447BB2C656F73B16910E_13</vt:lpwstr>
  </property>
  <property fmtid="{D5CDD505-2E9C-101B-9397-08002B2CF9AE}" pid="4" name="KSOTemplateDocerSaveRecord">
    <vt:lpwstr>eyJoZGlkIjoiNDRiZTBhNmIyMTI1MThlMjE0NjhjYTM4ZTQ0NmE3ZmQiLCJ1c2VySWQiOiIyMjA0MzE3OTEifQ==</vt:lpwstr>
  </property>
</Properties>
</file>