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26C4">
      <w:pPr>
        <w:jc w:val="center"/>
        <w:rPr>
          <w:rFonts w:ascii="黑体" w:hAnsi="黑体" w:eastAsia="黑体"/>
          <w:sz w:val="36"/>
          <w:szCs w:val="36"/>
        </w:rPr>
      </w:pPr>
      <w:r>
        <w:rPr>
          <w:rFonts w:hint="eastAsia" w:ascii="黑体" w:hAnsi="黑体" w:eastAsia="黑体"/>
          <w:sz w:val="36"/>
          <w:szCs w:val="36"/>
        </w:rPr>
        <w:t>专利侵权纠纷行政裁决公示</w:t>
      </w:r>
    </w:p>
    <w:tbl>
      <w:tblPr>
        <w:tblStyle w:val="5"/>
        <w:tblpPr w:leftFromText="180" w:rightFromText="180" w:vertAnchor="text" w:horzAnchor="margin" w:tblpXSpec="center" w:tblpY="1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938"/>
      </w:tblGrid>
      <w:tr w14:paraId="4DA1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1EADEA6">
            <w:pPr>
              <w:jc w:val="center"/>
              <w:rPr>
                <w:rFonts w:ascii="黑体" w:hAnsi="黑体" w:eastAsia="黑体"/>
                <w:sz w:val="28"/>
                <w:szCs w:val="28"/>
              </w:rPr>
            </w:pPr>
            <w:r>
              <w:rPr>
                <w:rFonts w:hint="eastAsia" w:ascii="黑体" w:hAnsi="黑体" w:eastAsia="黑体"/>
                <w:sz w:val="28"/>
                <w:szCs w:val="28"/>
              </w:rPr>
              <w:t>决定书文号</w:t>
            </w:r>
          </w:p>
        </w:tc>
        <w:tc>
          <w:tcPr>
            <w:tcW w:w="7938" w:type="dxa"/>
          </w:tcPr>
          <w:p w14:paraId="0B70A3E7">
            <w:pPr>
              <w:spacing w:line="480" w:lineRule="exact"/>
              <w:jc w:val="center"/>
              <w:rPr>
                <w:rFonts w:ascii="仿宋_GB2312" w:hAnsi="黑体" w:eastAsia="仿宋_GB2312"/>
                <w:sz w:val="32"/>
                <w:szCs w:val="32"/>
              </w:rPr>
            </w:pPr>
            <w:r>
              <w:rPr>
                <w:rFonts w:hint="eastAsia" w:ascii="仿宋_GB2312" w:hAnsi="黑体" w:eastAsia="仿宋_GB2312"/>
                <w:sz w:val="32"/>
                <w:szCs w:val="32"/>
              </w:rPr>
              <w:t>常新知法裁字</w:t>
            </w:r>
            <w:r>
              <w:rPr>
                <w:rFonts w:hint="eastAsia" w:ascii="仿宋_GB2312" w:hAnsi="仿宋_GB2312" w:eastAsia="仿宋_GB2312" w:cs="仿宋_GB2312"/>
                <w:sz w:val="32"/>
                <w:szCs w:val="32"/>
              </w:rPr>
              <w:t>〔</w:t>
            </w:r>
            <w:r>
              <w:rPr>
                <w:rFonts w:hint="eastAsia" w:ascii="仿宋_GB2312" w:hAnsi="黑体" w:eastAsia="仿宋_GB2312"/>
                <w:sz w:val="32"/>
                <w:szCs w:val="32"/>
              </w:rPr>
              <w:t>2024</w:t>
            </w:r>
            <w:r>
              <w:rPr>
                <w:rFonts w:hint="eastAsia" w:ascii="仿宋_GB2312" w:hAnsi="仿宋_GB2312" w:eastAsia="仿宋_GB2312" w:cs="仿宋_GB2312"/>
                <w:sz w:val="32"/>
                <w:szCs w:val="32"/>
              </w:rPr>
              <w:t>〕</w:t>
            </w:r>
            <w:bookmarkStart w:id="0" w:name="_GoBack"/>
            <w:bookmarkEnd w:id="0"/>
            <w:r>
              <w:rPr>
                <w:rFonts w:hint="eastAsia" w:ascii="仿宋_GB2312" w:hAnsi="黑体" w:eastAsia="仿宋_GB2312"/>
                <w:sz w:val="32"/>
                <w:szCs w:val="32"/>
              </w:rPr>
              <w:t>02号</w:t>
            </w:r>
          </w:p>
        </w:tc>
      </w:tr>
      <w:tr w14:paraId="5CD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68" w:type="dxa"/>
            <w:vAlign w:val="center"/>
          </w:tcPr>
          <w:p w14:paraId="3AE2061A">
            <w:pPr>
              <w:jc w:val="center"/>
              <w:rPr>
                <w:rFonts w:ascii="黑体" w:hAnsi="黑体" w:eastAsia="黑体"/>
                <w:sz w:val="28"/>
                <w:szCs w:val="28"/>
              </w:rPr>
            </w:pPr>
            <w:r>
              <w:rPr>
                <w:rFonts w:hint="eastAsia" w:ascii="黑体" w:hAnsi="黑体" w:eastAsia="黑体"/>
                <w:sz w:val="28"/>
                <w:szCs w:val="28"/>
              </w:rPr>
              <w:t>案件名称</w:t>
            </w:r>
          </w:p>
        </w:tc>
        <w:tc>
          <w:tcPr>
            <w:tcW w:w="7938" w:type="dxa"/>
          </w:tcPr>
          <w:p w14:paraId="2609943D">
            <w:pPr>
              <w:spacing w:line="480" w:lineRule="exact"/>
              <w:jc w:val="center"/>
              <w:rPr>
                <w:rFonts w:hint="eastAsia" w:ascii="仿宋_GB2312" w:hAnsi="仿宋" w:eastAsia="仿宋_GB2312"/>
                <w:kern w:val="10"/>
                <w:position w:val="-4"/>
                <w:sz w:val="32"/>
                <w:szCs w:val="32"/>
              </w:rPr>
            </w:pPr>
            <w:r>
              <w:rPr>
                <w:rFonts w:hint="eastAsia" w:ascii="仿宋_GB2312" w:hAnsi="仿宋" w:eastAsia="仿宋_GB2312"/>
                <w:kern w:val="10"/>
                <w:position w:val="-4"/>
                <w:sz w:val="32"/>
                <w:szCs w:val="32"/>
              </w:rPr>
              <w:t>常州前程车辆配件有限公司诉江苏镭朋照明科技有限</w:t>
            </w:r>
          </w:p>
          <w:p w14:paraId="2FEB9EB5">
            <w:pPr>
              <w:spacing w:line="480" w:lineRule="exact"/>
              <w:jc w:val="center"/>
              <w:rPr>
                <w:rFonts w:ascii="仿宋_GB2312" w:hAnsi="黑体" w:eastAsia="仿宋_GB2312"/>
                <w:sz w:val="32"/>
                <w:szCs w:val="32"/>
              </w:rPr>
            </w:pPr>
            <w:r>
              <w:rPr>
                <w:rFonts w:hint="eastAsia" w:ascii="仿宋_GB2312" w:hAnsi="仿宋" w:eastAsia="仿宋_GB2312"/>
                <w:kern w:val="10"/>
                <w:position w:val="-4"/>
                <w:sz w:val="32"/>
                <w:szCs w:val="32"/>
              </w:rPr>
              <w:t>公司外观设计专利侵权纠纷案</w:t>
            </w:r>
          </w:p>
        </w:tc>
      </w:tr>
      <w:tr w14:paraId="482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68" w:type="dxa"/>
            <w:vAlign w:val="center"/>
          </w:tcPr>
          <w:p w14:paraId="6D90729E">
            <w:pPr>
              <w:jc w:val="center"/>
              <w:rPr>
                <w:rFonts w:ascii="黑体" w:hAnsi="黑体" w:eastAsia="黑体"/>
                <w:sz w:val="28"/>
                <w:szCs w:val="28"/>
              </w:rPr>
            </w:pPr>
            <w:r>
              <w:rPr>
                <w:rFonts w:hint="eastAsia" w:ascii="黑体" w:hAnsi="黑体" w:eastAsia="黑体"/>
                <w:sz w:val="28"/>
                <w:szCs w:val="28"/>
              </w:rPr>
              <w:t>涉案专利</w:t>
            </w:r>
          </w:p>
        </w:tc>
        <w:tc>
          <w:tcPr>
            <w:tcW w:w="7938" w:type="dxa"/>
          </w:tcPr>
          <w:p w14:paraId="6B57A8D5">
            <w:pPr>
              <w:spacing w:line="480" w:lineRule="exact"/>
              <w:jc w:val="center"/>
              <w:rPr>
                <w:rFonts w:ascii="仿宋_GB2312" w:hAnsi="黑体" w:eastAsia="仿宋_GB2312"/>
                <w:sz w:val="32"/>
                <w:szCs w:val="32"/>
              </w:rPr>
            </w:pPr>
            <w:r>
              <w:rPr>
                <w:rFonts w:hint="eastAsia" w:ascii="仿宋_GB2312" w:hAnsi="黑体" w:eastAsia="仿宋_GB2312"/>
                <w:sz w:val="32"/>
                <w:szCs w:val="32"/>
              </w:rPr>
              <w:t>专利号： ZL202230786598.7</w:t>
            </w:r>
          </w:p>
          <w:p w14:paraId="3E48A4AA">
            <w:pPr>
              <w:spacing w:line="480" w:lineRule="exact"/>
              <w:jc w:val="center"/>
              <w:rPr>
                <w:rFonts w:ascii="仿宋_GB2312" w:hAnsi="黑体" w:eastAsia="仿宋_GB2312"/>
                <w:sz w:val="32"/>
                <w:szCs w:val="32"/>
              </w:rPr>
            </w:pPr>
            <w:r>
              <w:rPr>
                <w:rFonts w:hint="eastAsia" w:ascii="仿宋_GB2312" w:hAnsi="黑体" w:eastAsia="仿宋_GB2312"/>
                <w:sz w:val="32"/>
                <w:szCs w:val="32"/>
              </w:rPr>
              <w:t>专利名称：双阅读灯(路虎卫士后备箱内饰板）</w:t>
            </w:r>
          </w:p>
        </w:tc>
      </w:tr>
      <w:tr w14:paraId="6471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68" w:type="dxa"/>
            <w:vAlign w:val="center"/>
          </w:tcPr>
          <w:p w14:paraId="0AF55033">
            <w:pPr>
              <w:jc w:val="center"/>
              <w:rPr>
                <w:rFonts w:ascii="黑体" w:hAnsi="黑体" w:eastAsia="黑体"/>
                <w:sz w:val="28"/>
                <w:szCs w:val="28"/>
              </w:rPr>
            </w:pPr>
            <w:r>
              <w:rPr>
                <w:rFonts w:hint="eastAsia" w:ascii="黑体" w:hAnsi="黑体" w:eastAsia="黑体"/>
                <w:sz w:val="28"/>
                <w:szCs w:val="28"/>
              </w:rPr>
              <w:t>请求人</w:t>
            </w:r>
          </w:p>
        </w:tc>
        <w:tc>
          <w:tcPr>
            <w:tcW w:w="7938" w:type="dxa"/>
          </w:tcPr>
          <w:p w14:paraId="39096843">
            <w:pPr>
              <w:spacing w:line="480" w:lineRule="exact"/>
              <w:jc w:val="center"/>
              <w:rPr>
                <w:rFonts w:ascii="仿宋_GB2312" w:hAnsi="黑体" w:eastAsia="仿宋_GB2312"/>
                <w:sz w:val="32"/>
                <w:szCs w:val="32"/>
              </w:rPr>
            </w:pPr>
            <w:r>
              <w:rPr>
                <w:rFonts w:hint="eastAsia" w:ascii="仿宋_GB2312" w:hAnsi="仿宋" w:eastAsia="仿宋_GB2312"/>
                <w:kern w:val="10"/>
                <w:position w:val="-4"/>
                <w:sz w:val="32"/>
                <w:szCs w:val="32"/>
              </w:rPr>
              <w:t>常州前程车辆配件有限公司</w:t>
            </w:r>
          </w:p>
        </w:tc>
      </w:tr>
      <w:tr w14:paraId="06F1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vAlign w:val="center"/>
          </w:tcPr>
          <w:p w14:paraId="4623C63A">
            <w:pPr>
              <w:jc w:val="center"/>
              <w:rPr>
                <w:rFonts w:ascii="黑体" w:hAnsi="黑体" w:eastAsia="黑体"/>
                <w:sz w:val="28"/>
                <w:szCs w:val="28"/>
              </w:rPr>
            </w:pPr>
            <w:r>
              <w:rPr>
                <w:rFonts w:hint="eastAsia" w:ascii="黑体" w:hAnsi="黑体" w:eastAsia="黑体"/>
                <w:sz w:val="28"/>
                <w:szCs w:val="28"/>
              </w:rPr>
              <w:t>被请求人</w:t>
            </w:r>
          </w:p>
        </w:tc>
        <w:tc>
          <w:tcPr>
            <w:tcW w:w="7938" w:type="dxa"/>
          </w:tcPr>
          <w:p w14:paraId="3A95FA35">
            <w:pPr>
              <w:spacing w:line="480" w:lineRule="exact"/>
              <w:jc w:val="center"/>
              <w:rPr>
                <w:rFonts w:ascii="仿宋_GB2312" w:hAnsi="黑体" w:eastAsia="仿宋_GB2312"/>
                <w:sz w:val="32"/>
                <w:szCs w:val="32"/>
              </w:rPr>
            </w:pPr>
            <w:r>
              <w:rPr>
                <w:rFonts w:hint="eastAsia" w:ascii="仿宋_GB2312" w:hAnsi="仿宋" w:eastAsia="仿宋_GB2312"/>
                <w:kern w:val="10"/>
                <w:position w:val="-4"/>
                <w:sz w:val="32"/>
                <w:szCs w:val="32"/>
              </w:rPr>
              <w:t>江苏镭朋照明科技有限公司</w:t>
            </w:r>
          </w:p>
        </w:tc>
      </w:tr>
      <w:tr w14:paraId="74C6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1668" w:type="dxa"/>
            <w:vAlign w:val="center"/>
          </w:tcPr>
          <w:p w14:paraId="0AAEAFB4">
            <w:pPr>
              <w:jc w:val="center"/>
              <w:rPr>
                <w:rFonts w:ascii="黑体" w:hAnsi="黑体" w:eastAsia="黑体"/>
                <w:sz w:val="28"/>
                <w:szCs w:val="28"/>
              </w:rPr>
            </w:pPr>
            <w:r>
              <w:rPr>
                <w:rFonts w:hint="eastAsia" w:ascii="黑体" w:hAnsi="黑体" w:eastAsia="黑体"/>
                <w:sz w:val="28"/>
                <w:szCs w:val="28"/>
              </w:rPr>
              <w:t>案件事实</w:t>
            </w:r>
          </w:p>
        </w:tc>
        <w:tc>
          <w:tcPr>
            <w:tcW w:w="7938" w:type="dxa"/>
            <w:vAlign w:val="center"/>
          </w:tcPr>
          <w:p w14:paraId="57D1ED62">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请求人常州前程车辆配件有限公司拥有的 ZL202230786598.7外观设计专利权真实有效，其合法权益依法受到保护。</w:t>
            </w:r>
          </w:p>
          <w:p w14:paraId="37D2DEAE">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整体观察、综合判断”的原则，以一般消费者的知识水平和认知能力，综合考虑二者的外观设计特征及其对整体视觉效果的影响，被控侵权产品与涉案专利的整体视觉效果无实质性差异，构成近似的外观设计。因此，被控侵权产品落入涉案专利权的保护范围。</w:t>
            </w:r>
          </w:p>
          <w:p w14:paraId="354E54E3">
            <w:pPr>
              <w:spacing w:line="480" w:lineRule="exact"/>
              <w:ind w:firstLine="640" w:firstLineChars="200"/>
              <w:rPr>
                <w:rFonts w:ascii="仿宋_GB2312" w:hAnsi="黑体" w:eastAsia="仿宋_GB2312"/>
                <w:sz w:val="32"/>
                <w:szCs w:val="32"/>
              </w:rPr>
            </w:pPr>
            <w:r>
              <w:rPr>
                <w:rFonts w:ascii="仿宋_GB2312" w:hAnsi="黑体" w:eastAsia="仿宋_GB2312"/>
                <w:sz w:val="32"/>
                <w:szCs w:val="32"/>
              </w:rPr>
              <w:t>被请求人</w:t>
            </w:r>
            <w:r>
              <w:rPr>
                <w:rFonts w:hint="eastAsia" w:ascii="仿宋_GB2312" w:hAnsi="黑体" w:eastAsia="仿宋_GB2312"/>
                <w:sz w:val="32"/>
                <w:szCs w:val="32"/>
              </w:rPr>
              <w:t>江苏镭朋照明科技有限公司</w:t>
            </w:r>
            <w:r>
              <w:rPr>
                <w:rFonts w:ascii="仿宋_GB2312" w:hAnsi="黑体" w:eastAsia="仿宋_GB2312"/>
                <w:sz w:val="32"/>
                <w:szCs w:val="32"/>
              </w:rPr>
              <w:t>许诺销售的</w:t>
            </w:r>
            <w:r>
              <w:rPr>
                <w:rFonts w:hint="eastAsia" w:ascii="仿宋_GB2312" w:hAnsi="黑体" w:eastAsia="仿宋_GB2312"/>
                <w:sz w:val="32"/>
                <w:szCs w:val="32"/>
              </w:rPr>
              <w:t>双阅读灯产</w:t>
            </w:r>
            <w:r>
              <w:rPr>
                <w:rFonts w:ascii="仿宋_GB2312" w:hAnsi="黑体" w:eastAsia="仿宋_GB2312"/>
                <w:sz w:val="32"/>
                <w:szCs w:val="32"/>
              </w:rPr>
              <w:t>品侵犯了专利权人专利号为</w:t>
            </w:r>
            <w:r>
              <w:rPr>
                <w:rFonts w:hint="eastAsia" w:ascii="仿宋_GB2312" w:hAnsi="黑体" w:eastAsia="仿宋_GB2312"/>
                <w:sz w:val="32"/>
                <w:szCs w:val="32"/>
              </w:rPr>
              <w:t xml:space="preserve"> ZL202230786598.7</w:t>
            </w:r>
            <w:r>
              <w:rPr>
                <w:rFonts w:ascii="仿宋_GB2312" w:hAnsi="黑体" w:eastAsia="仿宋_GB2312"/>
                <w:sz w:val="32"/>
                <w:szCs w:val="32"/>
              </w:rPr>
              <w:t>名称为“</w:t>
            </w:r>
            <w:r>
              <w:rPr>
                <w:rFonts w:hint="eastAsia" w:ascii="仿宋_GB2312" w:hAnsi="黑体" w:eastAsia="仿宋_GB2312"/>
                <w:sz w:val="32"/>
                <w:szCs w:val="32"/>
              </w:rPr>
              <w:t>双阅读灯(路虎卫士后备箱内饰板）</w:t>
            </w:r>
            <w:r>
              <w:rPr>
                <w:rFonts w:ascii="仿宋_GB2312" w:hAnsi="黑体" w:eastAsia="仿宋_GB2312"/>
                <w:sz w:val="32"/>
                <w:szCs w:val="32"/>
              </w:rPr>
              <w:t>”的外观设计专利权</w:t>
            </w:r>
            <w:r>
              <w:rPr>
                <w:rFonts w:hint="eastAsia" w:ascii="仿宋_GB2312" w:hAnsi="黑体" w:eastAsia="仿宋_GB2312"/>
                <w:sz w:val="32"/>
                <w:szCs w:val="32"/>
              </w:rPr>
              <w:t>，应依法承担相应的侵权责任。</w:t>
            </w:r>
          </w:p>
        </w:tc>
      </w:tr>
      <w:tr w14:paraId="3CA8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668" w:type="dxa"/>
            <w:vAlign w:val="center"/>
          </w:tcPr>
          <w:p w14:paraId="5A4FA8B7">
            <w:pPr>
              <w:jc w:val="center"/>
              <w:rPr>
                <w:rFonts w:ascii="黑体" w:hAnsi="黑体" w:eastAsia="黑体"/>
                <w:sz w:val="28"/>
                <w:szCs w:val="28"/>
              </w:rPr>
            </w:pPr>
            <w:r>
              <w:rPr>
                <w:rFonts w:hint="eastAsia" w:ascii="黑体" w:hAnsi="黑体" w:eastAsia="黑体"/>
                <w:sz w:val="28"/>
                <w:szCs w:val="28"/>
              </w:rPr>
              <w:t>处理依据</w:t>
            </w:r>
          </w:p>
        </w:tc>
        <w:tc>
          <w:tcPr>
            <w:tcW w:w="7938" w:type="dxa"/>
          </w:tcPr>
          <w:p w14:paraId="725845CF">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《中华人民共和国专利法》第十一条第二款、第六十四条第二款、第六十五条，《专利行政执法办法》第四十三条第一款的规定</w:t>
            </w:r>
          </w:p>
        </w:tc>
      </w:tr>
      <w:tr w14:paraId="3CC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68" w:type="dxa"/>
            <w:vAlign w:val="center"/>
          </w:tcPr>
          <w:p w14:paraId="559ACF0F">
            <w:pPr>
              <w:jc w:val="center"/>
              <w:rPr>
                <w:rFonts w:ascii="黑体" w:hAnsi="黑体" w:eastAsia="黑体"/>
                <w:sz w:val="28"/>
                <w:szCs w:val="28"/>
              </w:rPr>
            </w:pPr>
            <w:r>
              <w:rPr>
                <w:rFonts w:hint="eastAsia" w:ascii="黑体" w:hAnsi="黑体" w:eastAsia="黑体"/>
                <w:sz w:val="28"/>
                <w:szCs w:val="28"/>
              </w:rPr>
              <w:t>处理决定</w:t>
            </w:r>
          </w:p>
        </w:tc>
        <w:tc>
          <w:tcPr>
            <w:tcW w:w="7938" w:type="dxa"/>
          </w:tcPr>
          <w:p w14:paraId="50D4CA72">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1.责令被请求人立即停止许诺销售请求人拥有外观设计专利权的侵权产品。</w:t>
            </w:r>
          </w:p>
          <w:p w14:paraId="44D8409E">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eastAsia="仿宋_GB2312"/>
                <w:color w:val="000000"/>
                <w:sz w:val="32"/>
                <w:szCs w:val="32"/>
              </w:rPr>
              <w:t>驳回请求人的其它请求事项</w:t>
            </w:r>
            <w:r>
              <w:rPr>
                <w:rFonts w:hint="eastAsia" w:ascii="仿宋_GB2312" w:hAnsi="黑体" w:eastAsia="仿宋_GB2312"/>
                <w:sz w:val="32"/>
                <w:szCs w:val="32"/>
              </w:rPr>
              <w:t>。</w:t>
            </w:r>
          </w:p>
        </w:tc>
      </w:tr>
      <w:tr w14:paraId="37A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68" w:type="dxa"/>
            <w:vAlign w:val="center"/>
          </w:tcPr>
          <w:p w14:paraId="3283E446">
            <w:pPr>
              <w:jc w:val="center"/>
              <w:rPr>
                <w:rFonts w:ascii="黑体" w:hAnsi="黑体" w:eastAsia="黑体"/>
                <w:sz w:val="28"/>
                <w:szCs w:val="28"/>
              </w:rPr>
            </w:pPr>
            <w:r>
              <w:rPr>
                <w:rFonts w:hint="eastAsia" w:ascii="黑体" w:hAnsi="黑体" w:eastAsia="黑体"/>
                <w:sz w:val="28"/>
                <w:szCs w:val="28"/>
              </w:rPr>
              <w:t>决定机关</w:t>
            </w:r>
          </w:p>
        </w:tc>
        <w:tc>
          <w:tcPr>
            <w:tcW w:w="7938" w:type="dxa"/>
            <w:vAlign w:val="center"/>
          </w:tcPr>
          <w:p w14:paraId="1A023115">
            <w:pPr>
              <w:spacing w:line="480" w:lineRule="exact"/>
              <w:ind w:firstLine="640" w:firstLineChars="200"/>
              <w:jc w:val="center"/>
              <w:rPr>
                <w:rFonts w:ascii="仿宋_GB2312" w:hAnsi="黑体" w:eastAsia="仿宋_GB2312"/>
                <w:sz w:val="32"/>
                <w:szCs w:val="32"/>
              </w:rPr>
            </w:pPr>
            <w:r>
              <w:rPr>
                <w:rFonts w:hint="eastAsia" w:ascii="仿宋_GB2312" w:hAnsi="黑体" w:eastAsia="仿宋_GB2312"/>
                <w:sz w:val="32"/>
                <w:szCs w:val="32"/>
              </w:rPr>
              <w:t>常州市新北区知识产权局</w:t>
            </w:r>
          </w:p>
        </w:tc>
      </w:tr>
      <w:tr w14:paraId="5F6A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68" w:type="dxa"/>
            <w:vAlign w:val="center"/>
          </w:tcPr>
          <w:p w14:paraId="4D1B13B9">
            <w:pPr>
              <w:jc w:val="center"/>
              <w:rPr>
                <w:rFonts w:ascii="黑体" w:hAnsi="黑体" w:eastAsia="黑体"/>
                <w:sz w:val="28"/>
                <w:szCs w:val="28"/>
              </w:rPr>
            </w:pPr>
            <w:r>
              <w:rPr>
                <w:rFonts w:hint="eastAsia" w:ascii="黑体" w:hAnsi="黑体" w:eastAsia="黑体"/>
                <w:sz w:val="28"/>
                <w:szCs w:val="28"/>
              </w:rPr>
              <w:t>决定日期</w:t>
            </w:r>
          </w:p>
        </w:tc>
        <w:tc>
          <w:tcPr>
            <w:tcW w:w="7938" w:type="dxa"/>
            <w:vAlign w:val="center"/>
          </w:tcPr>
          <w:p w14:paraId="2947A49C">
            <w:pPr>
              <w:spacing w:line="480" w:lineRule="exact"/>
              <w:ind w:firstLine="640" w:firstLineChars="200"/>
              <w:jc w:val="center"/>
              <w:rPr>
                <w:rFonts w:ascii="仿宋_GB2312" w:hAnsi="黑体" w:eastAsia="仿宋_GB2312"/>
                <w:sz w:val="32"/>
                <w:szCs w:val="32"/>
              </w:rPr>
            </w:pPr>
            <w:r>
              <w:rPr>
                <w:rFonts w:hint="eastAsia" w:ascii="仿宋_GB2312" w:hAnsi="Times New Roman" w:eastAsia="仿宋_GB2312"/>
                <w:sz w:val="32"/>
                <w:szCs w:val="32"/>
              </w:rPr>
              <w:t>2024年12月24日</w:t>
            </w:r>
          </w:p>
        </w:tc>
      </w:tr>
    </w:tbl>
    <w:p w14:paraId="0488D509">
      <w:pPr>
        <w:jc w:val="center"/>
        <w:rPr>
          <w:rFonts w:ascii="黑体" w:hAnsi="黑体" w:eastAsia="黑体"/>
          <w:sz w:val="36"/>
          <w:szCs w:val="36"/>
        </w:rPr>
      </w:pPr>
    </w:p>
    <w:p w14:paraId="3BA1E7CE">
      <w:pPr>
        <w:rPr>
          <w:rFonts w:ascii="黑体" w:hAnsi="黑体" w:eastAsia="黑体"/>
          <w:sz w:val="36"/>
          <w:szCs w:val="36"/>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D23"/>
    <w:rsid w:val="002034DB"/>
    <w:rsid w:val="002B7DF5"/>
    <w:rsid w:val="00360F88"/>
    <w:rsid w:val="004B6F6E"/>
    <w:rsid w:val="004E495E"/>
    <w:rsid w:val="0060747D"/>
    <w:rsid w:val="00687D23"/>
    <w:rsid w:val="006E18F6"/>
    <w:rsid w:val="009416B7"/>
    <w:rsid w:val="00964E07"/>
    <w:rsid w:val="00A0487F"/>
    <w:rsid w:val="00AB0D60"/>
    <w:rsid w:val="00B04255"/>
    <w:rsid w:val="00D0177B"/>
    <w:rsid w:val="00F13153"/>
    <w:rsid w:val="00F23DE4"/>
    <w:rsid w:val="00F96A1A"/>
    <w:rsid w:val="422D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CBF6-A37C-4DC2-A6D8-77E86D36218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508</Words>
  <Characters>567</Characters>
  <Lines>4</Lines>
  <Paragraphs>1</Paragraphs>
  <TotalTime>53</TotalTime>
  <ScaleCrop>false</ScaleCrop>
  <LinksUpToDate>false</LinksUpToDate>
  <CharactersWithSpaces>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2024-08-30T06:22:00Z</dcterms:created>
  <dc:creator>DELL</dc:creator>
  <cp:lastModifiedBy>cc</cp:lastModifiedBy>
  <dcterms:modified xsi:type="dcterms:W3CDTF">2024-12-27T06:10:27Z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eyJoZGlkIjoiNTM0MWY1MTkyZmEwZjk0NTI1NmU4NmQ5NTg1ZDdkMGMiLCJ1c2VySWQiOiI3MDU4NDgzNTgifQ==</vt:lpwstr>
  </property>
  <property fmtid="{D5CDD505-2E9C-101B-9397-08002B2CF9AE}" pid="3" name="KSOProductBuildVer">
    <vt:lpwstr>2052-12.1.0.19302</vt:lpwstr>
  </property>
  <property fmtid="{D5CDD505-2E9C-101B-9397-08002B2CF9AE}" pid="4" name="ICV">
    <vt:lpwstr>7CE225E467934A3DBB08935F4455CDA5_12</vt:lpwstr>
  </property>
</Properties>
</file>