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E01E5CC">
      <w:pPr>
        <w:spacing w:line="200" w:lineRule="exact"/>
        <w:jc w:val="center"/>
        <w:rPr>
          <w:rFonts w:ascii="宋体" w:hAnsi="宋体"/>
          <w:b/>
          <w:bCs/>
          <w:color w:val="auto"/>
          <w:highlight w:val="none"/>
        </w:rPr>
      </w:pPr>
    </w:p>
    <w:p w14:paraId="1E75AB08">
      <w:pPr>
        <w:spacing w:line="200" w:lineRule="exact"/>
        <w:jc w:val="center"/>
        <w:rPr>
          <w:rFonts w:ascii="宋体" w:hAnsi="宋体"/>
          <w:b/>
          <w:bCs/>
          <w:color w:val="auto"/>
          <w:highlight w:val="none"/>
        </w:rPr>
      </w:pPr>
    </w:p>
    <w:p w14:paraId="623395B2">
      <w:pPr>
        <w:spacing w:line="200" w:lineRule="exact"/>
        <w:jc w:val="center"/>
        <w:rPr>
          <w:rFonts w:ascii="宋体" w:hAnsi="宋体"/>
          <w:b/>
          <w:bCs/>
          <w:color w:val="auto"/>
          <w:highlight w:val="none"/>
        </w:rPr>
      </w:pPr>
    </w:p>
    <w:p w14:paraId="637BE11C">
      <w:pPr>
        <w:spacing w:line="200" w:lineRule="exact"/>
        <w:jc w:val="center"/>
        <w:rPr>
          <w:rFonts w:ascii="宋体" w:hAnsi="宋体"/>
          <w:b/>
          <w:bCs/>
          <w:color w:val="auto"/>
          <w:highlight w:val="none"/>
        </w:rPr>
      </w:pPr>
    </w:p>
    <w:p w14:paraId="4B4456A0">
      <w:pPr>
        <w:spacing w:line="200" w:lineRule="exact"/>
        <w:jc w:val="center"/>
        <w:rPr>
          <w:rFonts w:ascii="宋体" w:hAnsi="宋体"/>
          <w:b/>
          <w:bCs/>
          <w:color w:val="auto"/>
          <w:highlight w:val="none"/>
        </w:rPr>
      </w:pPr>
    </w:p>
    <w:p w14:paraId="05BEB528">
      <w:pPr>
        <w:spacing w:line="200" w:lineRule="exact"/>
        <w:jc w:val="center"/>
        <w:rPr>
          <w:rFonts w:ascii="宋体" w:hAnsi="宋体"/>
          <w:b/>
          <w:bCs/>
          <w:color w:val="auto"/>
          <w:highlight w:val="none"/>
        </w:rPr>
      </w:pPr>
    </w:p>
    <w:p w14:paraId="5537145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BF2D24D">
      <w:pPr>
        <w:spacing w:line="1200" w:lineRule="exact"/>
        <w:ind w:firstLine="567"/>
        <w:jc w:val="center"/>
        <w:rPr>
          <w:rFonts w:ascii="宋体" w:hAnsi="宋体"/>
          <w:b/>
          <w:bCs/>
          <w:color w:val="auto"/>
          <w:sz w:val="72"/>
          <w:highlight w:val="none"/>
        </w:rPr>
      </w:pPr>
      <w:r>
        <w:rPr>
          <w:rFonts w:hint="eastAsia" w:ascii="宋体" w:hAnsi="宋体"/>
          <w:b/>
          <w:bCs/>
          <w:color w:val="auto"/>
          <w:sz w:val="72"/>
          <w:highlight w:val="none"/>
        </w:rPr>
        <w:t>施 工 招 标 文 件</w:t>
      </w:r>
    </w:p>
    <w:p w14:paraId="62DFCC31">
      <w:pPr>
        <w:spacing w:line="1200" w:lineRule="exact"/>
        <w:rPr>
          <w:rFonts w:ascii="宋体" w:hAnsi="宋体"/>
          <w:color w:val="auto"/>
          <w:sz w:val="28"/>
          <w:highlight w:val="none"/>
        </w:rPr>
      </w:pPr>
    </w:p>
    <w:p w14:paraId="0CBB840F">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项目名称</w:t>
      </w:r>
      <w:r>
        <w:rPr>
          <w:rFonts w:hint="eastAsia" w:ascii="宋体" w:hAnsi="宋体"/>
          <w:color w:val="auto"/>
          <w:sz w:val="32"/>
          <w:highlight w:val="none"/>
          <w:lang w:eastAsia="zh-CN"/>
        </w:rPr>
        <w:t>：</w:t>
      </w:r>
      <w:r>
        <w:rPr>
          <w:rFonts w:hint="eastAsia" w:ascii="宋体" w:hAnsi="宋体"/>
          <w:color w:val="auto"/>
          <w:sz w:val="32"/>
          <w:highlight w:val="none"/>
          <w:u w:val="single"/>
        </w:rPr>
        <w:t xml:space="preserve"> 2024年</w:t>
      </w:r>
      <w:r>
        <w:rPr>
          <w:rFonts w:hint="eastAsia" w:ascii="宋体" w:hAnsi="宋体"/>
          <w:color w:val="auto"/>
          <w:sz w:val="32"/>
          <w:highlight w:val="none"/>
          <w:u w:val="single"/>
          <w:lang w:eastAsia="zh-CN"/>
        </w:rPr>
        <w:t>西山森林防火设施提升项目</w:t>
      </w:r>
    </w:p>
    <w:p w14:paraId="4EA186D3">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招标人（章）：</w:t>
      </w:r>
      <w:r>
        <w:rPr>
          <w:rFonts w:hint="eastAsia" w:ascii="宋体" w:hAnsi="宋体"/>
          <w:bCs/>
          <w:color w:val="auto"/>
          <w:sz w:val="30"/>
          <w:highlight w:val="none"/>
          <w:u w:val="single"/>
          <w:lang w:eastAsia="zh-CN"/>
        </w:rPr>
        <w:t>常州市孟河林场有限公司</w:t>
      </w:r>
      <w:r>
        <w:rPr>
          <w:rFonts w:hint="eastAsia" w:ascii="宋体" w:hAnsi="宋体"/>
          <w:color w:val="auto"/>
          <w:sz w:val="32"/>
          <w:highlight w:val="none"/>
          <w:u w:val="single"/>
        </w:rPr>
        <w:t xml:space="preserve"> </w:t>
      </w:r>
    </w:p>
    <w:p w14:paraId="6AE3A391">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法定代表人（签章）：</w:t>
      </w:r>
      <w:r>
        <w:rPr>
          <w:rFonts w:hint="eastAsia" w:ascii="宋体" w:hAnsi="宋体"/>
          <w:color w:val="auto"/>
          <w:sz w:val="32"/>
          <w:highlight w:val="none"/>
          <w:u w:val="single"/>
        </w:rPr>
        <w:t xml:space="preserve">                                     </w:t>
      </w:r>
    </w:p>
    <w:p w14:paraId="0BFA415B">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招标代理单位（章）：</w:t>
      </w:r>
      <w:r>
        <w:rPr>
          <w:rFonts w:hint="eastAsia" w:ascii="宋体" w:hAnsi="宋体"/>
          <w:color w:val="auto"/>
          <w:sz w:val="32"/>
          <w:highlight w:val="none"/>
          <w:u w:val="single"/>
          <w:lang w:eastAsia="zh-CN"/>
        </w:rPr>
        <w:t>江苏开天工程咨询有限公司</w:t>
      </w:r>
      <w:r>
        <w:rPr>
          <w:rFonts w:hint="eastAsia" w:ascii="宋体" w:hAnsi="宋体"/>
          <w:color w:val="auto"/>
          <w:sz w:val="32"/>
          <w:highlight w:val="none"/>
          <w:u w:val="single"/>
        </w:rPr>
        <w:t xml:space="preserve">      </w:t>
      </w:r>
    </w:p>
    <w:p w14:paraId="073F7BE6">
      <w:pPr>
        <w:spacing w:line="1040" w:lineRule="exact"/>
        <w:ind w:left="1604" w:leftChars="375" w:hanging="816" w:hangingChars="255"/>
        <w:rPr>
          <w:rFonts w:ascii="宋体" w:hAnsi="宋体"/>
          <w:color w:val="auto"/>
          <w:sz w:val="32"/>
          <w:highlight w:val="none"/>
          <w:u w:val="single"/>
        </w:rPr>
      </w:pPr>
      <w:r>
        <w:rPr>
          <w:rFonts w:hint="eastAsia" w:ascii="宋体" w:hAnsi="宋体"/>
          <w:color w:val="auto"/>
          <w:sz w:val="32"/>
          <w:highlight w:val="none"/>
        </w:rPr>
        <w:t>法定代表人（签章）：</w:t>
      </w:r>
      <w:r>
        <w:rPr>
          <w:rFonts w:hint="eastAsia" w:ascii="宋体" w:hAnsi="宋体"/>
          <w:color w:val="auto"/>
          <w:sz w:val="32"/>
          <w:highlight w:val="none"/>
          <w:u w:val="single"/>
        </w:rPr>
        <w:t xml:space="preserve">                                     </w:t>
      </w:r>
    </w:p>
    <w:p w14:paraId="34A6814F">
      <w:pPr>
        <w:spacing w:line="1200" w:lineRule="exact"/>
        <w:jc w:val="left"/>
        <w:rPr>
          <w:rFonts w:ascii="宋体" w:hAnsi="宋体"/>
          <w:color w:val="auto"/>
          <w:sz w:val="32"/>
          <w:highlight w:val="none"/>
          <w:u w:val="single"/>
        </w:rPr>
      </w:pPr>
    </w:p>
    <w:p w14:paraId="25709356">
      <w:pPr>
        <w:spacing w:after="240" w:line="1200" w:lineRule="exact"/>
        <w:jc w:val="center"/>
        <w:rPr>
          <w:rFonts w:hint="default" w:ascii="宋体" w:hAnsi="宋体" w:eastAsia="宋体"/>
          <w:color w:val="auto"/>
          <w:sz w:val="32"/>
          <w:highlight w:val="none"/>
          <w:lang w:val="en-US" w:eastAsia="zh-CN"/>
        </w:rPr>
      </w:pPr>
      <w:r>
        <w:rPr>
          <w:rFonts w:hint="eastAsia" w:ascii="宋体" w:hAnsi="宋体"/>
          <w:color w:val="auto"/>
          <w:sz w:val="32"/>
          <w:highlight w:val="none"/>
        </w:rPr>
        <w:t>发放时间：</w:t>
      </w:r>
      <w:r>
        <w:rPr>
          <w:rFonts w:hint="eastAsia" w:ascii="宋体" w:hAnsi="宋体"/>
          <w:color w:val="auto"/>
          <w:sz w:val="32"/>
          <w:highlight w:val="none"/>
          <w:u w:val="single"/>
        </w:rPr>
        <w:t>202</w:t>
      </w:r>
      <w:r>
        <w:rPr>
          <w:rFonts w:hint="eastAsia" w:ascii="宋体" w:hAnsi="宋体"/>
          <w:color w:val="auto"/>
          <w:sz w:val="32"/>
          <w:highlight w:val="none"/>
          <w:u w:val="single"/>
          <w:lang w:val="en-US" w:eastAsia="zh-CN"/>
        </w:rPr>
        <w:t>4</w:t>
      </w:r>
      <w:r>
        <w:rPr>
          <w:rFonts w:hint="eastAsia" w:ascii="宋体" w:hAnsi="宋体"/>
          <w:color w:val="auto"/>
          <w:sz w:val="32"/>
          <w:highlight w:val="none"/>
        </w:rPr>
        <w:t>年</w:t>
      </w:r>
      <w:r>
        <w:rPr>
          <w:rFonts w:hint="eastAsia" w:ascii="宋体" w:hAnsi="宋体"/>
          <w:color w:val="auto"/>
          <w:sz w:val="32"/>
          <w:highlight w:val="none"/>
          <w:u w:val="single"/>
          <w:lang w:val="en-US" w:eastAsia="zh-CN"/>
        </w:rPr>
        <w:t>12</w:t>
      </w:r>
      <w:r>
        <w:rPr>
          <w:rFonts w:hint="eastAsia" w:ascii="宋体" w:hAnsi="宋体"/>
          <w:color w:val="auto"/>
          <w:sz w:val="32"/>
          <w:highlight w:val="none"/>
        </w:rPr>
        <w:t>月</w:t>
      </w:r>
      <w:r>
        <w:rPr>
          <w:rFonts w:hint="eastAsia" w:ascii="宋体" w:hAnsi="宋体"/>
          <w:color w:val="auto"/>
          <w:sz w:val="32"/>
          <w:highlight w:val="none"/>
          <w:u w:val="single"/>
          <w:lang w:val="en-US" w:eastAsia="zh-CN"/>
        </w:rPr>
        <w:t xml:space="preserve"> 31 </w:t>
      </w:r>
      <w:r>
        <w:rPr>
          <w:rFonts w:hint="eastAsia" w:ascii="宋体" w:hAnsi="宋体"/>
          <w:color w:val="auto"/>
          <w:sz w:val="32"/>
          <w:highlight w:val="none"/>
          <w:lang w:val="en-US" w:eastAsia="zh-CN"/>
        </w:rPr>
        <w:t>日</w:t>
      </w:r>
    </w:p>
    <w:p w14:paraId="398EED55">
      <w:pPr>
        <w:spacing w:after="240"/>
        <w:jc w:val="center"/>
        <w:rPr>
          <w:rFonts w:ascii="宋体" w:hAnsi="宋体"/>
          <w:color w:val="auto"/>
          <w:sz w:val="32"/>
          <w:highlight w:val="none"/>
        </w:rPr>
      </w:pPr>
      <w:r>
        <w:rPr>
          <w:rFonts w:hint="eastAsia" w:ascii="宋体" w:hAnsi="宋体"/>
          <w:color w:val="auto"/>
          <w:sz w:val="32"/>
          <w:highlight w:val="none"/>
        </w:rPr>
        <w:t>常州市建设工程招标投标办公室制</w:t>
      </w:r>
    </w:p>
    <w:p w14:paraId="05518DCA">
      <w:pPr>
        <w:jc w:val="center"/>
        <w:rPr>
          <w:rFonts w:ascii="宋体" w:hAnsi="宋体"/>
          <w:b/>
          <w:bCs/>
          <w:color w:val="auto"/>
          <w:sz w:val="44"/>
          <w:highlight w:val="none"/>
        </w:rPr>
      </w:pPr>
      <w:r>
        <w:rPr>
          <w:rFonts w:ascii="宋体" w:hAnsi="宋体"/>
          <w:color w:val="auto"/>
          <w:sz w:val="32"/>
          <w:highlight w:val="none"/>
        </w:rPr>
        <w:br w:type="page"/>
      </w:r>
      <w:r>
        <w:rPr>
          <w:rFonts w:hint="eastAsia" w:ascii="宋体" w:hAnsi="宋体"/>
          <w:b/>
          <w:bCs/>
          <w:color w:val="auto"/>
          <w:sz w:val="44"/>
          <w:highlight w:val="none"/>
        </w:rPr>
        <w:t>目     录</w:t>
      </w:r>
    </w:p>
    <w:p w14:paraId="3FEBC40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第一章  投标须知</w:t>
      </w:r>
    </w:p>
    <w:p w14:paraId="27D76BB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前附表</w:t>
      </w:r>
    </w:p>
    <w:p w14:paraId="5A87ED1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一、总则</w:t>
      </w:r>
    </w:p>
    <w:p w14:paraId="4ACC515C">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二、招标文件</w:t>
      </w:r>
    </w:p>
    <w:p w14:paraId="5D8E1752">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三、投标报价</w:t>
      </w:r>
    </w:p>
    <w:p w14:paraId="4FE2610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四、投标文件的编制</w:t>
      </w:r>
    </w:p>
    <w:p w14:paraId="7AF3B08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五、投标文件的递交</w:t>
      </w:r>
    </w:p>
    <w:p w14:paraId="68B3B37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六、开标</w:t>
      </w:r>
    </w:p>
    <w:p w14:paraId="38A6510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七、评标</w:t>
      </w:r>
    </w:p>
    <w:p w14:paraId="1EDFDA9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八、授予合同</w:t>
      </w:r>
    </w:p>
    <w:p w14:paraId="4693C8E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九、附件1：评标细则</w:t>
      </w:r>
    </w:p>
    <w:p w14:paraId="2628D9EE">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第二章  合    同</w:t>
      </w:r>
    </w:p>
    <w:p w14:paraId="11CF091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第三章  计价规范和技术规范</w:t>
      </w:r>
    </w:p>
    <w:p w14:paraId="5485C86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第四章 工程量清单（另附）</w:t>
      </w:r>
    </w:p>
    <w:p w14:paraId="2C93BB8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第五章 技术规范</w:t>
      </w:r>
    </w:p>
    <w:p w14:paraId="37D0F63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第六章 投标文件格式</w:t>
      </w:r>
    </w:p>
    <w:p w14:paraId="39855931">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一、投标函</w:t>
      </w:r>
    </w:p>
    <w:p w14:paraId="5515042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1、投标函</w:t>
      </w:r>
    </w:p>
    <w:p w14:paraId="34E5B533">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2、法定代表人资格证明书</w:t>
      </w:r>
    </w:p>
    <w:p w14:paraId="22B5CA0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3、授权委托书</w:t>
      </w:r>
    </w:p>
    <w:p w14:paraId="5393F9AB">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4、建设工地文明施工承诺书</w:t>
      </w:r>
    </w:p>
    <w:p w14:paraId="1EB08E9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5、投标报价汇总表</w:t>
      </w:r>
    </w:p>
    <w:p w14:paraId="350A15CC">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r>
        <w:rPr>
          <w:rFonts w:hint="eastAsia" w:ascii="宋体" w:hAnsi="宋体"/>
          <w:color w:val="auto"/>
          <w:szCs w:val="21"/>
          <w:highlight w:val="none"/>
        </w:rPr>
        <w:t>二、工程量清单报价表</w:t>
      </w:r>
    </w:p>
    <w:p w14:paraId="46A93D8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highlight w:val="none"/>
        </w:rPr>
      </w:pPr>
    </w:p>
    <w:p w14:paraId="59D537CA">
      <w:pPr>
        <w:spacing w:line="260" w:lineRule="exact"/>
        <w:rPr>
          <w:rFonts w:ascii="宋体" w:hAnsi="宋体"/>
          <w:color w:val="auto"/>
          <w:szCs w:val="21"/>
          <w:highlight w:val="none"/>
        </w:rPr>
      </w:pPr>
    </w:p>
    <w:p w14:paraId="6B065652">
      <w:pPr>
        <w:spacing w:line="360" w:lineRule="auto"/>
        <w:rPr>
          <w:rFonts w:ascii="宋体" w:hAnsi="宋体"/>
          <w:b/>
          <w:bCs/>
          <w:color w:val="auto"/>
          <w:szCs w:val="21"/>
          <w:highlight w:val="none"/>
        </w:rPr>
      </w:pPr>
    </w:p>
    <w:p w14:paraId="05E44867">
      <w:pPr>
        <w:spacing w:line="360" w:lineRule="auto"/>
        <w:ind w:firstLine="567"/>
        <w:jc w:val="center"/>
        <w:rPr>
          <w:rFonts w:ascii="宋体" w:hAnsi="宋体"/>
          <w:b/>
          <w:bCs/>
          <w:color w:val="auto"/>
          <w:szCs w:val="21"/>
          <w:highlight w:val="none"/>
        </w:rPr>
      </w:pPr>
    </w:p>
    <w:p w14:paraId="52047944">
      <w:pPr>
        <w:spacing w:line="360" w:lineRule="auto"/>
        <w:ind w:firstLine="567"/>
        <w:jc w:val="center"/>
        <w:rPr>
          <w:rFonts w:ascii="宋体" w:hAnsi="宋体"/>
          <w:b/>
          <w:bCs/>
          <w:color w:val="auto"/>
          <w:szCs w:val="21"/>
          <w:highlight w:val="none"/>
        </w:rPr>
      </w:pPr>
    </w:p>
    <w:p w14:paraId="507BBBDD">
      <w:pPr>
        <w:spacing w:line="360" w:lineRule="auto"/>
        <w:ind w:firstLine="567"/>
        <w:jc w:val="center"/>
        <w:rPr>
          <w:rFonts w:ascii="宋体" w:hAnsi="宋体"/>
          <w:b/>
          <w:bCs/>
          <w:color w:val="auto"/>
          <w:szCs w:val="21"/>
          <w:highlight w:val="none"/>
        </w:rPr>
      </w:pPr>
      <w:r>
        <w:rPr>
          <w:rFonts w:hint="eastAsia" w:ascii="宋体" w:hAnsi="宋体"/>
          <w:b/>
          <w:bCs/>
          <w:color w:val="auto"/>
          <w:szCs w:val="21"/>
          <w:highlight w:val="none"/>
        </w:rPr>
        <w:br w:type="page"/>
      </w:r>
      <w:r>
        <w:rPr>
          <w:rFonts w:hint="eastAsia" w:ascii="宋体" w:hAnsi="宋体"/>
          <w:b/>
          <w:bCs/>
          <w:color w:val="auto"/>
          <w:szCs w:val="21"/>
          <w:highlight w:val="none"/>
        </w:rPr>
        <w:t>第一章    投标须知</w:t>
      </w:r>
    </w:p>
    <w:p w14:paraId="2E1F7701">
      <w:pPr>
        <w:spacing w:line="360" w:lineRule="auto"/>
        <w:ind w:firstLine="567"/>
        <w:jc w:val="center"/>
        <w:rPr>
          <w:rFonts w:ascii="宋体" w:hAnsi="宋体"/>
          <w:b/>
          <w:bCs/>
          <w:color w:val="auto"/>
          <w:szCs w:val="21"/>
          <w:highlight w:val="none"/>
        </w:rPr>
      </w:pPr>
      <w:r>
        <w:rPr>
          <w:rFonts w:hint="eastAsia" w:ascii="宋体" w:hAnsi="宋体"/>
          <w:b/>
          <w:bCs/>
          <w:color w:val="auto"/>
          <w:szCs w:val="21"/>
          <w:highlight w:val="none"/>
        </w:rPr>
        <w:t>前  附  表</w:t>
      </w:r>
    </w:p>
    <w:tbl>
      <w:tblPr>
        <w:tblStyle w:val="42"/>
        <w:tblW w:w="9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13"/>
        <w:gridCol w:w="1921"/>
        <w:gridCol w:w="14"/>
        <w:gridCol w:w="3475"/>
      </w:tblGrid>
      <w:tr w14:paraId="4EA9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61DBD756">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工程名称</w:t>
            </w:r>
          </w:p>
        </w:tc>
        <w:tc>
          <w:tcPr>
            <w:tcW w:w="7623" w:type="dxa"/>
            <w:gridSpan w:val="4"/>
            <w:vAlign w:val="center"/>
          </w:tcPr>
          <w:p w14:paraId="042FF9C1">
            <w:pPr>
              <w:spacing w:line="520" w:lineRule="exact"/>
              <w:jc w:val="center"/>
              <w:rPr>
                <w:rFonts w:hint="eastAsia" w:ascii="宋体" w:hAnsi="宋体" w:eastAsia="宋体"/>
                <w:snapToGrid w:val="0"/>
                <w:color w:val="auto"/>
                <w:szCs w:val="21"/>
                <w:highlight w:val="none"/>
                <w:lang w:eastAsia="zh-CN"/>
              </w:rPr>
            </w:pPr>
            <w:r>
              <w:rPr>
                <w:rFonts w:hint="eastAsia" w:ascii="宋体" w:hAnsi="宋体" w:eastAsia="宋体"/>
                <w:snapToGrid w:val="0"/>
                <w:color w:val="auto"/>
                <w:szCs w:val="21"/>
                <w:highlight w:val="none"/>
                <w:lang w:eastAsia="zh-CN"/>
              </w:rPr>
              <w:t>2024年西山森林防火设施提升项目</w:t>
            </w:r>
          </w:p>
        </w:tc>
      </w:tr>
      <w:tr w14:paraId="644F7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2A137CD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建设地点</w:t>
            </w:r>
          </w:p>
        </w:tc>
        <w:tc>
          <w:tcPr>
            <w:tcW w:w="7623" w:type="dxa"/>
            <w:gridSpan w:val="4"/>
            <w:vAlign w:val="center"/>
          </w:tcPr>
          <w:p w14:paraId="6FB5DF4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常州市新北区小黄山</w:t>
            </w:r>
            <w:r>
              <w:rPr>
                <w:rFonts w:hint="eastAsia" w:ascii="宋体" w:hAnsi="宋体"/>
                <w:snapToGrid w:val="0"/>
                <w:color w:val="auto"/>
                <w:szCs w:val="21"/>
                <w:highlight w:val="none"/>
              </w:rPr>
              <w:t xml:space="preserve">                                            </w:t>
            </w:r>
          </w:p>
        </w:tc>
      </w:tr>
      <w:tr w14:paraId="7DD92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43CF9C8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联系人</w:t>
            </w:r>
          </w:p>
        </w:tc>
        <w:tc>
          <w:tcPr>
            <w:tcW w:w="2213" w:type="dxa"/>
            <w:vAlign w:val="center"/>
          </w:tcPr>
          <w:p w14:paraId="448A6B3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沈</w:t>
            </w:r>
            <w:r>
              <w:rPr>
                <w:rFonts w:hint="eastAsia" w:ascii="宋体" w:hAnsi="宋体"/>
                <w:snapToGrid w:val="0"/>
                <w:color w:val="auto"/>
                <w:szCs w:val="21"/>
                <w:highlight w:val="none"/>
              </w:rPr>
              <w:t xml:space="preserve">工                      </w:t>
            </w:r>
          </w:p>
        </w:tc>
        <w:tc>
          <w:tcPr>
            <w:tcW w:w="1921" w:type="dxa"/>
            <w:vAlign w:val="center"/>
          </w:tcPr>
          <w:p w14:paraId="71CD9661">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电  话</w:t>
            </w:r>
          </w:p>
        </w:tc>
        <w:tc>
          <w:tcPr>
            <w:tcW w:w="3489" w:type="dxa"/>
            <w:gridSpan w:val="2"/>
            <w:vAlign w:val="center"/>
          </w:tcPr>
          <w:p w14:paraId="2993CF6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0519-681952</w:t>
            </w:r>
            <w:r>
              <w:rPr>
                <w:rFonts w:hint="eastAsia" w:ascii="宋体" w:hAnsi="宋体"/>
                <w:snapToGrid w:val="0"/>
                <w:color w:val="auto"/>
                <w:szCs w:val="21"/>
                <w:highlight w:val="none"/>
                <w:lang w:val="en-US" w:eastAsia="zh-CN"/>
              </w:rPr>
              <w:t>06</w:t>
            </w:r>
          </w:p>
        </w:tc>
      </w:tr>
      <w:tr w14:paraId="10298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DD0B5CA">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招标方式</w:t>
            </w:r>
          </w:p>
        </w:tc>
        <w:tc>
          <w:tcPr>
            <w:tcW w:w="2213" w:type="dxa"/>
            <w:vAlign w:val="center"/>
          </w:tcPr>
          <w:p w14:paraId="64CF00ED">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 xml:space="preserve">公开招标               </w:t>
            </w:r>
          </w:p>
        </w:tc>
        <w:tc>
          <w:tcPr>
            <w:tcW w:w="1921" w:type="dxa"/>
            <w:vAlign w:val="center"/>
          </w:tcPr>
          <w:p w14:paraId="006E7ECD">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投标保证金</w:t>
            </w:r>
          </w:p>
        </w:tc>
        <w:tc>
          <w:tcPr>
            <w:tcW w:w="3489" w:type="dxa"/>
            <w:gridSpan w:val="2"/>
            <w:vAlign w:val="center"/>
          </w:tcPr>
          <w:p w14:paraId="1D1F6AE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详见招标公告</w:t>
            </w:r>
            <w:r>
              <w:rPr>
                <w:rFonts w:hint="eastAsia" w:ascii="宋体" w:hAnsi="宋体"/>
                <w:snapToGrid w:val="0"/>
                <w:color w:val="auto"/>
                <w:szCs w:val="21"/>
                <w:highlight w:val="none"/>
              </w:rPr>
              <w:t xml:space="preserve">             </w:t>
            </w:r>
          </w:p>
        </w:tc>
      </w:tr>
      <w:tr w14:paraId="6600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475B04B">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招标范围</w:t>
            </w:r>
          </w:p>
        </w:tc>
        <w:tc>
          <w:tcPr>
            <w:tcW w:w="7623" w:type="dxa"/>
            <w:gridSpan w:val="4"/>
            <w:vAlign w:val="center"/>
          </w:tcPr>
          <w:p w14:paraId="63FA8272">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工程量清单（含编制说明）范围内所有工程。</w:t>
            </w:r>
          </w:p>
        </w:tc>
      </w:tr>
      <w:tr w14:paraId="30FD5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1A2CC3FB">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承包方式</w:t>
            </w:r>
          </w:p>
        </w:tc>
        <w:tc>
          <w:tcPr>
            <w:tcW w:w="2213" w:type="dxa"/>
            <w:vAlign w:val="center"/>
          </w:tcPr>
          <w:p w14:paraId="3A771BE1">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包工包料</w:t>
            </w:r>
          </w:p>
        </w:tc>
        <w:tc>
          <w:tcPr>
            <w:tcW w:w="1935" w:type="dxa"/>
            <w:gridSpan w:val="2"/>
            <w:vAlign w:val="center"/>
          </w:tcPr>
          <w:p w14:paraId="3519BD7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工期要求</w:t>
            </w:r>
          </w:p>
        </w:tc>
        <w:tc>
          <w:tcPr>
            <w:tcW w:w="3475" w:type="dxa"/>
            <w:vAlign w:val="center"/>
          </w:tcPr>
          <w:p w14:paraId="54C9EA34">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lang w:val="en-US" w:eastAsia="zh-CN"/>
              </w:rPr>
              <w:t>180</w:t>
            </w:r>
            <w:r>
              <w:rPr>
                <w:rFonts w:hint="eastAsia" w:ascii="宋体" w:hAnsi="宋体"/>
                <w:snapToGrid w:val="0"/>
                <w:color w:val="auto"/>
                <w:szCs w:val="21"/>
                <w:highlight w:val="none"/>
              </w:rPr>
              <w:t>日历天</w:t>
            </w:r>
          </w:p>
        </w:tc>
      </w:tr>
      <w:tr w14:paraId="165C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D955885">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质量要求</w:t>
            </w:r>
          </w:p>
        </w:tc>
        <w:tc>
          <w:tcPr>
            <w:tcW w:w="7623" w:type="dxa"/>
            <w:gridSpan w:val="4"/>
            <w:vAlign w:val="center"/>
          </w:tcPr>
          <w:p w14:paraId="3A7DAE45">
            <w:pPr>
              <w:spacing w:line="520" w:lineRule="exact"/>
              <w:jc w:val="center"/>
              <w:rPr>
                <w:rFonts w:hint="eastAsia" w:ascii="宋体" w:hAnsi="宋体" w:eastAsia="宋体"/>
                <w:snapToGrid w:val="0"/>
                <w:color w:val="auto"/>
                <w:szCs w:val="21"/>
                <w:highlight w:val="none"/>
                <w:lang w:eastAsia="zh-CN"/>
              </w:rPr>
            </w:pPr>
            <w:r>
              <w:rPr>
                <w:rFonts w:hint="eastAsia" w:ascii="宋体" w:hAnsi="宋体"/>
                <w:snapToGrid w:val="0"/>
                <w:color w:val="auto"/>
                <w:szCs w:val="21"/>
                <w:highlight w:val="none"/>
                <w:lang w:val="en-US" w:eastAsia="zh-CN"/>
              </w:rPr>
              <w:t>合格</w:t>
            </w:r>
          </w:p>
        </w:tc>
      </w:tr>
      <w:tr w14:paraId="6058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6C01733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现场踏勘</w:t>
            </w:r>
          </w:p>
        </w:tc>
        <w:tc>
          <w:tcPr>
            <w:tcW w:w="7623" w:type="dxa"/>
            <w:gridSpan w:val="4"/>
            <w:vAlign w:val="center"/>
          </w:tcPr>
          <w:p w14:paraId="2DC05C80">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自行现场踏勘</w:t>
            </w:r>
          </w:p>
        </w:tc>
      </w:tr>
      <w:tr w14:paraId="77802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2B6297B3">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投标有效期</w:t>
            </w:r>
          </w:p>
        </w:tc>
        <w:tc>
          <w:tcPr>
            <w:tcW w:w="7623" w:type="dxa"/>
            <w:gridSpan w:val="4"/>
            <w:vAlign w:val="center"/>
          </w:tcPr>
          <w:p w14:paraId="343278C7">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投标截止日后45日内有效</w:t>
            </w:r>
          </w:p>
        </w:tc>
      </w:tr>
      <w:tr w14:paraId="5A65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2265" w:type="dxa"/>
            <w:vAlign w:val="center"/>
          </w:tcPr>
          <w:p w14:paraId="0EA0F293">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投标文件份数</w:t>
            </w:r>
          </w:p>
        </w:tc>
        <w:tc>
          <w:tcPr>
            <w:tcW w:w="7623" w:type="dxa"/>
            <w:gridSpan w:val="4"/>
            <w:vAlign w:val="center"/>
          </w:tcPr>
          <w:p w14:paraId="527612B9">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投标文件为壹份正本，壹份副本，壹份</w:t>
            </w:r>
            <w:r>
              <w:rPr>
                <w:rFonts w:hint="eastAsia" w:ascii="宋体" w:hAnsi="宋体"/>
                <w:snapToGrid w:val="0"/>
                <w:color w:val="auto"/>
                <w:szCs w:val="21"/>
                <w:highlight w:val="none"/>
                <w:lang w:val="en-US" w:eastAsia="zh-CN"/>
              </w:rPr>
              <w:t>U</w:t>
            </w:r>
            <w:r>
              <w:rPr>
                <w:rFonts w:hint="eastAsia" w:ascii="宋体" w:hAnsi="宋体"/>
                <w:snapToGrid w:val="0"/>
                <w:color w:val="auto"/>
                <w:szCs w:val="21"/>
                <w:highlight w:val="none"/>
              </w:rPr>
              <w:t>盘，投标文件采用胶装本装订。</w:t>
            </w:r>
          </w:p>
          <w:p w14:paraId="77092DCA">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投标文件正、副本及</w:t>
            </w:r>
            <w:r>
              <w:rPr>
                <w:rFonts w:hint="eastAsia" w:ascii="宋体" w:hAnsi="宋体"/>
                <w:snapToGrid w:val="0"/>
                <w:color w:val="auto"/>
                <w:szCs w:val="21"/>
                <w:highlight w:val="none"/>
                <w:lang w:val="en-US" w:eastAsia="zh-CN"/>
              </w:rPr>
              <w:t>U</w:t>
            </w:r>
            <w:r>
              <w:rPr>
                <w:rFonts w:hint="eastAsia" w:ascii="宋体" w:hAnsi="宋体"/>
                <w:snapToGrid w:val="0"/>
                <w:color w:val="auto"/>
                <w:szCs w:val="21"/>
                <w:highlight w:val="none"/>
              </w:rPr>
              <w:t>盘需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2F3DF763">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投标文件、</w:t>
            </w:r>
            <w:r>
              <w:rPr>
                <w:rFonts w:hint="eastAsia" w:ascii="宋体" w:hAnsi="宋体"/>
                <w:snapToGrid w:val="0"/>
                <w:color w:val="auto"/>
                <w:szCs w:val="21"/>
                <w:highlight w:val="none"/>
                <w:lang w:val="en-US" w:eastAsia="zh-CN"/>
              </w:rPr>
              <w:t>U</w:t>
            </w:r>
            <w:r>
              <w:rPr>
                <w:rFonts w:hint="eastAsia" w:ascii="宋体" w:hAnsi="宋体"/>
                <w:snapToGrid w:val="0"/>
                <w:color w:val="auto"/>
                <w:szCs w:val="21"/>
                <w:highlight w:val="none"/>
              </w:rPr>
              <w:t>盘未按规定装订、密封、标志的不予接收。</w:t>
            </w:r>
          </w:p>
        </w:tc>
      </w:tr>
      <w:tr w14:paraId="3B46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8" w:hRule="atLeast"/>
        </w:trPr>
        <w:tc>
          <w:tcPr>
            <w:tcW w:w="2265" w:type="dxa"/>
            <w:tcBorders>
              <w:bottom w:val="single" w:color="auto" w:sz="4" w:space="0"/>
            </w:tcBorders>
            <w:vAlign w:val="center"/>
          </w:tcPr>
          <w:p w14:paraId="5DF0DB0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投标文件递交</w:t>
            </w:r>
          </w:p>
        </w:tc>
        <w:tc>
          <w:tcPr>
            <w:tcW w:w="7623" w:type="dxa"/>
            <w:gridSpan w:val="4"/>
            <w:tcBorders>
              <w:bottom w:val="single" w:color="auto" w:sz="4" w:space="0"/>
            </w:tcBorders>
            <w:vAlign w:val="center"/>
          </w:tcPr>
          <w:p w14:paraId="2B5BB1A1">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递交至：</w:t>
            </w:r>
            <w:r>
              <w:rPr>
                <w:rFonts w:hint="eastAsia" w:ascii="宋体" w:hAnsi="宋体"/>
                <w:color w:val="auto"/>
                <w:szCs w:val="21"/>
                <w:highlight w:val="none"/>
                <w:lang w:eastAsia="zh-CN"/>
              </w:rPr>
              <w:t>江苏开天工程咨询有限公司</w:t>
            </w:r>
            <w:r>
              <w:rPr>
                <w:rFonts w:hint="eastAsia" w:ascii="宋体" w:hAnsi="宋体"/>
                <w:color w:val="auto"/>
                <w:szCs w:val="21"/>
                <w:highlight w:val="none"/>
                <w:lang w:val="en-US" w:eastAsia="zh-CN"/>
              </w:rPr>
              <w:t>开标</w:t>
            </w:r>
            <w:r>
              <w:rPr>
                <w:rFonts w:hint="eastAsia"/>
                <w:color w:val="auto"/>
                <w:kern w:val="2"/>
                <w:sz w:val="21"/>
                <w:highlight w:val="none"/>
                <w:lang w:val="en-US" w:eastAsia="zh-CN" w:bidi="ar-SA"/>
              </w:rPr>
              <w:t>室</w:t>
            </w:r>
            <w:r>
              <w:rPr>
                <w:rFonts w:hint="eastAsia" w:ascii="宋体" w:hAnsi="宋体"/>
                <w:color w:val="auto"/>
                <w:szCs w:val="21"/>
                <w:highlight w:val="none"/>
                <w:lang w:val="en-US" w:eastAsia="zh-CN"/>
              </w:rPr>
              <w:t>（常州市青洋北路158号2号楼三楼）。</w:t>
            </w:r>
            <w:r>
              <w:rPr>
                <w:rFonts w:hint="eastAsia" w:ascii="宋体" w:hAnsi="宋体"/>
                <w:snapToGrid w:val="0"/>
                <w:color w:val="auto"/>
                <w:szCs w:val="21"/>
                <w:highlight w:val="none"/>
              </w:rPr>
              <w:t xml:space="preserve">                                  </w:t>
            </w:r>
          </w:p>
          <w:p w14:paraId="12488612">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接收人：</w:t>
            </w:r>
            <w:r>
              <w:rPr>
                <w:rFonts w:hint="eastAsia" w:ascii="宋体" w:hAnsi="宋体"/>
                <w:snapToGrid w:val="0"/>
                <w:color w:val="auto"/>
                <w:szCs w:val="21"/>
                <w:highlight w:val="none"/>
                <w:lang w:val="en-US" w:eastAsia="zh-CN"/>
              </w:rPr>
              <w:t>王</w:t>
            </w:r>
            <w:r>
              <w:rPr>
                <w:rFonts w:hint="eastAsia" w:ascii="宋体" w:hAnsi="宋体"/>
                <w:snapToGrid w:val="0"/>
                <w:color w:val="auto"/>
                <w:szCs w:val="21"/>
                <w:highlight w:val="none"/>
              </w:rPr>
              <w:t xml:space="preserve">工                                 </w:t>
            </w:r>
          </w:p>
          <w:p w14:paraId="6BAADCA3">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投标截止时间：202</w:t>
            </w:r>
            <w:r>
              <w:rPr>
                <w:rFonts w:hint="eastAsia" w:ascii="宋体" w:hAnsi="宋体"/>
                <w:snapToGrid w:val="0"/>
                <w:color w:val="auto"/>
                <w:szCs w:val="21"/>
                <w:highlight w:val="none"/>
                <w:lang w:val="en-US" w:eastAsia="zh-CN"/>
              </w:rPr>
              <w:t>5</w:t>
            </w:r>
            <w:r>
              <w:rPr>
                <w:rFonts w:hint="eastAsia" w:ascii="宋体" w:hAnsi="宋体"/>
                <w:snapToGrid w:val="0"/>
                <w:color w:val="auto"/>
                <w:szCs w:val="21"/>
                <w:highlight w:val="none"/>
              </w:rPr>
              <w:t>年</w:t>
            </w:r>
            <w:r>
              <w:rPr>
                <w:rFonts w:hint="eastAsia" w:ascii="宋体" w:hAnsi="宋体"/>
                <w:snapToGrid w:val="0"/>
                <w:color w:val="auto"/>
                <w:szCs w:val="21"/>
                <w:highlight w:val="none"/>
                <w:lang w:val="en-US" w:eastAsia="zh-CN"/>
              </w:rPr>
              <w:t>01</w:t>
            </w:r>
            <w:r>
              <w:rPr>
                <w:rFonts w:hint="eastAsia" w:ascii="宋体" w:hAnsi="宋体"/>
                <w:snapToGrid w:val="0"/>
                <w:color w:val="auto"/>
                <w:szCs w:val="21"/>
                <w:highlight w:val="none"/>
              </w:rPr>
              <w:t>月</w:t>
            </w:r>
            <w:r>
              <w:rPr>
                <w:rFonts w:hint="eastAsia" w:ascii="宋体" w:hAnsi="宋体"/>
                <w:snapToGrid w:val="0"/>
                <w:color w:val="auto"/>
                <w:szCs w:val="21"/>
                <w:highlight w:val="none"/>
                <w:lang w:val="en-US" w:eastAsia="zh-CN"/>
              </w:rPr>
              <w:t>13</w:t>
            </w:r>
            <w:r>
              <w:rPr>
                <w:rFonts w:hint="eastAsia" w:ascii="宋体" w:hAnsi="宋体"/>
                <w:snapToGrid w:val="0"/>
                <w:color w:val="auto"/>
                <w:szCs w:val="21"/>
                <w:highlight w:val="none"/>
              </w:rPr>
              <w:t>日</w:t>
            </w:r>
            <w:r>
              <w:rPr>
                <w:rFonts w:hint="eastAsia" w:ascii="宋体" w:hAnsi="宋体"/>
                <w:snapToGrid w:val="0"/>
                <w:color w:val="auto"/>
                <w:szCs w:val="21"/>
                <w:highlight w:val="none"/>
                <w:lang w:val="en-US" w:eastAsia="zh-CN"/>
              </w:rPr>
              <w:t xml:space="preserve"> 09:30</w:t>
            </w:r>
            <w:r>
              <w:rPr>
                <w:rFonts w:hint="eastAsia" w:ascii="宋体" w:hAnsi="宋体"/>
                <w:snapToGrid w:val="0"/>
                <w:color w:val="auto"/>
                <w:szCs w:val="21"/>
                <w:highlight w:val="none"/>
              </w:rPr>
              <w:t xml:space="preserve">                </w:t>
            </w:r>
          </w:p>
        </w:tc>
      </w:tr>
      <w:tr w14:paraId="29BE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2265" w:type="dxa"/>
            <w:vAlign w:val="center"/>
          </w:tcPr>
          <w:p w14:paraId="4FE6A8A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开    标</w:t>
            </w:r>
          </w:p>
        </w:tc>
        <w:tc>
          <w:tcPr>
            <w:tcW w:w="7623" w:type="dxa"/>
            <w:gridSpan w:val="4"/>
            <w:vAlign w:val="center"/>
          </w:tcPr>
          <w:p w14:paraId="3D6F9D5F">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时间：202</w:t>
            </w:r>
            <w:r>
              <w:rPr>
                <w:rFonts w:hint="eastAsia" w:ascii="宋体" w:hAnsi="宋体"/>
                <w:snapToGrid w:val="0"/>
                <w:color w:val="auto"/>
                <w:szCs w:val="21"/>
                <w:highlight w:val="none"/>
                <w:lang w:val="en-US" w:eastAsia="zh-CN"/>
              </w:rPr>
              <w:t>4</w:t>
            </w:r>
            <w:r>
              <w:rPr>
                <w:rFonts w:hint="eastAsia" w:ascii="宋体" w:hAnsi="宋体"/>
                <w:snapToGrid w:val="0"/>
                <w:color w:val="auto"/>
                <w:szCs w:val="21"/>
                <w:highlight w:val="none"/>
              </w:rPr>
              <w:t>年</w:t>
            </w:r>
            <w:r>
              <w:rPr>
                <w:rFonts w:hint="eastAsia" w:ascii="宋体" w:hAnsi="宋体"/>
                <w:snapToGrid w:val="0"/>
                <w:color w:val="auto"/>
                <w:szCs w:val="21"/>
                <w:highlight w:val="none"/>
                <w:lang w:val="en-US" w:eastAsia="zh-CN"/>
              </w:rPr>
              <w:t>01</w:t>
            </w:r>
            <w:r>
              <w:rPr>
                <w:rFonts w:hint="eastAsia" w:ascii="宋体" w:hAnsi="宋体"/>
                <w:snapToGrid w:val="0"/>
                <w:color w:val="auto"/>
                <w:szCs w:val="21"/>
                <w:highlight w:val="none"/>
              </w:rPr>
              <w:t>月</w:t>
            </w:r>
            <w:r>
              <w:rPr>
                <w:rFonts w:hint="eastAsia" w:ascii="宋体" w:hAnsi="宋体"/>
                <w:snapToGrid w:val="0"/>
                <w:color w:val="auto"/>
                <w:szCs w:val="21"/>
                <w:highlight w:val="none"/>
                <w:lang w:val="en-US" w:eastAsia="zh-CN"/>
              </w:rPr>
              <w:t>13</w:t>
            </w:r>
            <w:r>
              <w:rPr>
                <w:rFonts w:hint="eastAsia" w:ascii="宋体" w:hAnsi="宋体"/>
                <w:snapToGrid w:val="0"/>
                <w:color w:val="auto"/>
                <w:szCs w:val="21"/>
                <w:highlight w:val="none"/>
              </w:rPr>
              <w:t>日</w:t>
            </w:r>
            <w:r>
              <w:rPr>
                <w:rFonts w:hint="eastAsia" w:ascii="宋体" w:hAnsi="宋体"/>
                <w:snapToGrid w:val="0"/>
                <w:color w:val="auto"/>
                <w:szCs w:val="21"/>
                <w:highlight w:val="none"/>
                <w:lang w:val="en-US" w:eastAsia="zh-CN"/>
              </w:rPr>
              <w:t xml:space="preserve"> 09:30</w:t>
            </w:r>
            <w:r>
              <w:rPr>
                <w:rFonts w:hint="eastAsia" w:ascii="宋体" w:hAnsi="宋体"/>
                <w:snapToGrid w:val="0"/>
                <w:color w:val="auto"/>
                <w:szCs w:val="21"/>
                <w:highlight w:val="none"/>
              </w:rPr>
              <w:t xml:space="preserve">                                       </w:t>
            </w:r>
          </w:p>
          <w:p w14:paraId="59478EAA">
            <w:pPr>
              <w:spacing w:line="520" w:lineRule="exact"/>
              <w:jc w:val="left"/>
              <w:rPr>
                <w:rFonts w:ascii="宋体" w:hAnsi="宋体"/>
                <w:snapToGrid w:val="0"/>
                <w:color w:val="auto"/>
                <w:szCs w:val="21"/>
                <w:highlight w:val="none"/>
              </w:rPr>
            </w:pPr>
            <w:r>
              <w:rPr>
                <w:rFonts w:hint="eastAsia" w:ascii="宋体" w:hAnsi="宋体"/>
                <w:snapToGrid w:val="0"/>
                <w:color w:val="auto"/>
                <w:szCs w:val="21"/>
                <w:highlight w:val="none"/>
              </w:rPr>
              <w:t>地点：</w:t>
            </w:r>
            <w:r>
              <w:rPr>
                <w:rFonts w:hint="eastAsia" w:ascii="宋体" w:hAnsi="宋体"/>
                <w:color w:val="auto"/>
                <w:szCs w:val="21"/>
                <w:highlight w:val="none"/>
                <w:lang w:eastAsia="zh-CN"/>
              </w:rPr>
              <w:t>江苏开天工程咨询有限公司</w:t>
            </w:r>
            <w:r>
              <w:rPr>
                <w:rFonts w:hint="eastAsia"/>
                <w:color w:val="auto"/>
                <w:kern w:val="2"/>
                <w:sz w:val="21"/>
                <w:highlight w:val="none"/>
                <w:lang w:val="en-US" w:eastAsia="zh-CN" w:bidi="ar-SA"/>
              </w:rPr>
              <w:t>开标室</w:t>
            </w:r>
            <w:r>
              <w:rPr>
                <w:rFonts w:hint="eastAsia" w:ascii="宋体" w:hAnsi="宋体"/>
                <w:color w:val="auto"/>
                <w:szCs w:val="21"/>
                <w:highlight w:val="none"/>
                <w:lang w:val="en-US" w:eastAsia="zh-CN"/>
              </w:rPr>
              <w:t>（常州市青洋北路158号2号楼三楼）。</w:t>
            </w:r>
            <w:r>
              <w:rPr>
                <w:rFonts w:hint="eastAsia" w:ascii="宋体" w:hAnsi="宋体"/>
                <w:snapToGrid w:val="0"/>
                <w:color w:val="auto"/>
                <w:szCs w:val="21"/>
                <w:highlight w:val="none"/>
              </w:rPr>
              <w:t xml:space="preserve">                                         </w:t>
            </w:r>
          </w:p>
        </w:tc>
      </w:tr>
      <w:tr w14:paraId="2719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265" w:type="dxa"/>
            <w:vAlign w:val="center"/>
          </w:tcPr>
          <w:p w14:paraId="3F4EB9AF">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评标办法</w:t>
            </w:r>
          </w:p>
        </w:tc>
        <w:tc>
          <w:tcPr>
            <w:tcW w:w="7623" w:type="dxa"/>
            <w:gridSpan w:val="4"/>
            <w:vAlign w:val="center"/>
          </w:tcPr>
          <w:p w14:paraId="0461F8BD">
            <w:pPr>
              <w:spacing w:line="520" w:lineRule="exact"/>
              <w:jc w:val="center"/>
              <w:rPr>
                <w:rFonts w:ascii="宋体" w:hAnsi="宋体"/>
                <w:snapToGrid w:val="0"/>
                <w:color w:val="auto"/>
                <w:szCs w:val="21"/>
                <w:highlight w:val="none"/>
              </w:rPr>
            </w:pPr>
            <w:r>
              <w:rPr>
                <w:rFonts w:hint="eastAsia" w:ascii="宋体" w:hAnsi="宋体"/>
                <w:color w:val="auto"/>
                <w:szCs w:val="21"/>
                <w:highlight w:val="none"/>
                <w:lang w:eastAsia="zh-CN"/>
              </w:rPr>
              <w:t>合理低价法</w:t>
            </w:r>
          </w:p>
        </w:tc>
      </w:tr>
      <w:tr w14:paraId="2D49C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trPr>
        <w:tc>
          <w:tcPr>
            <w:tcW w:w="2265" w:type="dxa"/>
            <w:vAlign w:val="center"/>
          </w:tcPr>
          <w:p w14:paraId="0DC5D19E">
            <w:pPr>
              <w:spacing w:line="520" w:lineRule="exact"/>
              <w:jc w:val="center"/>
              <w:rPr>
                <w:rFonts w:ascii="宋体" w:hAnsi="宋体"/>
                <w:snapToGrid w:val="0"/>
                <w:color w:val="auto"/>
                <w:szCs w:val="21"/>
                <w:highlight w:val="none"/>
              </w:rPr>
            </w:pPr>
            <w:r>
              <w:rPr>
                <w:rFonts w:hint="eastAsia" w:ascii="宋体" w:hAnsi="宋体"/>
                <w:snapToGrid w:val="0"/>
                <w:color w:val="auto"/>
                <w:szCs w:val="21"/>
                <w:highlight w:val="none"/>
              </w:rPr>
              <w:t>其    他</w:t>
            </w:r>
          </w:p>
        </w:tc>
        <w:tc>
          <w:tcPr>
            <w:tcW w:w="7623" w:type="dxa"/>
            <w:gridSpan w:val="4"/>
            <w:vAlign w:val="center"/>
          </w:tcPr>
          <w:p w14:paraId="7A4B9060">
            <w:pPr>
              <w:spacing w:line="480" w:lineRule="exact"/>
              <w:jc w:val="left"/>
              <w:rPr>
                <w:rFonts w:ascii="宋体" w:hAnsi="宋体"/>
                <w:snapToGrid w:val="0"/>
                <w:color w:val="auto"/>
                <w:szCs w:val="21"/>
                <w:highlight w:val="none"/>
              </w:rPr>
            </w:pPr>
            <w:r>
              <w:rPr>
                <w:rFonts w:hint="eastAsia" w:ascii="宋体" w:hAnsi="宋体" w:eastAsia="宋体" w:cs="Times New Roman"/>
                <w:color w:val="auto"/>
                <w:sz w:val="21"/>
                <w:szCs w:val="21"/>
                <w:highlight w:val="none"/>
                <w:lang w:val="en-US" w:eastAsia="zh-CN"/>
              </w:rPr>
              <w:t>履约担保：履约担保金额为中标价（扣除暂列金额）的</w:t>
            </w:r>
            <w:r>
              <w:rPr>
                <w:rFonts w:hint="eastAsia" w:ascii="宋体" w:hAnsi="宋体" w:cs="Times New Roman"/>
                <w:color w:val="auto"/>
                <w:sz w:val="21"/>
                <w:szCs w:val="21"/>
                <w:highlight w:val="none"/>
                <w:lang w:val="en-US" w:eastAsia="zh-CN"/>
              </w:rPr>
              <w:t>10</w:t>
            </w:r>
            <w:r>
              <w:rPr>
                <w:rFonts w:hint="eastAsia" w:ascii="宋体" w:hAnsi="宋体" w:eastAsia="宋体" w:cs="Times New Roman"/>
                <w:color w:val="auto"/>
                <w:sz w:val="21"/>
                <w:szCs w:val="21"/>
                <w:highlight w:val="none"/>
                <w:lang w:val="en-US" w:eastAsia="zh-CN"/>
              </w:rPr>
              <w:t>% ；履约担保形式：现金或</w:t>
            </w:r>
            <w:r>
              <w:rPr>
                <w:rFonts w:hint="eastAsia" w:ascii="宋体" w:hAnsi="宋体" w:cs="Times New Roman"/>
                <w:color w:val="auto"/>
                <w:sz w:val="21"/>
                <w:szCs w:val="21"/>
                <w:highlight w:val="none"/>
                <w:lang w:val="en-US" w:eastAsia="zh-CN"/>
              </w:rPr>
              <w:t>银行</w:t>
            </w:r>
            <w:r>
              <w:rPr>
                <w:rFonts w:hint="eastAsia" w:ascii="宋体" w:hAnsi="宋体" w:eastAsia="宋体" w:cs="Times New Roman"/>
                <w:color w:val="auto"/>
                <w:sz w:val="21"/>
                <w:szCs w:val="21"/>
                <w:highlight w:val="none"/>
                <w:lang w:val="en-US" w:eastAsia="zh-CN"/>
              </w:rPr>
              <w:t>保函；履约担保退还的时间：</w:t>
            </w:r>
            <w:r>
              <w:rPr>
                <w:rFonts w:hint="eastAsia" w:ascii="宋体" w:hAnsi="宋体" w:cs="Times New Roman"/>
                <w:color w:val="auto"/>
                <w:sz w:val="21"/>
                <w:szCs w:val="21"/>
                <w:highlight w:val="none"/>
                <w:lang w:val="en-US" w:eastAsia="zh-CN"/>
              </w:rPr>
              <w:t>招标人</w:t>
            </w:r>
            <w:r>
              <w:rPr>
                <w:rFonts w:hint="eastAsia" w:ascii="宋体" w:hAnsi="宋体" w:eastAsia="宋体" w:cs="Times New Roman"/>
                <w:color w:val="auto"/>
                <w:sz w:val="21"/>
                <w:szCs w:val="21"/>
                <w:highlight w:val="none"/>
                <w:lang w:val="en-US" w:eastAsia="zh-CN"/>
              </w:rPr>
              <w:t>在对项目竣工验收合格后，</w:t>
            </w:r>
            <w:r>
              <w:rPr>
                <w:rFonts w:hint="eastAsia" w:ascii="宋体" w:hAnsi="宋体" w:cs="Times New Roman"/>
                <w:color w:val="auto"/>
                <w:sz w:val="21"/>
                <w:szCs w:val="21"/>
                <w:highlight w:val="none"/>
                <w:lang w:val="en-US" w:eastAsia="zh-CN"/>
              </w:rPr>
              <w:t>中标人</w:t>
            </w:r>
            <w:r>
              <w:rPr>
                <w:rFonts w:hint="eastAsia" w:ascii="宋体" w:hAnsi="宋体" w:eastAsia="宋体" w:cs="Times New Roman"/>
                <w:color w:val="auto"/>
                <w:sz w:val="21"/>
                <w:szCs w:val="21"/>
                <w:highlight w:val="none"/>
                <w:lang w:val="en-US" w:eastAsia="zh-CN"/>
              </w:rPr>
              <w:t>未发生违约、违规情形的，甲方</w:t>
            </w:r>
            <w:r>
              <w:rPr>
                <w:rFonts w:hint="eastAsia" w:ascii="宋体" w:hAnsi="宋体" w:cs="Times New Roman"/>
                <w:color w:val="auto"/>
                <w:sz w:val="21"/>
                <w:szCs w:val="21"/>
                <w:highlight w:val="none"/>
                <w:lang w:val="en-US" w:eastAsia="zh-CN"/>
              </w:rPr>
              <w:t>无</w:t>
            </w:r>
            <w:r>
              <w:rPr>
                <w:rFonts w:hint="eastAsia" w:ascii="宋体" w:hAnsi="宋体" w:eastAsia="宋体" w:cs="Times New Roman"/>
                <w:color w:val="auto"/>
                <w:sz w:val="21"/>
                <w:szCs w:val="21"/>
                <w:highlight w:val="none"/>
                <w:lang w:val="en-US" w:eastAsia="zh-CN"/>
              </w:rPr>
              <w:t>息退还履约保证金（若有剩余）。</w:t>
            </w:r>
          </w:p>
        </w:tc>
      </w:tr>
    </w:tbl>
    <w:p w14:paraId="4FFE7538">
      <w:pPr>
        <w:pageBreakBefore/>
        <w:spacing w:line="440" w:lineRule="exact"/>
        <w:ind w:firstLine="567"/>
        <w:jc w:val="center"/>
        <w:rPr>
          <w:rFonts w:ascii="宋体" w:hAnsi="宋体"/>
          <w:b/>
          <w:bCs/>
          <w:color w:val="auto"/>
          <w:szCs w:val="21"/>
          <w:highlight w:val="none"/>
        </w:rPr>
      </w:pPr>
      <w:r>
        <w:rPr>
          <w:rFonts w:hint="eastAsia" w:ascii="宋体" w:hAnsi="宋体"/>
          <w:b/>
          <w:bCs/>
          <w:color w:val="auto"/>
          <w:szCs w:val="21"/>
          <w:highlight w:val="none"/>
        </w:rPr>
        <w:t>一、总     则</w:t>
      </w:r>
    </w:p>
    <w:p w14:paraId="73722AC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（一）工程概况</w:t>
      </w:r>
    </w:p>
    <w:p w14:paraId="11875E0C">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1、招标范围：</w:t>
      </w:r>
      <w:r>
        <w:rPr>
          <w:rFonts w:hint="eastAsia" w:ascii="宋体" w:hAnsi="宋体"/>
          <w:color w:val="auto"/>
          <w:szCs w:val="21"/>
          <w:highlight w:val="none"/>
          <w:u w:val="single"/>
          <w:lang w:val="en-US" w:eastAsia="zh-CN"/>
        </w:rPr>
        <w:t>工程量清单（含编制说明）范围内所有工程。</w:t>
      </w:r>
      <w:r>
        <w:rPr>
          <w:rFonts w:hint="eastAsia" w:ascii="宋体" w:hAnsi="宋体"/>
          <w:color w:val="auto"/>
          <w:szCs w:val="21"/>
          <w:highlight w:val="none"/>
          <w:u w:val="single"/>
        </w:rPr>
        <w:t xml:space="preserve">            </w:t>
      </w:r>
    </w:p>
    <w:p w14:paraId="13C85BAD">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2、现场施工条件</w:t>
      </w:r>
    </w:p>
    <w:p w14:paraId="6364C6FE">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（1）建设用地</w:t>
      </w:r>
      <w:r>
        <w:rPr>
          <w:rFonts w:hint="eastAsia" w:ascii="宋体" w:hAnsi="宋体"/>
          <w:color w:val="auto"/>
          <w:szCs w:val="21"/>
          <w:highlight w:val="none"/>
          <w:u w:val="single"/>
        </w:rPr>
        <w:t xml:space="preserve">                    已落实                      </w:t>
      </w:r>
    </w:p>
    <w:p w14:paraId="7FADAE34">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u w:val="single"/>
        </w:rPr>
      </w:pPr>
      <w:r>
        <w:rPr>
          <w:rFonts w:hint="eastAsia" w:ascii="宋体" w:hAnsi="宋体"/>
          <w:color w:val="auto"/>
          <w:szCs w:val="21"/>
          <w:highlight w:val="none"/>
        </w:rPr>
        <w:t>（2）场地拆迁及平整情况</w:t>
      </w:r>
      <w:r>
        <w:rPr>
          <w:rFonts w:hint="eastAsia" w:ascii="宋体" w:hAnsi="宋体"/>
          <w:color w:val="auto"/>
          <w:szCs w:val="21"/>
          <w:highlight w:val="none"/>
          <w:u w:val="single"/>
        </w:rPr>
        <w:t xml:space="preserve">          已落实                      </w:t>
      </w:r>
    </w:p>
    <w:p w14:paraId="76FE84B5">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（3）施工用水、电</w:t>
      </w:r>
      <w:r>
        <w:rPr>
          <w:rFonts w:hint="eastAsia" w:ascii="宋体" w:hAnsi="宋体"/>
          <w:color w:val="auto"/>
          <w:szCs w:val="21"/>
          <w:highlight w:val="none"/>
          <w:u w:val="single"/>
        </w:rPr>
        <w:t xml:space="preserve">  施工用电、用水由承包单位自行解决。用电、用水的相关费用已包含在投标价中，结算时不另行调整。 </w:t>
      </w:r>
    </w:p>
    <w:p w14:paraId="1F3265A7">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（4）有关勘探资料</w:t>
      </w:r>
      <w:r>
        <w:rPr>
          <w:rFonts w:hint="eastAsia" w:ascii="宋体" w:hAnsi="宋体"/>
          <w:color w:val="auto"/>
          <w:szCs w:val="21"/>
          <w:highlight w:val="none"/>
          <w:u w:val="single"/>
        </w:rPr>
        <w:t xml:space="preserve">               已齐全                       </w:t>
      </w:r>
    </w:p>
    <w:p w14:paraId="59E69413">
      <w:pPr>
        <w:keepNext w:val="0"/>
        <w:keepLines w:val="0"/>
        <w:pageBreakBefore w:val="0"/>
        <w:widowControl w:val="0"/>
        <w:kinsoku/>
        <w:wordWrap/>
        <w:overflowPunct/>
        <w:topLinePunct w:val="0"/>
        <w:autoSpaceDE/>
        <w:autoSpaceDN/>
        <w:bidi w:val="0"/>
        <w:adjustRightInd w:val="0"/>
        <w:snapToGrid w:val="0"/>
        <w:spacing w:line="460" w:lineRule="exact"/>
        <w:ind w:left="424" w:leftChars="202"/>
        <w:textAlignment w:val="auto"/>
        <w:rPr>
          <w:rFonts w:ascii="宋体" w:hAnsi="宋体"/>
          <w:color w:val="auto"/>
          <w:szCs w:val="21"/>
          <w:highlight w:val="none"/>
          <w:u w:val="single"/>
        </w:rPr>
      </w:pPr>
      <w:r>
        <w:rPr>
          <w:rFonts w:hint="eastAsia" w:ascii="宋体" w:hAnsi="宋体"/>
          <w:color w:val="auto"/>
          <w:szCs w:val="21"/>
          <w:highlight w:val="none"/>
        </w:rPr>
        <w:t>（5）其它</w:t>
      </w:r>
      <w:r>
        <w:rPr>
          <w:rFonts w:hint="eastAsia" w:ascii="宋体" w:hAnsi="宋体"/>
          <w:color w:val="auto"/>
          <w:szCs w:val="21"/>
          <w:highlight w:val="none"/>
          <w:u w:val="single"/>
        </w:rPr>
        <w:t xml:space="preserve"> 投标人在规定时间内踏勘现场，对现场施工条件等与投标相关的条件进行考察，并以书面形式给予招标人答复。投标人必须承担踏勘现场的安全责任，并承担一切费用。</w:t>
      </w:r>
    </w:p>
    <w:p w14:paraId="7E575257">
      <w:pPr>
        <w:keepNext w:val="0"/>
        <w:keepLines w:val="0"/>
        <w:pageBreakBefore w:val="0"/>
        <w:widowControl w:val="0"/>
        <w:kinsoku/>
        <w:wordWrap/>
        <w:overflowPunct/>
        <w:topLinePunct w:val="0"/>
        <w:autoSpaceDE/>
        <w:autoSpaceDN/>
        <w:bidi w:val="0"/>
        <w:adjustRightInd w:val="0"/>
        <w:snapToGrid w:val="0"/>
        <w:spacing w:line="460" w:lineRule="exact"/>
        <w:ind w:firstLine="411" w:firstLineChars="196"/>
        <w:textAlignment w:val="auto"/>
        <w:rPr>
          <w:rFonts w:ascii="宋体" w:hAnsi="宋体"/>
          <w:color w:val="auto"/>
          <w:szCs w:val="21"/>
          <w:highlight w:val="none"/>
          <w:u w:val="single"/>
        </w:rPr>
      </w:pPr>
      <w:r>
        <w:rPr>
          <w:rFonts w:hint="eastAsia" w:ascii="宋体" w:hAnsi="宋体"/>
          <w:color w:val="auto"/>
          <w:szCs w:val="21"/>
          <w:highlight w:val="none"/>
        </w:rPr>
        <w:t>3、工程资金来源</w:t>
      </w:r>
      <w:r>
        <w:rPr>
          <w:rFonts w:hint="eastAsia" w:ascii="宋体" w:hAnsi="宋体"/>
          <w:color w:val="auto"/>
          <w:szCs w:val="21"/>
          <w:highlight w:val="none"/>
          <w:u w:val="single"/>
        </w:rPr>
        <w:t xml:space="preserve">                  自筹                     </w:t>
      </w:r>
    </w:p>
    <w:p w14:paraId="00638C0A">
      <w:pPr>
        <w:keepNext w:val="0"/>
        <w:keepLines w:val="0"/>
        <w:pageBreakBefore w:val="0"/>
        <w:widowControl w:val="0"/>
        <w:kinsoku/>
        <w:wordWrap/>
        <w:overflowPunct/>
        <w:topLinePunct w:val="0"/>
        <w:autoSpaceDE/>
        <w:autoSpaceDN/>
        <w:bidi w:val="0"/>
        <w:adjustRightInd w:val="0"/>
        <w:snapToGrid w:val="0"/>
        <w:spacing w:line="460" w:lineRule="exact"/>
        <w:ind w:firstLine="399" w:firstLineChars="190"/>
        <w:textAlignment w:val="auto"/>
        <w:rPr>
          <w:rFonts w:ascii="宋体" w:hAnsi="宋体"/>
          <w:color w:val="auto"/>
          <w:szCs w:val="21"/>
          <w:highlight w:val="none"/>
          <w:u w:val="single"/>
        </w:rPr>
      </w:pPr>
      <w:r>
        <w:rPr>
          <w:rFonts w:hint="eastAsia" w:ascii="宋体" w:hAnsi="宋体"/>
          <w:color w:val="auto"/>
          <w:szCs w:val="21"/>
          <w:highlight w:val="none"/>
        </w:rPr>
        <w:t>4、工程资金落实情况</w:t>
      </w:r>
      <w:r>
        <w:rPr>
          <w:rFonts w:hint="eastAsia" w:ascii="宋体" w:hAnsi="宋体"/>
          <w:color w:val="auto"/>
          <w:szCs w:val="21"/>
          <w:highlight w:val="none"/>
          <w:u w:val="single"/>
        </w:rPr>
        <w:t xml:space="preserve">              已落实                   </w:t>
      </w:r>
    </w:p>
    <w:p w14:paraId="5B52E787">
      <w:pPr>
        <w:keepNext w:val="0"/>
        <w:keepLines w:val="0"/>
        <w:pageBreakBefore w:val="0"/>
        <w:widowControl w:val="0"/>
        <w:kinsoku/>
        <w:wordWrap/>
        <w:overflowPunct/>
        <w:topLinePunct w:val="0"/>
        <w:autoSpaceDE/>
        <w:autoSpaceDN/>
        <w:bidi w:val="0"/>
        <w:adjustRightInd w:val="0"/>
        <w:snapToGrid w:val="0"/>
        <w:spacing w:line="460" w:lineRule="exact"/>
        <w:ind w:firstLine="386" w:firstLineChars="184"/>
        <w:textAlignment w:val="auto"/>
        <w:rPr>
          <w:rFonts w:ascii="宋体" w:hAnsi="宋体"/>
          <w:color w:val="auto"/>
          <w:szCs w:val="21"/>
          <w:highlight w:val="none"/>
        </w:rPr>
      </w:pPr>
      <w:r>
        <w:rPr>
          <w:rFonts w:hint="eastAsia" w:ascii="宋体" w:hAnsi="宋体"/>
          <w:color w:val="auto"/>
          <w:szCs w:val="21"/>
          <w:highlight w:val="none"/>
        </w:rPr>
        <w:t>5、本工程采用</w:t>
      </w:r>
      <w:r>
        <w:rPr>
          <w:rFonts w:hint="eastAsia" w:ascii="宋体" w:hAnsi="宋体"/>
          <w:color w:val="auto"/>
          <w:szCs w:val="21"/>
          <w:highlight w:val="none"/>
          <w:u w:val="single"/>
        </w:rPr>
        <w:t xml:space="preserve">  公开招标方式  </w:t>
      </w:r>
      <w:r>
        <w:rPr>
          <w:rFonts w:hint="eastAsia" w:ascii="宋体" w:hAnsi="宋体"/>
          <w:color w:val="auto"/>
          <w:szCs w:val="21"/>
          <w:highlight w:val="none"/>
        </w:rPr>
        <w:t>确定中标人。</w:t>
      </w:r>
    </w:p>
    <w:p w14:paraId="20824B1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（二）投标费用</w:t>
      </w:r>
    </w:p>
    <w:p w14:paraId="136CABF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不管投标结果如何，投标人应承担其编制投标文件与递交投标文件所涉及的一切费用。</w:t>
      </w:r>
    </w:p>
    <w:p w14:paraId="184F92C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（三）本工程不接受联合体投标</w:t>
      </w:r>
    </w:p>
    <w:p w14:paraId="3256A48D">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二、招 标 文 件</w:t>
      </w:r>
    </w:p>
    <w:p w14:paraId="4046820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（四）招标文件的组成</w:t>
      </w:r>
    </w:p>
    <w:p w14:paraId="28BCE5F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1、招标文件包括本文件及所有按第（五）（六）条发出的修改澄清通知。</w:t>
      </w:r>
    </w:p>
    <w:p w14:paraId="318F327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2、投标人应认真阅读招标文件所有的内容，如果投标人的投标文件不能实质性地响应招标文件要求，责任由投标人自负。</w:t>
      </w:r>
    </w:p>
    <w:p w14:paraId="2439363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（五）招标文件的澄清</w:t>
      </w:r>
    </w:p>
    <w:p w14:paraId="64767D4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1、本工程招标文件的澄清方式：投标人在收到招标文件（含工程量清单）和踏勘现场后，若有疑问需要澄清，应于</w:t>
      </w:r>
      <w:r>
        <w:rPr>
          <w:rFonts w:hint="eastAsia" w:ascii="宋体" w:hAnsi="宋体"/>
          <w:color w:val="auto"/>
          <w:szCs w:val="21"/>
          <w:highlight w:val="none"/>
          <w:lang w:val="en-US" w:eastAsia="zh-CN"/>
        </w:rPr>
        <w:t>2025年01月07日17:0前</w:t>
      </w:r>
      <w:r>
        <w:rPr>
          <w:rFonts w:hint="eastAsia" w:ascii="宋体" w:hAnsi="宋体"/>
          <w:color w:val="auto"/>
          <w:szCs w:val="21"/>
          <w:highlight w:val="none"/>
        </w:rPr>
        <w:t>以书面形式向招标人提出，招标人将以书面形式予以解答。工程量清单数量如有误，招标人将以书面形式发出修改通知，进行修正。</w:t>
      </w:r>
    </w:p>
    <w:p w14:paraId="1EFE522E">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2、所有问题的解答，将在</w:t>
      </w:r>
      <w:r>
        <w:rPr>
          <w:rFonts w:hint="eastAsia" w:ascii="宋体" w:hAnsi="宋体"/>
          <w:color w:val="auto"/>
          <w:szCs w:val="21"/>
          <w:highlight w:val="none"/>
          <w:u w:val="none"/>
          <w:lang w:val="en-US" w:eastAsia="zh-CN"/>
        </w:rPr>
        <w:t>投标截止时间3</w:t>
      </w:r>
      <w:r>
        <w:rPr>
          <w:rFonts w:hint="eastAsia" w:ascii="宋体" w:hAnsi="宋体"/>
          <w:color w:val="auto"/>
          <w:szCs w:val="21"/>
          <w:highlight w:val="none"/>
          <w:lang w:val="en-US" w:eastAsia="zh-CN"/>
        </w:rPr>
        <w:t>天前</w:t>
      </w:r>
      <w:r>
        <w:rPr>
          <w:rFonts w:hint="eastAsia" w:ascii="宋体" w:hAnsi="宋体"/>
          <w:color w:val="auto"/>
          <w:szCs w:val="21"/>
          <w:highlight w:val="none"/>
        </w:rPr>
        <w:t>提供给所有投标人。由此而产生的对招标文件内容的修改，以修改通知的方式发出。</w:t>
      </w:r>
    </w:p>
    <w:p w14:paraId="59199F2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（六）招标文件的修改</w:t>
      </w:r>
    </w:p>
    <w:p w14:paraId="3F177DA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1、在投标截止日期</w:t>
      </w:r>
      <w:r>
        <w:rPr>
          <w:rFonts w:hint="eastAsia" w:ascii="宋体" w:hAnsi="宋体"/>
          <w:color w:val="auto"/>
          <w:szCs w:val="21"/>
          <w:highlight w:val="none"/>
          <w:u w:val="single"/>
        </w:rPr>
        <w:t>3</w:t>
      </w:r>
      <w:r>
        <w:rPr>
          <w:rFonts w:hint="eastAsia" w:ascii="宋体" w:hAnsi="宋体"/>
          <w:color w:val="auto"/>
          <w:szCs w:val="21"/>
          <w:highlight w:val="none"/>
        </w:rPr>
        <w:t>天前，招标人都可能会以书面通知的方式修改招标文件。修改通知作为招标文件的组成部分，对投标人起同等约束作用。</w:t>
      </w:r>
    </w:p>
    <w:p w14:paraId="55523B9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2、为使投标人在编制投标文件时把修改通知内容考虑进去，招标人可以酌情延长递交投标文件的截止日期。具体时间将在修改通知中写明。</w:t>
      </w:r>
    </w:p>
    <w:p w14:paraId="78A7366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3、当招标文件、修改通知内容相互矛盾时，以最后发出的通知为准。</w:t>
      </w:r>
    </w:p>
    <w:p w14:paraId="762CF298">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三、投 标 报 价</w:t>
      </w:r>
    </w:p>
    <w:p w14:paraId="746CF54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（七）投标报价</w:t>
      </w:r>
    </w:p>
    <w:p w14:paraId="06503E7C">
      <w:pPr>
        <w:keepNext w:val="0"/>
        <w:keepLines w:val="0"/>
        <w:pageBreakBefore w:val="0"/>
        <w:widowControl w:val="0"/>
        <w:tabs>
          <w:tab w:val="left" w:pos="0"/>
        </w:tabs>
        <w:kinsoku/>
        <w:wordWrap/>
        <w:overflowPunct/>
        <w:topLinePunct w:val="0"/>
        <w:autoSpaceDE/>
        <w:autoSpaceDN/>
        <w:bidi w:val="0"/>
        <w:adjustRightInd w:val="0"/>
        <w:snapToGrid w:val="0"/>
        <w:spacing w:line="460" w:lineRule="exact"/>
        <w:ind w:firstLine="403" w:firstLineChars="192"/>
        <w:textAlignment w:val="auto"/>
        <w:rPr>
          <w:rFonts w:ascii="宋体" w:hAnsi="宋体"/>
          <w:color w:val="auto"/>
          <w:szCs w:val="21"/>
          <w:highlight w:val="none"/>
        </w:rPr>
      </w:pPr>
      <w:r>
        <w:rPr>
          <w:rFonts w:hint="eastAsia" w:ascii="宋体" w:hAnsi="宋体"/>
          <w:color w:val="auto"/>
          <w:szCs w:val="21"/>
          <w:highlight w:val="none"/>
        </w:rPr>
        <w:t>1、本工程采用工程量清单综合单价计价。</w:t>
      </w:r>
    </w:p>
    <w:p w14:paraId="7962DB92">
      <w:pPr>
        <w:keepNext w:val="0"/>
        <w:keepLines w:val="0"/>
        <w:pageBreakBefore w:val="0"/>
        <w:widowControl w:val="0"/>
        <w:tabs>
          <w:tab w:val="left" w:pos="0"/>
        </w:tabs>
        <w:kinsoku/>
        <w:wordWrap/>
        <w:overflowPunct/>
        <w:topLinePunct w:val="0"/>
        <w:autoSpaceDE/>
        <w:autoSpaceDN/>
        <w:bidi w:val="0"/>
        <w:adjustRightInd w:val="0"/>
        <w:snapToGrid w:val="0"/>
        <w:spacing w:line="460" w:lineRule="exact"/>
        <w:ind w:firstLine="403" w:firstLineChars="192"/>
        <w:textAlignment w:val="auto"/>
        <w:rPr>
          <w:rFonts w:ascii="宋体" w:hAnsi="宋体"/>
          <w:color w:val="auto"/>
          <w:szCs w:val="21"/>
          <w:highlight w:val="none"/>
        </w:rPr>
      </w:pPr>
      <w:r>
        <w:rPr>
          <w:rFonts w:hint="eastAsia" w:ascii="宋体" w:hAnsi="宋体"/>
          <w:color w:val="auto"/>
          <w:szCs w:val="21"/>
          <w:highlight w:val="none"/>
        </w:rPr>
        <w:t>2、同期类似项目中标单价结合市场调研后的市场询价</w:t>
      </w:r>
    </w:p>
    <w:p w14:paraId="1CE642A3">
      <w:pPr>
        <w:keepNext w:val="0"/>
        <w:keepLines w:val="0"/>
        <w:pageBreakBefore w:val="0"/>
        <w:widowControl w:val="0"/>
        <w:tabs>
          <w:tab w:val="left" w:pos="0"/>
        </w:tabs>
        <w:kinsoku/>
        <w:wordWrap/>
        <w:overflowPunct/>
        <w:topLinePunct w:val="0"/>
        <w:autoSpaceDE/>
        <w:autoSpaceDN/>
        <w:bidi w:val="0"/>
        <w:adjustRightInd w:val="0"/>
        <w:snapToGrid w:val="0"/>
        <w:spacing w:line="460" w:lineRule="exact"/>
        <w:ind w:firstLine="403" w:firstLineChars="192"/>
        <w:textAlignment w:val="auto"/>
        <w:rPr>
          <w:rFonts w:ascii="宋体" w:hAnsi="宋体"/>
          <w:color w:val="auto"/>
          <w:szCs w:val="21"/>
          <w:highlight w:val="none"/>
        </w:rPr>
      </w:pPr>
      <w:r>
        <w:rPr>
          <w:rFonts w:hint="eastAsia" w:ascii="宋体" w:hAnsi="宋体"/>
          <w:color w:val="auto"/>
          <w:szCs w:val="21"/>
          <w:highlight w:val="none"/>
        </w:rPr>
        <w:t>3、投标报价的编制要求：</w:t>
      </w:r>
    </w:p>
    <w:p w14:paraId="4A3AB61C">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（1）本项目工程量根据设计院提供数量，仅作为投标基础，结算时按实际完成的合格数量结算。</w:t>
      </w:r>
    </w:p>
    <w:p w14:paraId="12F3A842">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（2）综合单价包含完成工作所有内容的人、材、机、管、利、规、税及相应措施费及机械进退场、材料二次搬运或转场等费用。</w:t>
      </w:r>
    </w:p>
    <w:p w14:paraId="2760382D">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2" w:firstLineChars="200"/>
        <w:textAlignment w:val="auto"/>
        <w:rPr>
          <w:rFonts w:ascii="宋体" w:hAnsi="宋体"/>
          <w:b/>
          <w:color w:val="auto"/>
          <w:szCs w:val="21"/>
          <w:highlight w:val="none"/>
        </w:rPr>
      </w:pPr>
      <w:r>
        <w:rPr>
          <w:rFonts w:hint="eastAsia" w:ascii="宋体" w:hAnsi="宋体"/>
          <w:b/>
          <w:color w:val="auto"/>
          <w:szCs w:val="21"/>
          <w:highlight w:val="none"/>
        </w:rPr>
        <w:t>4、本工程的招标控制价将于招标公告发布的同时向所有投标单位公布。</w:t>
      </w:r>
    </w:p>
    <w:p w14:paraId="2126BAB1">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2" w:firstLineChars="200"/>
        <w:textAlignment w:val="auto"/>
        <w:rPr>
          <w:rFonts w:ascii="宋体" w:hAnsi="宋体"/>
          <w:b/>
          <w:color w:val="auto"/>
          <w:szCs w:val="21"/>
          <w:highlight w:val="none"/>
        </w:rPr>
      </w:pPr>
      <w:r>
        <w:rPr>
          <w:rFonts w:hint="eastAsia" w:ascii="宋体" w:hAnsi="宋体"/>
          <w:b/>
          <w:color w:val="auto"/>
          <w:szCs w:val="21"/>
          <w:highlight w:val="none"/>
        </w:rPr>
        <w:t>5、投标人对招标人公布的招标控制价有异议时，应当在</w:t>
      </w:r>
      <w:r>
        <w:rPr>
          <w:rFonts w:hint="eastAsia" w:ascii="宋体" w:hAnsi="宋体"/>
          <w:b/>
          <w:color w:val="auto"/>
          <w:szCs w:val="21"/>
          <w:highlight w:val="none"/>
          <w:lang w:val="en-US" w:eastAsia="zh-CN"/>
        </w:rPr>
        <w:t>投标截止时间</w:t>
      </w:r>
      <w:r>
        <w:rPr>
          <w:rFonts w:hint="eastAsia" w:ascii="宋体" w:hAnsi="宋体"/>
          <w:b/>
          <w:color w:val="auto"/>
          <w:szCs w:val="21"/>
          <w:highlight w:val="none"/>
        </w:rPr>
        <w:t>3日前向招标人书面提出，招标人应当及时核实。经核实确有错误的，招标人应当调整招标控制价，并通知所有投标人。</w:t>
      </w:r>
    </w:p>
    <w:p w14:paraId="46D7678C">
      <w:pPr>
        <w:keepNext w:val="0"/>
        <w:keepLines w:val="0"/>
        <w:pageBreakBefore w:val="0"/>
        <w:widowControl w:val="0"/>
        <w:tabs>
          <w:tab w:val="left" w:pos="0"/>
          <w:tab w:val="left" w:pos="1134"/>
        </w:tabs>
        <w:kinsoku/>
        <w:wordWrap/>
        <w:overflowPunct/>
        <w:topLinePunct w:val="0"/>
        <w:autoSpaceDE/>
        <w:autoSpaceDN/>
        <w:bidi w:val="0"/>
        <w:adjustRightInd w:val="0"/>
        <w:snapToGrid w:val="0"/>
        <w:spacing w:line="460" w:lineRule="exact"/>
        <w:ind w:firstLine="422" w:firstLineChars="200"/>
        <w:textAlignment w:val="auto"/>
        <w:rPr>
          <w:rFonts w:ascii="宋体" w:hAnsi="宋体"/>
          <w:b/>
          <w:color w:val="auto"/>
          <w:szCs w:val="21"/>
          <w:highlight w:val="none"/>
        </w:rPr>
      </w:pPr>
      <w:r>
        <w:rPr>
          <w:rFonts w:hint="eastAsia" w:ascii="宋体" w:hAnsi="宋体"/>
          <w:b/>
          <w:color w:val="auto"/>
          <w:szCs w:val="21"/>
          <w:highlight w:val="none"/>
        </w:rPr>
        <w:t>6、招标控制价经公布无异议后对所有投标人的投标报价构成约束。</w:t>
      </w:r>
    </w:p>
    <w:p w14:paraId="47F362FA">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四、投标文件的编制</w:t>
      </w:r>
    </w:p>
    <w:p w14:paraId="0A4A120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（八）投标文件的组成</w:t>
      </w:r>
    </w:p>
    <w:p w14:paraId="62D0E95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1、投标人应当按照招标文件、工程量清单、标前会议纪要及招标文件修改通知的要求编制投标文件，投标文件应对招标文件提出的实质性要求和条件做出响应。</w:t>
      </w:r>
    </w:p>
    <w:p w14:paraId="2A77A93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2、投标人的投标文件应包括下列内容</w:t>
      </w:r>
    </w:p>
    <w:p w14:paraId="418AF2D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（1）投标函</w:t>
      </w:r>
    </w:p>
    <w:p w14:paraId="6614BE9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）法定代表人资格证明书，必须提供原件</w:t>
      </w:r>
    </w:p>
    <w:p w14:paraId="0D966A5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）法定代表人委托代理人的委托书，必须提供原件</w:t>
      </w:r>
    </w:p>
    <w:p w14:paraId="5C68900E">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）建设工地文明施工承诺书</w:t>
      </w:r>
    </w:p>
    <w:p w14:paraId="3C02B1EE">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）投标报价</w:t>
      </w:r>
    </w:p>
    <w:p w14:paraId="24B25CB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投标人必须使用招标文件第六章中所提供的文件格式按规定填写（如不够用时，投标人可按同样格式自行编制和添补）。</w:t>
      </w:r>
    </w:p>
    <w:p w14:paraId="1A801ED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（九）投标担保</w:t>
      </w:r>
    </w:p>
    <w:p w14:paraId="66A588E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1、投标保证金：</w:t>
      </w:r>
      <w:r>
        <w:rPr>
          <w:rFonts w:hint="eastAsia" w:ascii="宋体" w:hAnsi="宋体"/>
          <w:color w:val="auto"/>
          <w:szCs w:val="21"/>
          <w:highlight w:val="none"/>
          <w:u w:val="single"/>
        </w:rPr>
        <w:t>投标截止时间前投标单位需缴纳投标保证金，具体要求详见招标公告。</w:t>
      </w:r>
    </w:p>
    <w:p w14:paraId="63F5D13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 w:val="24"/>
          <w:highlight w:val="none"/>
        </w:rPr>
      </w:pPr>
      <w:r>
        <w:rPr>
          <w:rFonts w:hint="eastAsia" w:ascii="宋体" w:hAnsi="宋体"/>
          <w:color w:val="auto"/>
          <w:szCs w:val="21"/>
          <w:highlight w:val="none"/>
        </w:rPr>
        <w:t>2、投标保证金退还：未中标单位的在中标公示结束后五日内退还；中标单位的在合同签订后五日内退还。</w:t>
      </w:r>
    </w:p>
    <w:p w14:paraId="74A75A75">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（十）勘察现场</w:t>
      </w:r>
    </w:p>
    <w:p w14:paraId="5029BD3A">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1、投标人可以对工程施工现场和周围环境进行勘察，以获取编制投标文件和签署合同所需的所有资料。勘察现场所发生的费用由投标人承担。</w:t>
      </w:r>
    </w:p>
    <w:p w14:paraId="2A07D947">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2、招标人向投标人提供的有关施工现场的资料和数据是招标人现有的能使投标人利用的资料。招标人对投标人由此而做出的推论、理解和结论概不负责。</w:t>
      </w:r>
    </w:p>
    <w:p w14:paraId="1552C4F2">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3、现场踏勘时，各投标单位的人、物安全，由各投标单位自己负责，招标人不承担出现意外伤害引起的费用。</w:t>
      </w:r>
    </w:p>
    <w:p w14:paraId="36B7FAF1">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（十一）投标文件的份数和签署</w:t>
      </w:r>
    </w:p>
    <w:p w14:paraId="51576324">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1、投标人必须编制一份书面投标文件“正本”和前附表所要求份数的“副本”，并明确标明“正本”和“副本”。投标文件正本和副本如有不一致之处，以正本为准。</w:t>
      </w:r>
    </w:p>
    <w:p w14:paraId="4AAF0C04">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2、投标文件正本与副本均应使用不能擦去的墨水书写或打印，由投标人加盖公章和法定代表人或法定代表人委托的代理人印鉴或签字。</w:t>
      </w:r>
    </w:p>
    <w:p w14:paraId="0CD8B6E1">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3、全套投标文件应无涂改和行间插字，除非这些删改是根据招标人的</w:t>
      </w:r>
      <w:r>
        <w:rPr>
          <w:rFonts w:hint="eastAsia" w:ascii="宋体" w:hAnsi="宋体"/>
          <w:color w:val="auto"/>
          <w:szCs w:val="21"/>
          <w:highlight w:val="none"/>
          <w:lang w:val="en-US" w:eastAsia="zh-CN"/>
        </w:rPr>
        <w:t>要求</w:t>
      </w:r>
      <w:r>
        <w:rPr>
          <w:rFonts w:hint="eastAsia" w:ascii="宋体" w:hAnsi="宋体"/>
          <w:color w:val="auto"/>
          <w:szCs w:val="21"/>
          <w:highlight w:val="none"/>
        </w:rPr>
        <w:t>进行的，或者是投标人造成的必须修改的错误。修改处应由投标文件签署人加盖印鉴。</w:t>
      </w:r>
    </w:p>
    <w:p w14:paraId="792293A8">
      <w:pPr>
        <w:keepNext w:val="0"/>
        <w:keepLines w:val="0"/>
        <w:pageBreakBefore w:val="0"/>
        <w:widowControl w:val="0"/>
        <w:kinsoku/>
        <w:wordWrap/>
        <w:overflowPunct/>
        <w:topLinePunct w:val="0"/>
        <w:autoSpaceDE/>
        <w:autoSpaceDN/>
        <w:bidi w:val="0"/>
        <w:adjustRightInd w:val="0"/>
        <w:snapToGrid w:val="0"/>
        <w:spacing w:line="460" w:lineRule="exact"/>
        <w:ind w:firstLine="476" w:firstLineChars="227"/>
        <w:textAlignment w:val="auto"/>
        <w:rPr>
          <w:rFonts w:ascii="宋体" w:hAnsi="宋体"/>
          <w:color w:val="auto"/>
          <w:szCs w:val="21"/>
          <w:highlight w:val="none"/>
        </w:rPr>
      </w:pPr>
      <w:r>
        <w:rPr>
          <w:rFonts w:hint="eastAsia" w:ascii="宋体" w:hAnsi="宋体"/>
          <w:color w:val="auto"/>
          <w:szCs w:val="21"/>
          <w:highlight w:val="none"/>
        </w:rPr>
        <w:t>4、投标文件应采用胶装本，投标文件的正、副本分别密封、标志。没按规定装订、密封、标志的投标文件不予接收。</w:t>
      </w:r>
    </w:p>
    <w:p w14:paraId="6E4A6333">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五、投标文件的递交</w:t>
      </w:r>
      <w:bookmarkStart w:id="14" w:name="_GoBack"/>
      <w:bookmarkEnd w:id="14"/>
    </w:p>
    <w:p w14:paraId="249A278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（十二）投标文件的密封与标志</w:t>
      </w:r>
    </w:p>
    <w:p w14:paraId="5732C6D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1、密封：投标人必须按前附表要求的份数将投标文件密封提交，并在封袋骑缝密封处加盖投标人法人印章和法定代表人或其委托代理人的印章。</w:t>
      </w:r>
    </w:p>
    <w:p w14:paraId="6E038F8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2、标志：投标人应在投标文件封面上正确标明“正本”或“副本”字样，所有封袋上都必须写明招标人名称和工程名称以及投标人的名称。</w:t>
      </w:r>
    </w:p>
    <w:p w14:paraId="0A8B639A">
      <w:pPr>
        <w:keepNext w:val="0"/>
        <w:keepLines w:val="0"/>
        <w:pageBreakBefore w:val="0"/>
        <w:widowControl w:val="0"/>
        <w:tabs>
          <w:tab w:val="left" w:pos="6"/>
          <w:tab w:val="left" w:pos="66"/>
        </w:tabs>
        <w:kinsoku/>
        <w:wordWrap/>
        <w:overflowPunct/>
        <w:topLinePunct w:val="0"/>
        <w:autoSpaceDE/>
        <w:autoSpaceDN/>
        <w:bidi w:val="0"/>
        <w:adjustRightInd w:val="0"/>
        <w:snapToGrid w:val="0"/>
        <w:spacing w:line="460" w:lineRule="exact"/>
        <w:ind w:left="66" w:firstLine="498"/>
        <w:textAlignment w:val="auto"/>
        <w:rPr>
          <w:rFonts w:ascii="宋体" w:hAnsi="宋体"/>
          <w:color w:val="auto"/>
          <w:szCs w:val="21"/>
          <w:highlight w:val="none"/>
        </w:rPr>
      </w:pPr>
      <w:r>
        <w:rPr>
          <w:rFonts w:hint="eastAsia" w:ascii="宋体" w:hAnsi="宋体"/>
          <w:color w:val="auto"/>
          <w:szCs w:val="21"/>
          <w:highlight w:val="none"/>
        </w:rPr>
        <w:t>未按上述规定编制、密封、标志所递交的投标文件招标人将拒绝接收。</w:t>
      </w:r>
    </w:p>
    <w:p w14:paraId="409402D3">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（十三）投标截止期</w:t>
      </w:r>
    </w:p>
    <w:p w14:paraId="62B6C836">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1、投标人应在投标须知中规定的时间之前将投标文件递交到指定地点。</w:t>
      </w:r>
    </w:p>
    <w:p w14:paraId="52890F70">
      <w:pPr>
        <w:keepNext w:val="0"/>
        <w:keepLines w:val="0"/>
        <w:pageBreakBefore w:val="0"/>
        <w:widowControl w:val="0"/>
        <w:tabs>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2、招标人可以按本文件第（六）条规定，以修改通知的方式，酌情延长递交投标文件的截止日期。在上述情况下，招标人与投标人以前的投标截止期方面的全部权</w:t>
      </w:r>
      <w:r>
        <w:rPr>
          <w:rFonts w:hint="eastAsia" w:ascii="宋体" w:hAnsi="宋体"/>
          <w:color w:val="auto"/>
          <w:szCs w:val="21"/>
          <w:highlight w:val="none"/>
          <w:lang w:eastAsia="zh-CN"/>
        </w:rPr>
        <w:t>利</w:t>
      </w:r>
      <w:r>
        <w:rPr>
          <w:rFonts w:hint="eastAsia" w:ascii="宋体" w:hAnsi="宋体"/>
          <w:color w:val="auto"/>
          <w:szCs w:val="21"/>
          <w:highlight w:val="none"/>
        </w:rPr>
        <w:t>、责任和义务，将适用于延长后新的投标截止期。</w:t>
      </w:r>
    </w:p>
    <w:p w14:paraId="6CFE007C">
      <w:pPr>
        <w:keepNext w:val="0"/>
        <w:keepLines w:val="0"/>
        <w:pageBreakBefore w:val="0"/>
        <w:widowControl w:val="0"/>
        <w:tabs>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3、超过投标截止期送达的投标文件将被拒绝并原封退给投标人。</w:t>
      </w:r>
    </w:p>
    <w:p w14:paraId="0B510301">
      <w:pPr>
        <w:keepNext w:val="0"/>
        <w:keepLines w:val="0"/>
        <w:pageBreakBefore w:val="0"/>
        <w:widowControl w:val="0"/>
        <w:tabs>
          <w:tab w:val="left" w:pos="0"/>
          <w:tab w:val="left" w:pos="360"/>
        </w:tabs>
        <w:kinsoku/>
        <w:wordWrap/>
        <w:overflowPunct/>
        <w:topLinePunct w:val="0"/>
        <w:autoSpaceDE/>
        <w:autoSpaceDN/>
        <w:bidi w:val="0"/>
        <w:adjustRightInd w:val="0"/>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4、提交投标文件的投标人少于三个的，招标人依法重新招标。</w:t>
      </w:r>
    </w:p>
    <w:p w14:paraId="797B13F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（十四）投标文件的修改与撤回</w:t>
      </w:r>
    </w:p>
    <w:p w14:paraId="2927C6B1">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1、投标人可以在递交投标文件以后，在规定的投标截止期之前，以书面形式向招标人递交补充、修改、替代或撤回其投标文件的通知。在投标截止期以后，不得更改投标文件。</w:t>
      </w:r>
    </w:p>
    <w:p w14:paraId="08FB850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2、投标人的补充、修改、替代或撤回通知，应按本文件第（十二）条规定的要求编制、密封、标志和递交，密封袋上应标明“补充</w:t>
      </w:r>
      <w:r>
        <w:rPr>
          <w:rFonts w:hint="eastAsia" w:ascii="宋体" w:hAnsi="宋体"/>
          <w:color w:val="auto"/>
          <w:szCs w:val="21"/>
          <w:highlight w:val="none"/>
          <w:lang w:eastAsia="zh-CN"/>
        </w:rPr>
        <w:t>”“</w:t>
      </w:r>
      <w:r>
        <w:rPr>
          <w:rFonts w:hint="eastAsia" w:ascii="宋体" w:hAnsi="宋体"/>
          <w:color w:val="auto"/>
          <w:szCs w:val="21"/>
          <w:highlight w:val="none"/>
        </w:rPr>
        <w:t>修改</w:t>
      </w:r>
      <w:r>
        <w:rPr>
          <w:rFonts w:hint="eastAsia" w:ascii="宋体" w:hAnsi="宋体"/>
          <w:color w:val="auto"/>
          <w:szCs w:val="21"/>
          <w:highlight w:val="none"/>
          <w:lang w:eastAsia="zh-CN"/>
        </w:rPr>
        <w:t>”“</w:t>
      </w:r>
      <w:r>
        <w:rPr>
          <w:rFonts w:hint="eastAsia" w:ascii="宋体" w:hAnsi="宋体"/>
          <w:color w:val="auto"/>
          <w:szCs w:val="21"/>
          <w:highlight w:val="none"/>
        </w:rPr>
        <w:t>替代”或“撤回”字样。</w:t>
      </w:r>
    </w:p>
    <w:p w14:paraId="7129EC6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3、投标截止以后，在投标有效期内，投标人不得撤回投标文件，否则其投标保证金将被没收。</w:t>
      </w:r>
    </w:p>
    <w:p w14:paraId="042ADE05">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六、开    标</w:t>
      </w:r>
    </w:p>
    <w:p w14:paraId="6332223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（十五）开标</w:t>
      </w:r>
    </w:p>
    <w:p w14:paraId="6FC3A27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1、开标由招标人或其委托的招标代理单位主持，邀请所有投标人参加。</w:t>
      </w:r>
    </w:p>
    <w:p w14:paraId="07896B6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7B630C1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3、招标人在招标文件要求提交投标文件的截止时间前收到的所有投标文件，开标时都将当众予以拆封、宣读、记录。</w:t>
      </w:r>
    </w:p>
    <w:p w14:paraId="3C638D7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4、唱标顺序按各投标人送达投标文件时间先后的逆顺序进行。</w:t>
      </w:r>
    </w:p>
    <w:p w14:paraId="3EB8932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5、开标时，投标文件有下列情形之一的，招标人不予受理：</w:t>
      </w:r>
    </w:p>
    <w:p w14:paraId="5813AD9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（1）逾期送达的或者未送达指定地点；</w:t>
      </w:r>
    </w:p>
    <w:p w14:paraId="77DB0DA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（2）未按招标文件要求密封的；</w:t>
      </w:r>
    </w:p>
    <w:p w14:paraId="0C81A63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（3）未按照招标文件要求提供投标保证金或投标保函的；</w:t>
      </w:r>
    </w:p>
    <w:p w14:paraId="5BE2F30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（4）未提供法人证明和有效身份证明的；</w:t>
      </w:r>
    </w:p>
    <w:p w14:paraId="67271BC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（5）未提供授权委托书和所委托人身份证明（第二代身份证原件）的；</w:t>
      </w:r>
    </w:p>
    <w:p w14:paraId="37AB3E9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（6）未参加开标会议的；</w:t>
      </w:r>
    </w:p>
    <w:p w14:paraId="7322A62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（7）提供材料有瑕疵的；</w:t>
      </w:r>
    </w:p>
    <w:p w14:paraId="61463EC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6、其他</w:t>
      </w:r>
    </w:p>
    <w:p w14:paraId="03343A6C">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宋体" w:hAnsi="宋体"/>
          <w:b/>
          <w:bCs/>
          <w:color w:val="auto"/>
          <w:szCs w:val="21"/>
          <w:highlight w:val="none"/>
        </w:rPr>
      </w:pPr>
      <w:r>
        <w:rPr>
          <w:rFonts w:hint="eastAsia" w:ascii="宋体" w:hAnsi="宋体"/>
          <w:b/>
          <w:bCs/>
          <w:color w:val="auto"/>
          <w:szCs w:val="21"/>
          <w:highlight w:val="none"/>
        </w:rPr>
        <w:t>七、评     标</w:t>
      </w:r>
    </w:p>
    <w:p w14:paraId="6CE004B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（十六）评标</w:t>
      </w:r>
    </w:p>
    <w:p w14:paraId="0F7E95D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1、评标按照下列程序进行：</w:t>
      </w:r>
    </w:p>
    <w:p w14:paraId="46069D81">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（1）组建评标委员会和清标工作小组；</w:t>
      </w:r>
    </w:p>
    <w:p w14:paraId="3E6FD14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（2）评标准备及清标；</w:t>
      </w:r>
    </w:p>
    <w:p w14:paraId="737A16A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（3）组建评标委员会；</w:t>
      </w:r>
    </w:p>
    <w:p w14:paraId="6EB6CB5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（4）初步评审；</w:t>
      </w:r>
    </w:p>
    <w:p w14:paraId="19992E3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（5）详细评审；</w:t>
      </w:r>
    </w:p>
    <w:p w14:paraId="489BD3C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（6）推荐中标候选人，撰写评标报告</w:t>
      </w:r>
    </w:p>
    <w:p w14:paraId="0DCA065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2、清标</w:t>
      </w:r>
    </w:p>
    <w:p w14:paraId="1E2510F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（1）清标工作组由招标人负责组建。</w:t>
      </w:r>
    </w:p>
    <w:p w14:paraId="78AF052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（2）清标工作的主要内容包括：</w:t>
      </w:r>
    </w:p>
    <w:p w14:paraId="496026D5">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1 \* GB3 </w:instrText>
      </w:r>
      <w:r>
        <w:rPr>
          <w:rFonts w:ascii="宋体" w:hAnsi="宋体"/>
          <w:color w:val="auto"/>
          <w:szCs w:val="21"/>
          <w:highlight w:val="none"/>
        </w:rPr>
        <w:fldChar w:fldCharType="separate"/>
      </w:r>
      <w:r>
        <w:rPr>
          <w:rFonts w:hint="eastAsia" w:ascii="宋体" w:hAnsi="宋体"/>
          <w:color w:val="auto"/>
          <w:szCs w:val="21"/>
          <w:highlight w:val="none"/>
        </w:rPr>
        <w:t>①</w:t>
      </w:r>
      <w:r>
        <w:rPr>
          <w:rFonts w:ascii="宋体" w:hAnsi="宋体"/>
          <w:color w:val="auto"/>
          <w:szCs w:val="21"/>
          <w:highlight w:val="none"/>
        </w:rPr>
        <w:fldChar w:fldCharType="end"/>
      </w:r>
      <w:r>
        <w:rPr>
          <w:rFonts w:hint="eastAsia" w:ascii="宋体" w:hAnsi="宋体"/>
          <w:color w:val="auto"/>
          <w:szCs w:val="21"/>
          <w:highlight w:val="none"/>
        </w:rPr>
        <w:t>按照投标总价的高低对投标文件进行排序；</w:t>
      </w:r>
    </w:p>
    <w:p w14:paraId="55BF2418">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2 \* GB3 </w:instrText>
      </w:r>
      <w:r>
        <w:rPr>
          <w:rFonts w:ascii="宋体" w:hAnsi="宋体"/>
          <w:color w:val="auto"/>
          <w:szCs w:val="21"/>
          <w:highlight w:val="none"/>
        </w:rPr>
        <w:fldChar w:fldCharType="separate"/>
      </w:r>
      <w:r>
        <w:rPr>
          <w:rFonts w:hint="eastAsia" w:ascii="宋体" w:hAnsi="宋体"/>
          <w:color w:val="auto"/>
          <w:szCs w:val="21"/>
          <w:highlight w:val="none"/>
        </w:rPr>
        <w:t>②</w:t>
      </w:r>
      <w:r>
        <w:rPr>
          <w:rFonts w:ascii="宋体" w:hAnsi="宋体"/>
          <w:color w:val="auto"/>
          <w:szCs w:val="21"/>
          <w:highlight w:val="none"/>
        </w:rPr>
        <w:fldChar w:fldCharType="end"/>
      </w:r>
      <w:r>
        <w:rPr>
          <w:rFonts w:hint="eastAsia" w:ascii="宋体" w:hAnsi="宋体"/>
          <w:color w:val="auto"/>
          <w:szCs w:val="21"/>
          <w:highlight w:val="none"/>
        </w:rPr>
        <w:t>根据招标文件的规定，对所有投标文件进行全面的审查，列出投标文件在符合性、响应性和技术方法、技术措施、技术标准等方面存在的所有偏差；</w:t>
      </w:r>
    </w:p>
    <w:p w14:paraId="20EC12B1">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3 \* GB3 </w:instrText>
      </w:r>
      <w:r>
        <w:rPr>
          <w:rFonts w:ascii="宋体" w:hAnsi="宋体"/>
          <w:color w:val="auto"/>
          <w:szCs w:val="21"/>
          <w:highlight w:val="none"/>
        </w:rPr>
        <w:fldChar w:fldCharType="separate"/>
      </w:r>
      <w:r>
        <w:rPr>
          <w:rFonts w:hint="eastAsia" w:ascii="宋体" w:hAnsi="宋体"/>
          <w:color w:val="auto"/>
          <w:szCs w:val="21"/>
          <w:highlight w:val="none"/>
        </w:rPr>
        <w:t>③</w:t>
      </w:r>
      <w:r>
        <w:rPr>
          <w:rFonts w:ascii="宋体" w:hAnsi="宋体"/>
          <w:color w:val="auto"/>
          <w:szCs w:val="21"/>
          <w:highlight w:val="none"/>
        </w:rPr>
        <w:fldChar w:fldCharType="end"/>
      </w:r>
      <w:r>
        <w:rPr>
          <w:rFonts w:hint="eastAsia" w:ascii="宋体" w:hAnsi="宋体"/>
          <w:color w:val="auto"/>
          <w:szCs w:val="21"/>
          <w:highlight w:val="none"/>
        </w:rPr>
        <w:t>按照招标文件规定的方法和标准，对投标报价进行换算；</w:t>
      </w:r>
    </w:p>
    <w:p w14:paraId="17A61807">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4 \* GB3 </w:instrText>
      </w:r>
      <w:r>
        <w:rPr>
          <w:rFonts w:ascii="宋体" w:hAnsi="宋体"/>
          <w:color w:val="auto"/>
          <w:szCs w:val="21"/>
          <w:highlight w:val="none"/>
        </w:rPr>
        <w:fldChar w:fldCharType="separate"/>
      </w:r>
      <w:r>
        <w:rPr>
          <w:rFonts w:hint="eastAsia" w:ascii="宋体" w:hAnsi="宋体"/>
          <w:color w:val="auto"/>
          <w:szCs w:val="21"/>
          <w:highlight w:val="none"/>
        </w:rPr>
        <w:t>④</w:t>
      </w:r>
      <w:r>
        <w:rPr>
          <w:rFonts w:ascii="宋体" w:hAnsi="宋体"/>
          <w:color w:val="auto"/>
          <w:szCs w:val="21"/>
          <w:highlight w:val="none"/>
        </w:rPr>
        <w:fldChar w:fldCharType="end"/>
      </w:r>
      <w:r>
        <w:rPr>
          <w:rFonts w:hint="eastAsia" w:ascii="宋体" w:hAnsi="宋体"/>
          <w:color w:val="auto"/>
          <w:szCs w:val="21"/>
          <w:highlight w:val="none"/>
        </w:rPr>
        <w:t>对投标报价进行校核</w:t>
      </w:r>
      <w:r>
        <w:rPr>
          <w:rFonts w:hint="eastAsia" w:ascii="宋体" w:hAnsi="宋体"/>
          <w:color w:val="auto"/>
          <w:szCs w:val="21"/>
          <w:highlight w:val="none"/>
          <w:lang w:eastAsia="zh-CN"/>
        </w:rPr>
        <w:t>，</w:t>
      </w:r>
      <w:r>
        <w:rPr>
          <w:rFonts w:hint="eastAsia" w:ascii="宋体" w:hAnsi="宋体"/>
          <w:color w:val="auto"/>
          <w:szCs w:val="21"/>
          <w:highlight w:val="none"/>
        </w:rPr>
        <w:t>列出投标文件存在的算术计算错误；</w:t>
      </w:r>
    </w:p>
    <w:p w14:paraId="30ABAC2A">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5 \* GB3 </w:instrText>
      </w:r>
      <w:r>
        <w:rPr>
          <w:rFonts w:ascii="宋体" w:hAnsi="宋体"/>
          <w:color w:val="auto"/>
          <w:szCs w:val="21"/>
          <w:highlight w:val="none"/>
        </w:rPr>
        <w:fldChar w:fldCharType="separate"/>
      </w:r>
      <w:r>
        <w:rPr>
          <w:rFonts w:hint="eastAsia" w:ascii="宋体" w:hAnsi="宋体"/>
          <w:color w:val="auto"/>
          <w:szCs w:val="21"/>
          <w:highlight w:val="none"/>
        </w:rPr>
        <w:t>⑤</w:t>
      </w:r>
      <w:r>
        <w:rPr>
          <w:rFonts w:ascii="宋体" w:hAnsi="宋体"/>
          <w:color w:val="auto"/>
          <w:szCs w:val="21"/>
          <w:highlight w:val="none"/>
        </w:rPr>
        <w:fldChar w:fldCharType="end"/>
      </w:r>
      <w:r>
        <w:rPr>
          <w:rFonts w:hint="eastAsia" w:ascii="宋体" w:hAnsi="宋体"/>
          <w:color w:val="auto"/>
          <w:szCs w:val="21"/>
          <w:highlight w:val="none"/>
        </w:rPr>
        <w:t>根据本招标文件规定的标准；审查并列出过高和过低的投标价格；</w:t>
      </w:r>
    </w:p>
    <w:p w14:paraId="40F1B116">
      <w:pPr>
        <w:keepNext w:val="0"/>
        <w:keepLines w:val="0"/>
        <w:pageBreakBefore w:val="0"/>
        <w:widowControl w:val="0"/>
        <w:kinsoku/>
        <w:wordWrap/>
        <w:overflowPunct/>
        <w:topLinePunct w:val="0"/>
        <w:autoSpaceDE/>
        <w:autoSpaceDN/>
        <w:bidi w:val="0"/>
        <w:adjustRightInd w:val="0"/>
        <w:snapToGrid w:val="0"/>
        <w:spacing w:line="460" w:lineRule="exact"/>
        <w:ind w:firstLine="720"/>
        <w:textAlignment w:val="auto"/>
        <w:rPr>
          <w:rFonts w:ascii="宋体" w:hAnsi="宋体"/>
          <w:color w:val="auto"/>
          <w:szCs w:val="21"/>
          <w:highlight w:val="none"/>
        </w:rPr>
      </w:pPr>
      <w:r>
        <w:rPr>
          <w:rFonts w:ascii="宋体" w:hAnsi="宋体"/>
          <w:color w:val="auto"/>
          <w:szCs w:val="21"/>
          <w:highlight w:val="none"/>
        </w:rPr>
        <w:fldChar w:fldCharType="begin"/>
      </w:r>
      <w:r>
        <w:rPr>
          <w:rFonts w:ascii="宋体" w:hAnsi="宋体"/>
          <w:color w:val="auto"/>
          <w:szCs w:val="21"/>
          <w:highlight w:val="none"/>
        </w:rPr>
        <w:instrText xml:space="preserve"> = 6 \* GB3 </w:instrText>
      </w:r>
      <w:r>
        <w:rPr>
          <w:rFonts w:ascii="宋体" w:hAnsi="宋体"/>
          <w:color w:val="auto"/>
          <w:szCs w:val="21"/>
          <w:highlight w:val="none"/>
        </w:rPr>
        <w:fldChar w:fldCharType="separate"/>
      </w:r>
      <w:r>
        <w:rPr>
          <w:rFonts w:hint="eastAsia" w:ascii="宋体" w:hAnsi="宋体"/>
          <w:color w:val="auto"/>
          <w:szCs w:val="21"/>
          <w:highlight w:val="none"/>
        </w:rPr>
        <w:t>⑥</w:t>
      </w:r>
      <w:r>
        <w:rPr>
          <w:rFonts w:ascii="宋体" w:hAnsi="宋体"/>
          <w:color w:val="auto"/>
          <w:szCs w:val="21"/>
          <w:highlight w:val="none"/>
        </w:rPr>
        <w:fldChar w:fldCharType="end"/>
      </w:r>
      <w:r>
        <w:rPr>
          <w:rFonts w:hint="eastAsia" w:ascii="宋体" w:hAnsi="宋体"/>
          <w:color w:val="auto"/>
          <w:szCs w:val="21"/>
          <w:highlight w:val="none"/>
        </w:rPr>
        <w:t>形成书面的清标情况报告。</w:t>
      </w:r>
    </w:p>
    <w:p w14:paraId="46C6FF2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3、评标活动</w:t>
      </w:r>
    </w:p>
    <w:p w14:paraId="2812302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（1）评标活动在有关行政监督管理部门的监督下，由评标委员会组织进行。</w:t>
      </w:r>
    </w:p>
    <w:p w14:paraId="7113163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（2）评标委员会由招标人负责组建。</w:t>
      </w:r>
    </w:p>
    <w:p w14:paraId="56EFAED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4、本工程采用下列第</w:t>
      </w:r>
      <w:r>
        <w:rPr>
          <w:rFonts w:hint="eastAsia" w:ascii="宋体" w:hAnsi="宋体"/>
          <w:color w:val="auto"/>
          <w:szCs w:val="21"/>
          <w:highlight w:val="none"/>
          <w:u w:val="single"/>
        </w:rPr>
        <w:t xml:space="preserve"> （1） </w:t>
      </w:r>
      <w:r>
        <w:rPr>
          <w:rFonts w:hint="eastAsia" w:ascii="宋体" w:hAnsi="宋体"/>
          <w:color w:val="auto"/>
          <w:szCs w:val="21"/>
          <w:highlight w:val="none"/>
        </w:rPr>
        <w:t>种方式进行评标。</w:t>
      </w:r>
    </w:p>
    <w:p w14:paraId="69CFD0A1">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color w:val="auto"/>
          <w:szCs w:val="21"/>
          <w:highlight w:val="none"/>
        </w:rPr>
        <w:t>（1）评标办法</w:t>
      </w:r>
      <w:r>
        <w:rPr>
          <w:rFonts w:hint="eastAsia"/>
          <w:color w:val="auto"/>
          <w:szCs w:val="21"/>
          <w:highlight w:val="none"/>
          <w:u w:val="single"/>
        </w:rPr>
        <w:t>合理低价法</w:t>
      </w:r>
      <w:r>
        <w:rPr>
          <w:rFonts w:hint="eastAsia"/>
          <w:color w:val="auto"/>
          <w:szCs w:val="21"/>
          <w:highlight w:val="none"/>
        </w:rPr>
        <w:t>：具体细则为：（详见附件1评标细则）。</w:t>
      </w:r>
    </w:p>
    <w:p w14:paraId="7BFD803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5、本工程过高的投标价格的具体标准为下列第</w:t>
      </w:r>
      <w:r>
        <w:rPr>
          <w:rFonts w:hint="eastAsia" w:ascii="宋体" w:hAnsi="宋体"/>
          <w:color w:val="auto"/>
          <w:szCs w:val="21"/>
          <w:highlight w:val="none"/>
          <w:u w:val="single"/>
        </w:rPr>
        <w:t xml:space="preserve"> （1） </w:t>
      </w:r>
      <w:r>
        <w:rPr>
          <w:rFonts w:hint="eastAsia" w:ascii="宋体" w:hAnsi="宋体"/>
          <w:color w:val="auto"/>
          <w:szCs w:val="21"/>
          <w:highlight w:val="none"/>
        </w:rPr>
        <w:t>种方式：</w:t>
      </w:r>
    </w:p>
    <w:p w14:paraId="4245A0DE">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（1）以招标人设定的标底价格的一定幅度为标准；</w:t>
      </w:r>
    </w:p>
    <w:p w14:paraId="7900B88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（2）以建设行政主管部门或者有关行业协会公布的信息指导价的一定幅度为标准；</w:t>
      </w:r>
    </w:p>
    <w:p w14:paraId="6A05BD68">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（3）以投标人投标价格的平均值的一定幅度为标准；</w:t>
      </w:r>
    </w:p>
    <w:p w14:paraId="6D3204DC">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6、过低的投标价格，评标委员会应当对与该价格相关的下类因素进行重点分析：</w:t>
      </w:r>
    </w:p>
    <w:p w14:paraId="2E63FF2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（1）工程内容是否完整；</w:t>
      </w:r>
    </w:p>
    <w:p w14:paraId="5797788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（2）施工方法是否正确；</w:t>
      </w:r>
    </w:p>
    <w:p w14:paraId="03EA004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（3）施工组织和技术措施是否合理、可行；</w:t>
      </w:r>
    </w:p>
    <w:p w14:paraId="11C5459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（4）综合单价和单项费用金额的组成、工料机消耗及确定的费用、利润是否合理；</w:t>
      </w:r>
    </w:p>
    <w:p w14:paraId="7E9BEA4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pacing w:val="-10"/>
          <w:szCs w:val="21"/>
          <w:highlight w:val="none"/>
        </w:rPr>
      </w:pPr>
      <w:r>
        <w:rPr>
          <w:rFonts w:hint="eastAsia" w:ascii="宋体" w:hAnsi="宋体"/>
          <w:color w:val="auto"/>
          <w:spacing w:val="-10"/>
          <w:szCs w:val="21"/>
          <w:highlight w:val="none"/>
        </w:rPr>
        <w:t>（5）是否满足招标文件对主要材料的规格、型号等的特殊要求，确定的价格材料是否合理；</w:t>
      </w:r>
    </w:p>
    <w:p w14:paraId="1DF084A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pacing w:val="-10"/>
          <w:szCs w:val="21"/>
          <w:highlight w:val="none"/>
        </w:rPr>
      </w:pPr>
      <w:r>
        <w:rPr>
          <w:rFonts w:hint="eastAsia" w:ascii="宋体" w:hAnsi="宋体"/>
          <w:color w:val="auto"/>
          <w:spacing w:val="-10"/>
          <w:szCs w:val="21"/>
          <w:highlight w:val="none"/>
        </w:rPr>
        <w:t>（6）投标人对澄清要求所作的说明是否合理，提供的相关证明材料是否具有说服力；</w:t>
      </w:r>
    </w:p>
    <w:p w14:paraId="4A38584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14:paraId="736E2A6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7、评标委员会应当根据经评审不能成立的过低的投标价格与下列相应价格中的最高价之间的价差和招标文件规定的工程数量，计算出合价差或者单项费用差：</w:t>
      </w:r>
    </w:p>
    <w:p w14:paraId="13594A42">
      <w:pPr>
        <w:keepNext w:val="0"/>
        <w:keepLines w:val="0"/>
        <w:pageBreakBefore w:val="0"/>
        <w:widowControl w:val="0"/>
        <w:kinsoku/>
        <w:wordWrap/>
        <w:overflowPunct/>
        <w:topLinePunct w:val="0"/>
        <w:autoSpaceDE/>
        <w:autoSpaceDN/>
        <w:bidi w:val="0"/>
        <w:adjustRightInd w:val="0"/>
        <w:snapToGrid w:val="0"/>
        <w:spacing w:line="460" w:lineRule="exact"/>
        <w:ind w:left="567"/>
        <w:textAlignment w:val="auto"/>
        <w:rPr>
          <w:rFonts w:ascii="宋体" w:hAnsi="宋体"/>
          <w:color w:val="auto"/>
          <w:szCs w:val="21"/>
          <w:highlight w:val="none"/>
        </w:rPr>
      </w:pPr>
      <w:r>
        <w:rPr>
          <w:rFonts w:hint="eastAsia" w:ascii="宋体" w:hAnsi="宋体"/>
          <w:color w:val="auto"/>
          <w:szCs w:val="21"/>
          <w:highlight w:val="none"/>
        </w:rPr>
        <w:t>（1）建设行政主管部门或者有关行业协会公布的信息指导价；</w:t>
      </w:r>
    </w:p>
    <w:p w14:paraId="12B28F62">
      <w:pPr>
        <w:keepNext w:val="0"/>
        <w:keepLines w:val="0"/>
        <w:pageBreakBefore w:val="0"/>
        <w:widowControl w:val="0"/>
        <w:kinsoku/>
        <w:wordWrap/>
        <w:overflowPunct/>
        <w:topLinePunct w:val="0"/>
        <w:autoSpaceDE/>
        <w:autoSpaceDN/>
        <w:bidi w:val="0"/>
        <w:adjustRightInd w:val="0"/>
        <w:snapToGrid w:val="0"/>
        <w:spacing w:line="460" w:lineRule="exact"/>
        <w:ind w:left="567"/>
        <w:textAlignment w:val="auto"/>
        <w:rPr>
          <w:rFonts w:ascii="宋体" w:hAnsi="宋体"/>
          <w:color w:val="auto"/>
          <w:szCs w:val="21"/>
          <w:highlight w:val="none"/>
        </w:rPr>
      </w:pPr>
      <w:r>
        <w:rPr>
          <w:rFonts w:hint="eastAsia" w:ascii="宋体" w:hAnsi="宋体"/>
          <w:color w:val="auto"/>
          <w:szCs w:val="21"/>
          <w:highlight w:val="none"/>
        </w:rPr>
        <w:t>（2）所有投标人相应投标价格中的平均价；</w:t>
      </w:r>
    </w:p>
    <w:p w14:paraId="43DD1FEB">
      <w:pPr>
        <w:keepNext w:val="0"/>
        <w:keepLines w:val="0"/>
        <w:pageBreakBefore w:val="0"/>
        <w:widowControl w:val="0"/>
        <w:kinsoku/>
        <w:wordWrap/>
        <w:overflowPunct/>
        <w:topLinePunct w:val="0"/>
        <w:autoSpaceDE/>
        <w:autoSpaceDN/>
        <w:bidi w:val="0"/>
        <w:adjustRightInd w:val="0"/>
        <w:snapToGrid w:val="0"/>
        <w:spacing w:line="460" w:lineRule="exact"/>
        <w:ind w:firstLine="472" w:firstLineChars="225"/>
        <w:textAlignment w:val="auto"/>
        <w:rPr>
          <w:rFonts w:ascii="宋体" w:hAnsi="宋体"/>
          <w:color w:val="auto"/>
          <w:szCs w:val="21"/>
          <w:highlight w:val="none"/>
        </w:rPr>
      </w:pPr>
      <w:r>
        <w:rPr>
          <w:rFonts w:hint="eastAsia" w:ascii="宋体" w:hAnsi="宋体"/>
          <w:color w:val="auto"/>
          <w:szCs w:val="21"/>
          <w:highlight w:val="none"/>
        </w:rPr>
        <w:t>所有合价差和单项费用差的总计金额大于投标文件列明的利润总额的，评标委员会应当认定该投标人以低于成本的价格投标，其投标文件无效。</w:t>
      </w:r>
    </w:p>
    <w:p w14:paraId="731B6B44">
      <w:pPr>
        <w:keepNext w:val="0"/>
        <w:keepLines w:val="0"/>
        <w:pageBreakBefore w:val="0"/>
        <w:widowControl w:val="0"/>
        <w:kinsoku/>
        <w:wordWrap/>
        <w:overflowPunct/>
        <w:topLinePunct w:val="0"/>
        <w:autoSpaceDE/>
        <w:autoSpaceDN/>
        <w:bidi w:val="0"/>
        <w:adjustRightInd w:val="0"/>
        <w:snapToGrid w:val="0"/>
        <w:spacing w:line="460" w:lineRule="exact"/>
        <w:ind w:firstLine="540"/>
        <w:textAlignment w:val="auto"/>
        <w:rPr>
          <w:rFonts w:ascii="宋体" w:hAnsi="宋体"/>
          <w:color w:val="auto"/>
          <w:szCs w:val="21"/>
          <w:highlight w:val="none"/>
        </w:rPr>
      </w:pPr>
      <w:r>
        <w:rPr>
          <w:rFonts w:hint="eastAsia" w:ascii="宋体" w:hAnsi="宋体"/>
          <w:color w:val="auto"/>
          <w:szCs w:val="21"/>
          <w:highlight w:val="none"/>
        </w:rPr>
        <w:t>评标委员会不应当因为投标文件的部分项目存在不能成立的过低的投标价格而认定投标文件无效。</w:t>
      </w:r>
    </w:p>
    <w:p w14:paraId="5B700E14">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8、评标过程中，数据和评分的计算过程和计算结果均保留两位小数，小数点后的第三位四舍五入。</w:t>
      </w:r>
    </w:p>
    <w:p w14:paraId="30939A31">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9、在评标过程中，评标委员会成员对同一问题意见不一致的，按照少数服从多数的原则形成评标结论。</w:t>
      </w:r>
    </w:p>
    <w:p w14:paraId="57896C5A">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评标委员会完成评标后，应当撰写评标报告提交招标人。</w:t>
      </w:r>
    </w:p>
    <w:p w14:paraId="0EBA8F8A">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09E4CB18">
      <w:pPr>
        <w:keepNext w:val="0"/>
        <w:keepLines w:val="0"/>
        <w:pageBreakBefore w:val="0"/>
        <w:widowControl w:val="0"/>
        <w:kinsoku/>
        <w:wordWrap/>
        <w:overflowPunct/>
        <w:topLinePunct w:val="0"/>
        <w:autoSpaceDE/>
        <w:autoSpaceDN/>
        <w:bidi w:val="0"/>
        <w:adjustRightInd w:val="0"/>
        <w:snapToGrid w:val="0"/>
        <w:spacing w:line="460" w:lineRule="exact"/>
        <w:ind w:firstLine="600"/>
        <w:textAlignment w:val="auto"/>
        <w:rPr>
          <w:rFonts w:ascii="宋体" w:hAnsi="宋体"/>
          <w:color w:val="auto"/>
          <w:szCs w:val="21"/>
          <w:highlight w:val="none"/>
        </w:rPr>
      </w:pPr>
      <w:r>
        <w:rPr>
          <w:rFonts w:hint="eastAsia" w:ascii="宋体" w:hAnsi="宋体"/>
          <w:color w:val="auto"/>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1873DAF">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（十七）投标文件的澄清</w:t>
      </w:r>
    </w:p>
    <w:p w14:paraId="28C9646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4F20423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2、评标委员会在对实质上响应招标文件要求的投标进行报价评估时，除招标文件另有约定外，将按下述原则进行修正：</w:t>
      </w:r>
    </w:p>
    <w:p w14:paraId="4A55071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（1）用数字表示的数额与用文字表示的数额不一致时，以文字数额为准。</w:t>
      </w:r>
    </w:p>
    <w:p w14:paraId="742BE65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（2）单价与工程量的乘积与总价之间不一致时，以单价为准。若单价有明显的小数点错位，应以总价为准，并修改单价。</w:t>
      </w:r>
    </w:p>
    <w:p w14:paraId="3C19206B">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（3）工程量清单计价格式中列明的所有需要填报的单价和合价，投标人均应填报，未填报的单价和合价，如未说明，视为此项费用已包含在工程量清单的其他单价和合价中。</w:t>
      </w:r>
    </w:p>
    <w:p w14:paraId="61ABBF30">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（4）按前款规定调整后的报价经投标人确认后产生约束力。</w:t>
      </w:r>
    </w:p>
    <w:p w14:paraId="7DC3F3E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评标委员会按照上述规定的原则，要求投标人对相关内容进行澄清、说明或者补正、修正的，投标人应当按照要求进行澄清、说明或者补正、修正；投标人拒绝的，评标委员会可以否决其投标。</w:t>
      </w:r>
    </w:p>
    <w:p w14:paraId="486AC857">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（十八）在评标过程中，评标委员会若发现投标人以他人的名义投标、串通投标、以行贿手段谋取中标或者以其他弄虚作假方式投标的，该投标人的投标将作废标处理。</w:t>
      </w:r>
    </w:p>
    <w:p w14:paraId="749CCF73">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十九）在评标过程中，评标委员会若发现投标人的报价明显低于其他投标报价或者在设有标底时明显低于标底，使得其投标报价可能低于其个别成本的，将要求该投标人作出书面说明并当场提供相关证明材料。投标人不能合理说明并不能当场提供相关证明材料的，由评标委员会认定该投标人以低于成本报价竞标，其投标将作废标处理。</w:t>
      </w:r>
    </w:p>
    <w:p w14:paraId="6C6E33D9">
      <w:pPr>
        <w:keepNext w:val="0"/>
        <w:keepLines w:val="0"/>
        <w:pageBreakBefore w:val="0"/>
        <w:widowControl w:val="0"/>
        <w:kinsoku/>
        <w:wordWrap/>
        <w:overflowPunct/>
        <w:topLinePunct w:val="0"/>
        <w:autoSpaceDE/>
        <w:autoSpaceDN/>
        <w:bidi w:val="0"/>
        <w:spacing w:line="460" w:lineRule="exact"/>
        <w:ind w:firstLine="567"/>
        <w:textAlignment w:val="auto"/>
        <w:rPr>
          <w:b/>
          <w:color w:val="auto"/>
          <w:szCs w:val="21"/>
          <w:highlight w:val="none"/>
        </w:rPr>
      </w:pPr>
      <w:r>
        <w:rPr>
          <w:rFonts w:hint="eastAsia"/>
          <w:b/>
          <w:color w:val="auto"/>
          <w:szCs w:val="21"/>
          <w:highlight w:val="none"/>
        </w:rPr>
        <w:t>（二十）凡投标文件有下列情况之一的，属于重大偏差，视同未能对招标文件作出实质性响应，按废标处理。</w:t>
      </w:r>
      <w:r>
        <w:rPr>
          <w:b/>
          <w:color w:val="auto"/>
          <w:szCs w:val="21"/>
          <w:highlight w:val="none"/>
        </w:rPr>
        <w:t xml:space="preserve"> </w:t>
      </w:r>
    </w:p>
    <w:p w14:paraId="099F6F1F">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1．投标文件中的投标函未加盖投标人的公章及企业法定代表人印章的，或者企业法定代表人委托代理人没有合法、有效的委托书（原件）及委托代理人印章的；</w:t>
      </w:r>
    </w:p>
    <w:p w14:paraId="6DB89351">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2．未按招标文件要求提供投标保证金的；</w:t>
      </w:r>
      <w:r>
        <w:rPr>
          <w:b/>
          <w:color w:val="auto"/>
          <w:szCs w:val="21"/>
          <w:highlight w:val="none"/>
        </w:rPr>
        <w:t xml:space="preserve"> </w:t>
      </w:r>
    </w:p>
    <w:p w14:paraId="5CA4D332">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3．未按招标文件规定的格式填写，内容不全或关键字迹模糊、无法辨认的；</w:t>
      </w:r>
      <w:r>
        <w:rPr>
          <w:b/>
          <w:color w:val="auto"/>
          <w:szCs w:val="21"/>
          <w:highlight w:val="none"/>
        </w:rPr>
        <w:t xml:space="preserve"> </w:t>
      </w:r>
    </w:p>
    <w:p w14:paraId="32BE1B41">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4．投标人递交两份或多份内容不同的投标文件，或在一份投标文件中对同一招标项目报有两个或多个报价，且未声明哪一个有效，按招标文件规定提交备选投标方案的除外；</w:t>
      </w:r>
      <w:r>
        <w:rPr>
          <w:b/>
          <w:color w:val="auto"/>
          <w:szCs w:val="21"/>
          <w:highlight w:val="none"/>
        </w:rPr>
        <w:t xml:space="preserve"> </w:t>
      </w:r>
    </w:p>
    <w:p w14:paraId="49FED85B">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5．投标人名称或组织结构与资格审查时不一致的；</w:t>
      </w:r>
    </w:p>
    <w:p w14:paraId="1695AEF3">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6．除在投标文件截止时间前经招标人书面同意外，小型项目管理师或项目负责人与资格预审时不一致的；</w:t>
      </w:r>
    </w:p>
    <w:p w14:paraId="5EBA8BA6">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7．投标人资格条件不符合国家有关规定或招标文件要求的；</w:t>
      </w:r>
    </w:p>
    <w:p w14:paraId="27A771B8">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8．投标文件载明的招标项目完成期限超过招标文件规定的期限；</w:t>
      </w:r>
      <w:r>
        <w:rPr>
          <w:b/>
          <w:color w:val="auto"/>
          <w:szCs w:val="21"/>
          <w:highlight w:val="none"/>
        </w:rPr>
        <w:t xml:space="preserve"> </w:t>
      </w:r>
    </w:p>
    <w:p w14:paraId="008B53EE">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9．明显不符合技术规范、技术标准的要求；</w:t>
      </w:r>
      <w:r>
        <w:rPr>
          <w:b/>
          <w:color w:val="auto"/>
          <w:szCs w:val="21"/>
          <w:highlight w:val="none"/>
        </w:rPr>
        <w:t xml:space="preserve"> </w:t>
      </w:r>
    </w:p>
    <w:p w14:paraId="5C27943E">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10．投标报价超过招标文件规定的最高限价的；</w:t>
      </w:r>
    </w:p>
    <w:p w14:paraId="22B536B6">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11．不同投标人的投标文件出现了评标委员会认为不应当雷同的情况；</w:t>
      </w:r>
    </w:p>
    <w:p w14:paraId="411AAE1A">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12．改变招标文件提供的工程量清单中的项目编号、项目名称、项目特征、计量单位、工程数量；</w:t>
      </w:r>
    </w:p>
    <w:p w14:paraId="4B18EFC8">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13．改变招标文件规定的暂列金额、暂估价或不可竞争费用的； </w:t>
      </w:r>
      <w:r>
        <w:rPr>
          <w:b/>
          <w:color w:val="auto"/>
          <w:szCs w:val="21"/>
          <w:highlight w:val="none"/>
        </w:rPr>
        <w:t xml:space="preserve"> </w:t>
      </w:r>
    </w:p>
    <w:p w14:paraId="723FE2EB">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14．未按招标文件要求提供投标报价的电子投标文件；</w:t>
      </w:r>
    </w:p>
    <w:p w14:paraId="00C42187">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15．投标文件载明的货物包装方式、检验标准和方法等不符合招标文件的要求；</w:t>
      </w:r>
      <w:r>
        <w:rPr>
          <w:b/>
          <w:color w:val="auto"/>
          <w:szCs w:val="21"/>
          <w:highlight w:val="none"/>
        </w:rPr>
        <w:t xml:space="preserve"> </w:t>
      </w:r>
    </w:p>
    <w:p w14:paraId="0DB8C196">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16．投标文件提出了不能满足招标文件要求或招标人不能接受的工程验收、计量、价款结算支付办法；</w:t>
      </w:r>
    </w:p>
    <w:p w14:paraId="626402F7">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17．以他人的名义投标、串通投标、以行贿手段谋取中标或者以其他弄虚作假方式投标的；</w:t>
      </w:r>
    </w:p>
    <w:p w14:paraId="3C5CFE3F">
      <w:pPr>
        <w:keepNext w:val="0"/>
        <w:keepLines w:val="0"/>
        <w:pageBreakBefore w:val="0"/>
        <w:widowControl w:val="0"/>
        <w:kinsoku/>
        <w:wordWrap/>
        <w:overflowPunct/>
        <w:topLinePunct w:val="0"/>
        <w:autoSpaceDE/>
        <w:autoSpaceDN/>
        <w:bidi w:val="0"/>
        <w:spacing w:line="460" w:lineRule="exact"/>
        <w:ind w:firstLine="791" w:firstLineChars="375"/>
        <w:textAlignment w:val="auto"/>
        <w:rPr>
          <w:b/>
          <w:color w:val="auto"/>
          <w:szCs w:val="21"/>
          <w:highlight w:val="none"/>
        </w:rPr>
      </w:pPr>
      <w:r>
        <w:rPr>
          <w:rFonts w:hint="eastAsia"/>
          <w:b/>
          <w:color w:val="auto"/>
          <w:szCs w:val="21"/>
          <w:highlight w:val="none"/>
        </w:rPr>
        <w:t>18．经评标委员会认定投标人的投标报价低于成本价的；</w:t>
      </w:r>
    </w:p>
    <w:p w14:paraId="3712EF4E">
      <w:pPr>
        <w:keepNext w:val="0"/>
        <w:keepLines w:val="0"/>
        <w:pageBreakBefore w:val="0"/>
        <w:widowControl w:val="0"/>
        <w:kinsoku/>
        <w:wordWrap/>
        <w:overflowPunct/>
        <w:topLinePunct w:val="0"/>
        <w:autoSpaceDE/>
        <w:autoSpaceDN/>
        <w:bidi w:val="0"/>
        <w:spacing w:line="460" w:lineRule="exact"/>
        <w:ind w:firstLine="578"/>
        <w:textAlignment w:val="auto"/>
        <w:rPr>
          <w:b/>
          <w:color w:val="auto"/>
          <w:szCs w:val="21"/>
          <w:highlight w:val="none"/>
        </w:rPr>
      </w:pPr>
      <w:r>
        <w:rPr>
          <w:rFonts w:hint="eastAsia"/>
          <w:b/>
          <w:color w:val="auto"/>
          <w:szCs w:val="21"/>
          <w:highlight w:val="none"/>
        </w:rPr>
        <w:t xml:space="preserve"> 19．组成联合体投标的，投标文件未附联合体各方共同投标协议的。</w:t>
      </w:r>
    </w:p>
    <w:p w14:paraId="575C54FD">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b/>
          <w:color w:val="auto"/>
          <w:szCs w:val="21"/>
          <w:highlight w:val="none"/>
        </w:rPr>
      </w:pPr>
      <w:r>
        <w:rPr>
          <w:rFonts w:hint="eastAsia"/>
          <w:b/>
          <w:color w:val="auto"/>
          <w:szCs w:val="21"/>
          <w:highlight w:val="none"/>
        </w:rPr>
        <w:t>未按上述要求执行的投标文件将作无效标处理。</w:t>
      </w:r>
    </w:p>
    <w:p w14:paraId="378C48D9">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评标委员会根据规定否决不合格投标或者界定</w:t>
      </w:r>
      <w:r>
        <w:rPr>
          <w:rFonts w:hint="eastAsia" w:ascii="宋体" w:hAnsi="宋体"/>
          <w:color w:val="auto"/>
          <w:szCs w:val="21"/>
          <w:highlight w:val="none"/>
          <w:lang w:val="en-US" w:eastAsia="zh-CN"/>
        </w:rPr>
        <w:t>均为</w:t>
      </w:r>
      <w:r>
        <w:rPr>
          <w:rFonts w:hint="eastAsia" w:ascii="宋体" w:hAnsi="宋体"/>
          <w:color w:val="auto"/>
          <w:szCs w:val="21"/>
          <w:highlight w:val="none"/>
        </w:rPr>
        <w:t>无效标后，因有效投标不足三人使得投标明显缺乏竞争的，评标委员会可以否决全部投标。所有投标被否决的，招标人依法重新招标。</w:t>
      </w:r>
    </w:p>
    <w:p w14:paraId="3630BF05">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3BF7E6ED">
      <w:pPr>
        <w:keepNext w:val="0"/>
        <w:keepLines w:val="0"/>
        <w:pageBreakBefore w:val="0"/>
        <w:widowControl w:val="0"/>
        <w:kinsoku/>
        <w:wordWrap/>
        <w:overflowPunct/>
        <w:topLinePunct w:val="0"/>
        <w:autoSpaceDE/>
        <w:autoSpaceDN/>
        <w:bidi w:val="0"/>
        <w:adjustRightInd w:val="0"/>
        <w:snapToGrid w:val="0"/>
        <w:spacing w:line="460" w:lineRule="exact"/>
        <w:ind w:firstLine="567"/>
        <w:jc w:val="center"/>
        <w:textAlignment w:val="auto"/>
        <w:rPr>
          <w:rFonts w:ascii="宋体" w:hAnsi="宋体"/>
          <w:b/>
          <w:bCs/>
          <w:color w:val="auto"/>
          <w:szCs w:val="21"/>
          <w:highlight w:val="none"/>
        </w:rPr>
      </w:pPr>
      <w:r>
        <w:rPr>
          <w:rFonts w:hint="eastAsia" w:ascii="宋体" w:hAnsi="宋体"/>
          <w:b/>
          <w:bCs/>
          <w:color w:val="auto"/>
          <w:szCs w:val="21"/>
          <w:highlight w:val="none"/>
        </w:rPr>
        <w:t>八、授 予 合 同</w:t>
      </w:r>
    </w:p>
    <w:p w14:paraId="4FE6E1DA">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（二十二）中标</w:t>
      </w:r>
    </w:p>
    <w:p w14:paraId="0CF1AF8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1、确定中标单位后，招标人将在</w:t>
      </w:r>
      <w:r>
        <w:rPr>
          <w:rFonts w:hint="eastAsia" w:ascii="宋体" w:hAnsi="宋体"/>
          <w:b/>
          <w:color w:val="auto"/>
          <w:szCs w:val="21"/>
          <w:highlight w:val="none"/>
          <w:u w:val="single"/>
        </w:rPr>
        <w:t>常州高新区管委会（新北区人民政府）网站</w:t>
      </w:r>
      <w:r>
        <w:rPr>
          <w:rFonts w:hint="eastAsia" w:ascii="宋体" w:hAnsi="宋体"/>
          <w:color w:val="auto"/>
          <w:szCs w:val="21"/>
          <w:highlight w:val="none"/>
        </w:rPr>
        <w:t>进行中标公示，公示三天，如无异议，招标人向中标单位发出中标通知书，并同时将中标结果通知所有未中标的投标人。中标通知书将成为合同的组成部分。</w:t>
      </w:r>
    </w:p>
    <w:p w14:paraId="0426D3C2">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2、中标单位收到中标通知书后，应在</w:t>
      </w:r>
      <w:r>
        <w:rPr>
          <w:rFonts w:hint="eastAsia" w:ascii="宋体" w:hAnsi="宋体"/>
          <w:color w:val="auto"/>
          <w:szCs w:val="21"/>
          <w:highlight w:val="none"/>
          <w:u w:val="single"/>
        </w:rPr>
        <w:t xml:space="preserve"> 30 </w:t>
      </w:r>
      <w:r>
        <w:rPr>
          <w:rFonts w:hint="eastAsia" w:ascii="宋体" w:hAnsi="宋体"/>
          <w:color w:val="auto"/>
          <w:szCs w:val="21"/>
          <w:highlight w:val="none"/>
        </w:rPr>
        <w:t>日内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6C5E8946">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（二十三）合同签订</w:t>
      </w:r>
    </w:p>
    <w:p w14:paraId="1DC741D4">
      <w:pPr>
        <w:keepNext w:val="0"/>
        <w:keepLines w:val="0"/>
        <w:pageBreakBefore w:val="0"/>
        <w:widowControl w:val="0"/>
        <w:kinsoku/>
        <w:wordWrap/>
        <w:overflowPunct/>
        <w:topLinePunct w:val="0"/>
        <w:autoSpaceDE/>
        <w:autoSpaceDN/>
        <w:bidi w:val="0"/>
        <w:adjustRightInd w:val="0"/>
        <w:snapToGrid w:val="0"/>
        <w:spacing w:line="460" w:lineRule="exact"/>
        <w:ind w:firstLine="567"/>
        <w:textAlignment w:val="auto"/>
        <w:rPr>
          <w:rFonts w:ascii="宋体" w:hAnsi="宋体"/>
          <w:color w:val="auto"/>
          <w:szCs w:val="21"/>
          <w:highlight w:val="none"/>
        </w:rPr>
      </w:pPr>
      <w:r>
        <w:rPr>
          <w:rFonts w:hint="eastAsia" w:ascii="宋体" w:hAnsi="宋体"/>
          <w:color w:val="auto"/>
          <w:szCs w:val="21"/>
          <w:highlight w:val="none"/>
        </w:rPr>
        <w:t>1、招标人与中标单位将根据《中华人民共和国民法典》的规定，依据招标文件和投标文件签订施工合同。</w:t>
      </w:r>
    </w:p>
    <w:p w14:paraId="6DF72654">
      <w:pPr>
        <w:keepNext w:val="0"/>
        <w:keepLines w:val="0"/>
        <w:pageBreakBefore w:val="0"/>
        <w:widowControl w:val="0"/>
        <w:kinsoku/>
        <w:wordWrap/>
        <w:overflowPunct/>
        <w:topLinePunct w:val="0"/>
        <w:autoSpaceDE/>
        <w:autoSpaceDN/>
        <w:bidi w:val="0"/>
        <w:spacing w:line="460" w:lineRule="exact"/>
        <w:textAlignment w:val="auto"/>
        <w:rPr>
          <w:rFonts w:ascii="宋体" w:hAnsi="宋体"/>
          <w:b/>
          <w:color w:val="auto"/>
          <w:sz w:val="28"/>
          <w:highlight w:val="none"/>
        </w:rPr>
      </w:pPr>
      <w:r>
        <w:rPr>
          <w:rFonts w:ascii="宋体" w:hAnsi="宋体"/>
          <w:b/>
          <w:color w:val="auto"/>
          <w:sz w:val="28"/>
          <w:highlight w:val="none"/>
        </w:rPr>
        <w:br w:type="page"/>
      </w:r>
      <w:r>
        <w:rPr>
          <w:rFonts w:hint="eastAsia" w:ascii="宋体" w:hAnsi="宋体"/>
          <w:b/>
          <w:color w:val="auto"/>
          <w:sz w:val="28"/>
          <w:highlight w:val="none"/>
        </w:rPr>
        <w:t>附件1：</w:t>
      </w:r>
    </w:p>
    <w:p w14:paraId="0E29B2B7">
      <w:pPr>
        <w:spacing w:after="120" w:afterLines="50" w:line="600" w:lineRule="exact"/>
        <w:jc w:val="center"/>
        <w:rPr>
          <w:rFonts w:ascii="黑体" w:hAnsi="宋体" w:eastAsia="黑体"/>
          <w:color w:val="auto"/>
          <w:sz w:val="44"/>
          <w:szCs w:val="44"/>
          <w:highlight w:val="none"/>
        </w:rPr>
      </w:pPr>
      <w:r>
        <w:rPr>
          <w:rFonts w:hint="eastAsia" w:ascii="黑体" w:hAnsi="宋体" w:eastAsia="黑体"/>
          <w:color w:val="auto"/>
          <w:sz w:val="44"/>
          <w:szCs w:val="44"/>
          <w:highlight w:val="none"/>
        </w:rPr>
        <w:t>评标办法</w:t>
      </w:r>
    </w:p>
    <w:p w14:paraId="70895F55">
      <w:pPr>
        <w:pStyle w:val="80"/>
        <w:spacing w:line="360" w:lineRule="auto"/>
        <w:ind w:firstLine="420" w:firstLineChars="200"/>
        <w:rPr>
          <w:rFonts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本着公平、公正、公开的原则，对各投标单位投标文件中的商务标方面进行评分。</w:t>
      </w:r>
    </w:p>
    <w:p w14:paraId="0D2753CB">
      <w:pPr>
        <w:spacing w:line="360" w:lineRule="auto"/>
        <w:ind w:firstLine="527" w:firstLineChars="250"/>
        <w:rPr>
          <w:rFonts w:ascii="宋体" w:hAnsi="宋体" w:cs="宋体"/>
          <w:b/>
          <w:bCs/>
          <w:color w:val="auto"/>
          <w:sz w:val="21"/>
          <w:szCs w:val="21"/>
          <w:highlight w:val="none"/>
        </w:rPr>
      </w:pPr>
      <w:r>
        <w:rPr>
          <w:rFonts w:hint="eastAsia" w:ascii="宋体" w:hAnsi="宋体" w:cs="宋体"/>
          <w:b/>
          <w:color w:val="auto"/>
          <w:sz w:val="21"/>
          <w:szCs w:val="21"/>
          <w:highlight w:val="none"/>
        </w:rPr>
        <w:t>一、</w:t>
      </w:r>
      <w:r>
        <w:rPr>
          <w:rFonts w:hint="eastAsia" w:ascii="宋体" w:hAnsi="宋体" w:cs="宋体"/>
          <w:b/>
          <w:bCs/>
          <w:color w:val="auto"/>
          <w:sz w:val="21"/>
          <w:szCs w:val="21"/>
          <w:highlight w:val="none"/>
        </w:rPr>
        <w:t>确定有效投标报价：</w:t>
      </w:r>
    </w:p>
    <w:p w14:paraId="3A583F20">
      <w:pPr>
        <w:keepNext w:val="0"/>
        <w:keepLines w:val="0"/>
        <w:widowControl/>
        <w:suppressLineNumbers w:val="0"/>
        <w:adjustRightInd w:val="0"/>
        <w:snapToGrid w:val="0"/>
        <w:spacing w:before="0" w:beforeAutospacing="0" w:after="0" w:afterAutospacing="0" w:line="360" w:lineRule="auto"/>
        <w:ind w:left="0" w:right="0" w:firstLine="420" w:firstLineChars="200"/>
        <w:jc w:val="both"/>
        <w:rPr>
          <w:rFonts w:ascii="宋体" w:hAnsi="宋体" w:cs="宋体"/>
          <w:b/>
          <w:bCs/>
          <w:color w:val="auto"/>
          <w:sz w:val="21"/>
          <w:szCs w:val="21"/>
          <w:highlight w:val="none"/>
        </w:rPr>
      </w:pPr>
      <w:r>
        <w:rPr>
          <w:rFonts w:hint="eastAsia" w:ascii="宋体" w:hAnsi="宋体" w:eastAsia="宋体" w:cs="宋体"/>
          <w:color w:val="auto"/>
          <w:kern w:val="2"/>
          <w:sz w:val="21"/>
          <w:szCs w:val="21"/>
          <w:highlight w:val="none"/>
          <w:lang w:val="en-US" w:eastAsia="zh-CN" w:bidi="ar"/>
        </w:rPr>
        <w:t>凡符合招标文件、招标答疑纪要等有关招标实质性要求，并且投标报价不低于工程成本、不高于招标控制价，</w:t>
      </w:r>
      <w:r>
        <w:rPr>
          <w:rFonts w:hint="eastAsia" w:ascii="宋体" w:hAnsi="宋体" w:eastAsia="宋体" w:cs="宋体"/>
          <w:b/>
          <w:bCs/>
          <w:color w:val="auto"/>
          <w:kern w:val="2"/>
          <w:sz w:val="21"/>
          <w:szCs w:val="21"/>
          <w:highlight w:val="none"/>
          <w:lang w:val="en-US" w:eastAsia="zh-CN" w:bidi="ar"/>
        </w:rPr>
        <w:t>投标工程量清单中任一分部分项工程投标单价不超过招标控制价相对应分部分项工程单价的，均为有效投标报价</w:t>
      </w:r>
      <w:r>
        <w:rPr>
          <w:rFonts w:hint="eastAsia" w:ascii="宋体" w:hAnsi="宋体" w:eastAsia="宋体" w:cs="宋体"/>
          <w:color w:val="auto"/>
          <w:kern w:val="2"/>
          <w:sz w:val="21"/>
          <w:szCs w:val="21"/>
          <w:highlight w:val="none"/>
          <w:lang w:val="en-US" w:eastAsia="zh-CN" w:bidi="ar"/>
        </w:rPr>
        <w:t>。未能实质性响应上述有关招标要求的投标文件为无效标</w:t>
      </w:r>
      <w:r>
        <w:rPr>
          <w:rFonts w:hint="eastAsia" w:ascii="宋体" w:hAnsi="宋体" w:cs="宋体"/>
          <w:b/>
          <w:bCs/>
          <w:color w:val="auto"/>
          <w:sz w:val="21"/>
          <w:szCs w:val="21"/>
          <w:highlight w:val="none"/>
        </w:rPr>
        <w:t>。</w:t>
      </w:r>
    </w:p>
    <w:p w14:paraId="0883EA32">
      <w:pPr>
        <w:spacing w:line="360" w:lineRule="auto"/>
        <w:ind w:firstLine="405" w:firstLineChars="192"/>
        <w:rPr>
          <w:rFonts w:ascii="宋体" w:hAnsi="宋体"/>
          <w:b/>
          <w:bCs/>
          <w:color w:val="auto"/>
          <w:sz w:val="21"/>
          <w:szCs w:val="21"/>
          <w:highlight w:val="none"/>
        </w:rPr>
      </w:pPr>
      <w:r>
        <w:rPr>
          <w:rFonts w:hint="eastAsia" w:ascii="宋体" w:hAnsi="宋体" w:cs="宋体"/>
          <w:b/>
          <w:bCs/>
          <w:color w:val="auto"/>
          <w:sz w:val="21"/>
          <w:szCs w:val="21"/>
          <w:highlight w:val="none"/>
        </w:rPr>
        <w:t>二、打分（100分）</w:t>
      </w:r>
    </w:p>
    <w:p w14:paraId="053A7DE7">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（1）确定评标基准价：通过相关投标数据合成确定评标基准价，高出或低于此基准价相应扣分。评标基准价=（A×50%+B×30%+C×20%）×K； </w:t>
      </w:r>
    </w:p>
    <w:p w14:paraId="77BAE844">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（2）A=本次招标项目最高投标限价×（100%-下浮率△）； </w:t>
      </w:r>
    </w:p>
    <w:p w14:paraId="03A50E07">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     B=在规定范围内的本次投标除C值外的任意一个</w:t>
      </w:r>
      <w:r>
        <w:rPr>
          <w:rFonts w:hint="eastAsia" w:ascii="宋体" w:hAnsi="宋体"/>
          <w:color w:val="auto"/>
          <w:sz w:val="21"/>
          <w:szCs w:val="21"/>
          <w:highlight w:val="none"/>
          <w:lang w:val="en-US" w:eastAsia="zh-CN"/>
        </w:rPr>
        <w:t>评标</w:t>
      </w:r>
      <w:r>
        <w:rPr>
          <w:rFonts w:hint="eastAsia" w:ascii="宋体" w:hAnsi="宋体"/>
          <w:color w:val="auto"/>
          <w:sz w:val="21"/>
          <w:szCs w:val="21"/>
          <w:highlight w:val="none"/>
        </w:rPr>
        <w:t xml:space="preserve">价； </w:t>
      </w:r>
    </w:p>
    <w:p w14:paraId="23F71679">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     C=在规定范围内的本次开标最低有效投标价；</w:t>
      </w:r>
    </w:p>
    <w:p w14:paraId="596E6D83">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A值、B值、C值参与评标基准价计算时，最高投标限价和有效投标报价均扣除暂估价（含税）后计算，本工程暂估价（含税）为：</w:t>
      </w:r>
      <w:r>
        <w:rPr>
          <w:rFonts w:ascii="宋体" w:hAnsi="宋体"/>
          <w:b/>
          <w:bCs/>
          <w:color w:val="auto"/>
          <w:sz w:val="21"/>
          <w:szCs w:val="21"/>
          <w:highlight w:val="none"/>
          <w:u w:val="single"/>
        </w:rPr>
        <w:t>0</w:t>
      </w:r>
      <w:r>
        <w:rPr>
          <w:rFonts w:hint="eastAsia" w:ascii="宋体" w:hAnsi="宋体"/>
          <w:b/>
          <w:bCs/>
          <w:color w:val="auto"/>
          <w:sz w:val="21"/>
          <w:szCs w:val="21"/>
          <w:highlight w:val="none"/>
          <w:u w:val="single"/>
        </w:rPr>
        <w:t>元</w:t>
      </w:r>
      <w:r>
        <w:rPr>
          <w:rFonts w:hint="eastAsia" w:ascii="宋体" w:hAnsi="宋体"/>
          <w:color w:val="auto"/>
          <w:sz w:val="21"/>
          <w:szCs w:val="21"/>
          <w:highlight w:val="none"/>
        </w:rPr>
        <w:t>；</w:t>
      </w:r>
    </w:p>
    <w:p w14:paraId="4CDEBD06">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规定范围为</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评标价算术平均值*70%与最高投标限价*30%之和下浮25%以内的所有评标价</w:t>
      </w:r>
      <w:r>
        <w:rPr>
          <w:rFonts w:hint="eastAsia" w:ascii="宋体" w:hAnsi="宋体"/>
          <w:color w:val="auto"/>
          <w:sz w:val="21"/>
          <w:szCs w:val="21"/>
          <w:highlight w:val="none"/>
        </w:rPr>
        <w:t xml:space="preserve">；    </w:t>
      </w:r>
    </w:p>
    <w:p w14:paraId="6E10583C">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K为下浮系数，取值范围为96%、96.5%、97%、97.5%、98%、98.5%、99%。 </w:t>
      </w:r>
    </w:p>
    <w:p w14:paraId="2539AF28">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（3）各有效投标价扣除暂估价（含税</w:t>
      </w:r>
      <w:r>
        <w:rPr>
          <w:rFonts w:hint="eastAsia" w:ascii="宋体" w:hAnsi="宋体"/>
          <w:color w:val="auto"/>
          <w:sz w:val="21"/>
          <w:szCs w:val="21"/>
          <w:highlight w:val="none"/>
          <w:lang w:val="en-US" w:eastAsia="zh-CN"/>
        </w:rPr>
        <w:t>金</w:t>
      </w:r>
      <w:r>
        <w:rPr>
          <w:rFonts w:hint="eastAsia" w:ascii="宋体" w:hAnsi="宋体"/>
          <w:color w:val="auto"/>
          <w:sz w:val="21"/>
          <w:szCs w:val="21"/>
          <w:highlight w:val="none"/>
        </w:rPr>
        <w:t xml:space="preserve">）后与评标基准价比对，等于评标基准价的得满分，高出或低于此基准价相应扣分，每高或低1%扣（0.6、0.7、0.8）分。具体扣分值在开标后评标委员会所有评委确定有效标后由招标人代表进行随机抽取。（按内插法，四舍五入取两位小数）。 </w:t>
      </w:r>
    </w:p>
    <w:p w14:paraId="7989E531">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注：①Δ为以最高投标限价为基数的下浮率，本工程为：</w:t>
      </w:r>
      <w:r>
        <w:rPr>
          <w:rFonts w:hint="eastAsia" w:ascii="宋体" w:hAnsi="宋体"/>
          <w:color w:val="auto"/>
          <w:sz w:val="21"/>
          <w:szCs w:val="21"/>
          <w:highlight w:val="none"/>
          <w:lang w:val="en-US" w:eastAsia="zh-CN"/>
        </w:rPr>
        <w:t>18</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19</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20</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21</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22</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23</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24</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25</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26</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27</w:t>
      </w:r>
      <w:r>
        <w:rPr>
          <w:rFonts w:hint="eastAsia" w:ascii="宋体" w:hAnsi="宋体"/>
          <w:color w:val="auto"/>
          <w:sz w:val="21"/>
          <w:szCs w:val="21"/>
          <w:highlight w:val="none"/>
        </w:rPr>
        <w:t xml:space="preserve">%共10个数值。②C值的确定：按公式计算出本工程的规定范围，在此规定范围内的最低有效投标报价即为C值。③（不含C值）B值按签到表顺序随机抽取确定。④开标时有效标少于等于3家的，不再合成计算评标基准价，最低有效投标报价即为评标基准值。 </w:t>
      </w:r>
    </w:p>
    <w:p w14:paraId="33D63D3D">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（4）所有抽签均在开标后评标委员会所有评委确定有效标后由招标人代表进行随机抽取。</w:t>
      </w:r>
    </w:p>
    <w:p w14:paraId="7FEDD5BC">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（5）评标委员会在评标报告上签字后，ABC合成评标基准价不因招投标当事人质疑、投诉、复议以及其它任何情形而改变，评标过程中的计算错误调整除外。 </w:t>
      </w:r>
    </w:p>
    <w:p w14:paraId="6092DC01">
      <w:pPr>
        <w:spacing w:line="360" w:lineRule="auto"/>
        <w:ind w:firstLine="527" w:firstLineChars="250"/>
        <w:rPr>
          <w:rFonts w:ascii="宋体" w:hAnsi="宋体" w:cs="宋体"/>
          <w:b/>
          <w:bCs/>
          <w:color w:val="auto"/>
          <w:sz w:val="21"/>
          <w:szCs w:val="21"/>
          <w:highlight w:val="none"/>
        </w:rPr>
      </w:pPr>
      <w:r>
        <w:rPr>
          <w:rFonts w:hint="eastAsia" w:ascii="宋体" w:hAnsi="宋体" w:cs="宋体"/>
          <w:b/>
          <w:bCs/>
          <w:color w:val="auto"/>
          <w:sz w:val="21"/>
          <w:szCs w:val="21"/>
          <w:highlight w:val="none"/>
        </w:rPr>
        <w:t>三、定标</w:t>
      </w:r>
    </w:p>
    <w:p w14:paraId="6A456B9D">
      <w:pPr>
        <w:autoSpaceDE w:val="0"/>
        <w:autoSpaceDN w:val="0"/>
        <w:adjustRightInd w:val="0"/>
        <w:spacing w:line="360" w:lineRule="auto"/>
        <w:ind w:firstLine="369" w:firstLineChars="176"/>
        <w:rPr>
          <w:rFonts w:ascii="宋体" w:hAnsi="宋体"/>
          <w:color w:val="auto"/>
          <w:sz w:val="21"/>
          <w:szCs w:val="21"/>
          <w:highlight w:val="none"/>
        </w:rPr>
      </w:pPr>
      <w:r>
        <w:rPr>
          <w:rFonts w:hint="eastAsia" w:ascii="宋体" w:hAnsi="宋体"/>
          <w:color w:val="auto"/>
          <w:sz w:val="21"/>
          <w:szCs w:val="21"/>
          <w:highlight w:val="none"/>
        </w:rPr>
        <w:t xml:space="preserve">以上各项得分相加即为投标人的评标总分，评标总分最高者为第一中标候选人。若评标总分相同，则选择其中投标报价低者为第一中标候选人；若评标总分相同，投标报价也相同，当场按签到顺序抽签确定中标候选人。 </w:t>
      </w:r>
    </w:p>
    <w:p w14:paraId="6C226748">
      <w:pPr>
        <w:autoSpaceDE w:val="0"/>
        <w:autoSpaceDN w:val="0"/>
        <w:adjustRightInd w:val="0"/>
        <w:spacing w:line="360" w:lineRule="auto"/>
        <w:ind w:firstLine="371" w:firstLineChars="176"/>
        <w:rPr>
          <w:rFonts w:ascii="宋体" w:hAnsi="宋体"/>
          <w:b/>
          <w:color w:val="auto"/>
          <w:sz w:val="21"/>
          <w:szCs w:val="21"/>
          <w:highlight w:val="none"/>
        </w:rPr>
      </w:pPr>
      <w:r>
        <w:rPr>
          <w:rFonts w:hint="eastAsia" w:ascii="宋体" w:hAnsi="宋体"/>
          <w:b/>
          <w:color w:val="auto"/>
          <w:sz w:val="21"/>
          <w:szCs w:val="21"/>
          <w:highlight w:val="none"/>
        </w:rPr>
        <w:t xml:space="preserve">注意事项： </w:t>
      </w:r>
    </w:p>
    <w:p w14:paraId="4D7238E6">
      <w:pPr>
        <w:autoSpaceDE w:val="0"/>
        <w:autoSpaceDN w:val="0"/>
        <w:adjustRightInd w:val="0"/>
        <w:spacing w:line="360" w:lineRule="auto"/>
        <w:ind w:firstLine="371" w:firstLineChars="176"/>
        <w:rPr>
          <w:rFonts w:ascii="宋体" w:hAnsi="宋体"/>
          <w:b/>
          <w:color w:val="auto"/>
          <w:sz w:val="21"/>
          <w:szCs w:val="21"/>
          <w:highlight w:val="none"/>
        </w:rPr>
      </w:pPr>
      <w:r>
        <w:rPr>
          <w:rFonts w:hint="eastAsia" w:ascii="宋体" w:hAnsi="宋体"/>
          <w:b/>
          <w:color w:val="auto"/>
          <w:sz w:val="21"/>
          <w:szCs w:val="21"/>
          <w:highlight w:val="none"/>
        </w:rPr>
        <w:t xml:space="preserve">1、一旦发现中标单位存在非法转包、转让、挂靠等行为的，将依法进行处理，给招标人造成损失的，依法承担赔偿责任。 </w:t>
      </w:r>
    </w:p>
    <w:p w14:paraId="0AAF6165">
      <w:pPr>
        <w:autoSpaceDE w:val="0"/>
        <w:autoSpaceDN w:val="0"/>
        <w:adjustRightInd w:val="0"/>
        <w:spacing w:line="360" w:lineRule="auto"/>
        <w:ind w:firstLine="371" w:firstLineChars="176"/>
        <w:rPr>
          <w:rFonts w:ascii="宋体" w:hAnsi="宋体"/>
          <w:b/>
          <w:color w:val="auto"/>
          <w:sz w:val="21"/>
          <w:szCs w:val="21"/>
          <w:highlight w:val="none"/>
        </w:rPr>
      </w:pPr>
      <w:r>
        <w:rPr>
          <w:rFonts w:hint="eastAsia" w:ascii="宋体" w:hAnsi="宋体"/>
          <w:b/>
          <w:color w:val="auto"/>
          <w:sz w:val="21"/>
          <w:szCs w:val="21"/>
          <w:highlight w:val="none"/>
        </w:rPr>
        <w:t>2、本工程招标公告中的评标办法与招标文件中的评标办法不一致时，以招标公告中的评标办法为准。</w:t>
      </w:r>
    </w:p>
    <w:p w14:paraId="3AE84548">
      <w:pPr>
        <w:pStyle w:val="7"/>
        <w:pageBreakBefore w:val="0"/>
        <w:kinsoku/>
        <w:wordWrap/>
        <w:overflowPunct/>
        <w:topLinePunct w:val="0"/>
        <w:autoSpaceDE/>
        <w:autoSpaceDN/>
        <w:bidi w:val="0"/>
        <w:adjustRightInd w:val="0"/>
        <w:spacing w:line="460" w:lineRule="exact"/>
        <w:jc w:val="center"/>
        <w:rPr>
          <w:color w:val="auto"/>
          <w:highlight w:val="none"/>
        </w:rPr>
      </w:pPr>
      <w:r>
        <w:rPr>
          <w:rFonts w:hint="eastAsia" w:ascii="宋体" w:hAnsi="宋体"/>
          <w:snapToGrid w:val="0"/>
          <w:color w:val="auto"/>
          <w:szCs w:val="32"/>
          <w:highlight w:val="none"/>
        </w:rPr>
        <w:br w:type="page"/>
      </w:r>
      <w:bookmarkStart w:id="0" w:name="_Toc31886"/>
      <w:r>
        <w:rPr>
          <w:rFonts w:hint="eastAsia"/>
          <w:color w:val="auto"/>
          <w:highlight w:val="none"/>
        </w:rPr>
        <w:t>第二章 合同主要条款</w:t>
      </w:r>
      <w:bookmarkEnd w:id="0"/>
    </w:p>
    <w:p w14:paraId="4DA322AE">
      <w:pPr>
        <w:widowControl/>
        <w:adjustRightInd w:val="0"/>
        <w:snapToGrid w:val="0"/>
        <w:spacing w:line="360" w:lineRule="auto"/>
        <w:ind w:firstLine="420" w:firstLineChars="200"/>
        <w:jc w:val="left"/>
        <w:rPr>
          <w:rFonts w:ascii="宋体" w:hAnsi="宋体" w:cs="宋体"/>
          <w:color w:val="auto"/>
          <w:szCs w:val="21"/>
          <w:highlight w:val="none"/>
        </w:rPr>
      </w:pPr>
    </w:p>
    <w:p w14:paraId="291AF1D9">
      <w:pPr>
        <w:adjustRightInd w:val="0"/>
        <w:snapToGrid w:val="0"/>
        <w:spacing w:line="360" w:lineRule="auto"/>
        <w:ind w:firstLine="420" w:firstLineChars="200"/>
        <w:rPr>
          <w:rFonts w:ascii="宋体" w:hAnsi="宋体" w:cs="宋体"/>
          <w:color w:val="auto"/>
          <w:szCs w:val="21"/>
          <w:highlight w:val="none"/>
        </w:rPr>
      </w:pPr>
    </w:p>
    <w:p w14:paraId="51D88540">
      <w:pPr>
        <w:pStyle w:val="19"/>
        <w:rPr>
          <w:color w:val="auto"/>
          <w:highlight w:val="none"/>
        </w:rPr>
      </w:pPr>
    </w:p>
    <w:p w14:paraId="7C4E3D57">
      <w:pPr>
        <w:jc w:val="center"/>
        <w:rPr>
          <w:rFonts w:hint="eastAsia" w:ascii="黑体" w:hAnsi="黑体" w:eastAsia="黑体" w:cs="黑体"/>
          <w:color w:val="auto"/>
          <w:sz w:val="44"/>
          <w:szCs w:val="44"/>
          <w:highlight w:val="none"/>
        </w:rPr>
      </w:pPr>
      <w:r>
        <w:rPr>
          <w:rFonts w:hint="eastAsia" w:ascii="黑体" w:hAnsi="黑体" w:eastAsia="黑体" w:cs="黑体"/>
          <w:color w:val="auto"/>
          <w:sz w:val="44"/>
          <w:szCs w:val="44"/>
          <w:highlight w:val="none"/>
          <w:u w:val="single"/>
        </w:rPr>
        <w:t xml:space="preserve">  2024年西山森林防火设施提升项目 </w:t>
      </w:r>
      <w:r>
        <w:rPr>
          <w:rFonts w:hint="eastAsia" w:ascii="黑体" w:hAnsi="黑体" w:eastAsia="黑体" w:cs="黑体"/>
          <w:color w:val="auto"/>
          <w:sz w:val="44"/>
          <w:szCs w:val="44"/>
          <w:highlight w:val="none"/>
        </w:rPr>
        <w:t>工程施工合同</w:t>
      </w:r>
    </w:p>
    <w:p w14:paraId="010E9270">
      <w:pPr>
        <w:rPr>
          <w:color w:val="auto"/>
          <w:highlight w:val="none"/>
        </w:rPr>
      </w:pPr>
    </w:p>
    <w:p w14:paraId="3AAAD91F">
      <w:pPr>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甲方（全称）：</w:t>
      </w:r>
      <w:r>
        <w:rPr>
          <w:rFonts w:hint="eastAsia" w:asciiTheme="minorEastAsia" w:hAnsiTheme="minorEastAsia" w:eastAsiaTheme="minorEastAsia" w:cstheme="minorEastAsia"/>
          <w:color w:val="auto"/>
          <w:sz w:val="21"/>
          <w:szCs w:val="21"/>
          <w:highlight w:val="none"/>
          <w:u w:val="single"/>
        </w:rPr>
        <w:t>常州市孟河林场有限公司</w:t>
      </w:r>
    </w:p>
    <w:p w14:paraId="3BC71E15">
      <w:pPr>
        <w:spacing w:line="360" w:lineRule="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b/>
          <w:color w:val="auto"/>
          <w:sz w:val="21"/>
          <w:szCs w:val="21"/>
          <w:highlight w:val="none"/>
        </w:rPr>
        <w:t>乙方（全称）：</w:t>
      </w:r>
      <w:bookmarkStart w:id="1" w:name="EB241b94fc711d4e17ae5df777797f1fa7"/>
      <w:bookmarkEnd w:id="1"/>
      <w:r>
        <w:rPr>
          <w:rFonts w:hint="eastAsia" w:asciiTheme="minorEastAsia" w:hAnsiTheme="minorEastAsia" w:eastAsiaTheme="minorEastAsia" w:cstheme="minorEastAsia"/>
          <w:color w:val="auto"/>
          <w:sz w:val="21"/>
          <w:szCs w:val="21"/>
          <w:highlight w:val="none"/>
          <w:u w:val="single"/>
        </w:rPr>
        <w:t xml:space="preserve">                                  </w:t>
      </w:r>
    </w:p>
    <w:p w14:paraId="209D51EC">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根据《中华人民共和国</w:t>
      </w:r>
      <w:r>
        <w:rPr>
          <w:rFonts w:hint="eastAsia" w:asciiTheme="minorEastAsia" w:hAnsiTheme="minorEastAsia" w:eastAsiaTheme="minorEastAsia" w:cstheme="minorEastAsia"/>
          <w:color w:val="auto"/>
          <w:sz w:val="21"/>
          <w:szCs w:val="21"/>
          <w:highlight w:val="none"/>
          <w:lang w:eastAsia="zh-Hans"/>
        </w:rPr>
        <w:t>民法典</w:t>
      </w:r>
      <w:r>
        <w:rPr>
          <w:rFonts w:hint="eastAsia" w:asciiTheme="minorEastAsia" w:hAnsiTheme="minorEastAsia" w:eastAsiaTheme="minorEastAsia" w:cstheme="minorEastAsia"/>
          <w:color w:val="auto"/>
          <w:sz w:val="21"/>
          <w:szCs w:val="21"/>
          <w:highlight w:val="none"/>
        </w:rPr>
        <w:t>》、《中华人民共和国建筑法》及有关法律规定，遵循平等、自愿、公平和诚实信用的原则，双方就</w:t>
      </w:r>
      <w:r>
        <w:rPr>
          <w:rFonts w:hint="eastAsia" w:asciiTheme="minorEastAsia" w:hAnsiTheme="minorEastAsia" w:eastAsiaTheme="minorEastAsia" w:cstheme="minorEastAsia"/>
          <w:color w:val="auto"/>
          <w:sz w:val="21"/>
          <w:szCs w:val="21"/>
          <w:highlight w:val="none"/>
          <w:u w:val="single"/>
        </w:rPr>
        <w:t>2024年西山森林防火设施提升项目工程</w:t>
      </w:r>
      <w:r>
        <w:rPr>
          <w:rFonts w:hint="eastAsia" w:asciiTheme="minorEastAsia" w:hAnsiTheme="minorEastAsia" w:eastAsiaTheme="minorEastAsia" w:cstheme="minorEastAsia"/>
          <w:color w:val="auto"/>
          <w:sz w:val="21"/>
          <w:szCs w:val="21"/>
          <w:highlight w:val="none"/>
        </w:rPr>
        <w:t>施工及有关事项协商一致，共同达成如下协议：</w:t>
      </w:r>
    </w:p>
    <w:p w14:paraId="1E90F17B">
      <w:pPr>
        <w:spacing w:before="120" w:after="120" w:line="560" w:lineRule="exact"/>
        <w:ind w:firstLine="422" w:firstLineChars="200"/>
        <w:outlineLvl w:val="3"/>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一、工程概况</w:t>
      </w:r>
    </w:p>
    <w:p w14:paraId="1C0AA282">
      <w:pPr>
        <w:spacing w:line="560" w:lineRule="exact"/>
        <w:ind w:firstLine="420" w:firstLineChars="200"/>
        <w:rPr>
          <w:rFonts w:hint="eastAsia" w:asciiTheme="minorEastAsia" w:hAnsiTheme="minorEastAsia" w:eastAsiaTheme="minorEastAsia" w:cstheme="minorEastAsia"/>
          <w:bCs/>
          <w:color w:val="auto"/>
          <w:sz w:val="21"/>
          <w:szCs w:val="21"/>
          <w:highlight w:val="none"/>
          <w:u w:val="single"/>
        </w:rPr>
      </w:pPr>
      <w:r>
        <w:rPr>
          <w:rFonts w:hint="eastAsia" w:asciiTheme="minorEastAsia" w:hAnsiTheme="minorEastAsia" w:eastAsiaTheme="minorEastAsia" w:cstheme="minorEastAsia"/>
          <w:bCs/>
          <w:color w:val="auto"/>
          <w:sz w:val="21"/>
          <w:szCs w:val="21"/>
          <w:highlight w:val="none"/>
        </w:rPr>
        <w:t>1、工程名称：</w:t>
      </w:r>
      <w:r>
        <w:rPr>
          <w:rFonts w:hint="eastAsia" w:asciiTheme="minorEastAsia" w:hAnsiTheme="minorEastAsia" w:eastAsiaTheme="minorEastAsia" w:cstheme="minorEastAsia"/>
          <w:bCs/>
          <w:color w:val="auto"/>
          <w:sz w:val="21"/>
          <w:szCs w:val="21"/>
          <w:highlight w:val="none"/>
          <w:u w:val="single"/>
        </w:rPr>
        <w:t xml:space="preserve"> 2024年西山森林防火设施提升项目工程施工  </w:t>
      </w:r>
    </w:p>
    <w:p w14:paraId="10146F82">
      <w:pPr>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2、工程地点：</w:t>
      </w:r>
      <w:r>
        <w:rPr>
          <w:rFonts w:hint="eastAsia" w:asciiTheme="minorEastAsia" w:hAnsiTheme="minorEastAsia" w:eastAsiaTheme="minorEastAsia" w:cstheme="minorEastAsia"/>
          <w:bCs/>
          <w:color w:val="auto"/>
          <w:sz w:val="21"/>
          <w:szCs w:val="21"/>
          <w:highlight w:val="none"/>
          <w:u w:val="single"/>
        </w:rPr>
        <w:t xml:space="preserve">  常州市新北区        </w:t>
      </w:r>
    </w:p>
    <w:p w14:paraId="7AF71947">
      <w:pPr>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3、资金来源：</w:t>
      </w:r>
      <w:r>
        <w:rPr>
          <w:rFonts w:hint="eastAsia" w:asciiTheme="minorEastAsia" w:hAnsiTheme="minorEastAsia" w:eastAsiaTheme="minorEastAsia" w:cstheme="minorEastAsia"/>
          <w:bCs/>
          <w:color w:val="auto"/>
          <w:sz w:val="21"/>
          <w:szCs w:val="21"/>
          <w:highlight w:val="none"/>
          <w:u w:val="single"/>
        </w:rPr>
        <w:t xml:space="preserve">   自筹       </w:t>
      </w:r>
    </w:p>
    <w:p w14:paraId="2364D6F5">
      <w:pPr>
        <w:spacing w:line="560" w:lineRule="exact"/>
        <w:ind w:firstLine="420" w:firstLineChars="200"/>
        <w:rPr>
          <w:rFonts w:hint="eastAsia" w:asciiTheme="minorEastAsia" w:hAnsiTheme="minorEastAsia" w:eastAsiaTheme="minorEastAsia" w:cstheme="minorEastAsia"/>
          <w:bCs/>
          <w:color w:val="auto"/>
          <w:sz w:val="21"/>
          <w:szCs w:val="21"/>
          <w:highlight w:val="none"/>
          <w:u w:val="single"/>
        </w:rPr>
      </w:pPr>
      <w:r>
        <w:rPr>
          <w:rFonts w:hint="eastAsia" w:asciiTheme="minorEastAsia" w:hAnsiTheme="minorEastAsia" w:eastAsiaTheme="minorEastAsia" w:cstheme="minorEastAsia"/>
          <w:bCs/>
          <w:color w:val="auto"/>
          <w:sz w:val="21"/>
          <w:szCs w:val="21"/>
          <w:highlight w:val="none"/>
        </w:rPr>
        <w:t>4、工程范围及施工内容：</w:t>
      </w:r>
      <w:r>
        <w:rPr>
          <w:rFonts w:hint="eastAsia" w:asciiTheme="minorEastAsia" w:hAnsiTheme="minorEastAsia" w:eastAsiaTheme="minorEastAsia" w:cstheme="minorEastAsia"/>
          <w:bCs/>
          <w:color w:val="auto"/>
          <w:sz w:val="21"/>
          <w:szCs w:val="21"/>
          <w:highlight w:val="none"/>
          <w:u w:val="single"/>
        </w:rPr>
        <w:t xml:space="preserve"> 图纸及工程量清单范围的全部工程 </w:t>
      </w:r>
    </w:p>
    <w:p w14:paraId="036B45BC">
      <w:pPr>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5、承包方式：</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u w:val="single"/>
          <w:lang w:val="en-US" w:eastAsia="zh-CN"/>
        </w:rPr>
        <w:t>包工包料</w:t>
      </w:r>
      <w:r>
        <w:rPr>
          <w:rFonts w:hint="eastAsia" w:asciiTheme="minorEastAsia" w:hAnsiTheme="minorEastAsia" w:eastAsiaTheme="minorEastAsia" w:cstheme="minorEastAsia"/>
          <w:bCs/>
          <w:color w:val="auto"/>
          <w:sz w:val="21"/>
          <w:szCs w:val="21"/>
          <w:highlight w:val="none"/>
          <w:u w:val="single"/>
        </w:rPr>
        <w:t xml:space="preserve">       </w:t>
      </w:r>
    </w:p>
    <w:p w14:paraId="3F4BACA9">
      <w:pPr>
        <w:spacing w:before="120" w:after="120" w:line="560" w:lineRule="exact"/>
        <w:ind w:firstLine="422" w:firstLineChars="200"/>
        <w:outlineLvl w:val="3"/>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二、工程期限</w:t>
      </w:r>
    </w:p>
    <w:p w14:paraId="5A57B87D">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计划开工日期：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月</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日，</w:t>
      </w:r>
      <w:r>
        <w:rPr>
          <w:rFonts w:hint="eastAsia" w:asciiTheme="minorEastAsia" w:hAnsiTheme="minorEastAsia" w:eastAsiaTheme="minorEastAsia" w:cstheme="minorEastAsia"/>
          <w:color w:val="auto"/>
          <w:sz w:val="21"/>
          <w:szCs w:val="21"/>
          <w:highlight w:val="none"/>
          <w:u w:val="single"/>
        </w:rPr>
        <w:t>具体时间以开工报告为准</w:t>
      </w:r>
      <w:r>
        <w:rPr>
          <w:rFonts w:hint="eastAsia" w:asciiTheme="minorEastAsia" w:hAnsiTheme="minorEastAsia" w:eastAsiaTheme="minorEastAsia" w:cstheme="minorEastAsia"/>
          <w:color w:val="auto"/>
          <w:sz w:val="21"/>
          <w:szCs w:val="21"/>
          <w:highlight w:val="none"/>
        </w:rPr>
        <w:t>。</w:t>
      </w:r>
    </w:p>
    <w:p w14:paraId="3CB451A1">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计划完工日期：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月</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日。</w:t>
      </w:r>
    </w:p>
    <w:p w14:paraId="4E63E2B4">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本工程合同总工期：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180日历日</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。自开工报告中载明的开工日期起算工期总日历天数。如遇特殊情况，经甲方同意后，工期可作相应顺延，并用书面形式确定顺延期限。</w:t>
      </w:r>
    </w:p>
    <w:p w14:paraId="08387E3C">
      <w:pPr>
        <w:spacing w:line="560" w:lineRule="exact"/>
        <w:ind w:firstLine="422" w:firstLineChars="200"/>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三、质量标准</w:t>
      </w:r>
    </w:p>
    <w:p w14:paraId="3F1A04D9">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1、本工程质量要求：符合《建筑工程施工质量验收统一标准》要求。</w:t>
      </w:r>
    </w:p>
    <w:p w14:paraId="3B1C8DFE">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2、本工程约定质量标准：</w:t>
      </w:r>
      <w:r>
        <w:rPr>
          <w:rFonts w:hint="eastAsia" w:asciiTheme="minorEastAsia" w:hAnsiTheme="minorEastAsia" w:eastAsiaTheme="minorEastAsia" w:cstheme="minorEastAsia"/>
          <w:color w:val="auto"/>
          <w:sz w:val="21"/>
          <w:szCs w:val="21"/>
          <w:highlight w:val="none"/>
          <w:u w:val="single"/>
        </w:rPr>
        <w:t>合格</w:t>
      </w:r>
      <w:r>
        <w:rPr>
          <w:rFonts w:hint="eastAsia" w:asciiTheme="minorEastAsia" w:hAnsiTheme="minorEastAsia" w:eastAsiaTheme="minorEastAsia" w:cstheme="minorEastAsia"/>
          <w:color w:val="auto"/>
          <w:sz w:val="21"/>
          <w:szCs w:val="21"/>
          <w:highlight w:val="none"/>
        </w:rPr>
        <w:t>。</w:t>
      </w:r>
    </w:p>
    <w:p w14:paraId="0DFBE5E1">
      <w:pPr>
        <w:spacing w:before="120" w:after="120" w:line="560" w:lineRule="exact"/>
        <w:ind w:firstLine="422" w:firstLineChars="200"/>
        <w:outlineLvl w:val="3"/>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四、合同价款</w:t>
      </w:r>
    </w:p>
    <w:p w14:paraId="3185BF34">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Hans"/>
        </w:rPr>
        <w:t>合同价款</w:t>
      </w:r>
      <w:r>
        <w:rPr>
          <w:rFonts w:hint="eastAsia" w:asciiTheme="minorEastAsia" w:hAnsiTheme="minorEastAsia" w:eastAsiaTheme="minorEastAsia" w:cstheme="minorEastAsia"/>
          <w:color w:val="auto"/>
          <w:sz w:val="21"/>
          <w:szCs w:val="21"/>
          <w:highlight w:val="none"/>
        </w:rPr>
        <w:t>：</w:t>
      </w:r>
    </w:p>
    <w:p w14:paraId="2AE4D36A">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Hans"/>
        </w:rPr>
        <w:t>本合同</w:t>
      </w:r>
      <w:r>
        <w:rPr>
          <w:rFonts w:hint="eastAsia" w:asciiTheme="minorEastAsia" w:hAnsiTheme="minorEastAsia" w:eastAsiaTheme="minorEastAsia" w:cstheme="minorEastAsia"/>
          <w:color w:val="auto"/>
          <w:sz w:val="21"/>
          <w:szCs w:val="21"/>
          <w:highlight w:val="none"/>
        </w:rPr>
        <w:t>暂估总价</w:t>
      </w:r>
      <w:r>
        <w:rPr>
          <w:rFonts w:hint="eastAsia" w:asciiTheme="minorEastAsia" w:hAnsiTheme="minorEastAsia" w:eastAsiaTheme="minorEastAsia" w:cstheme="minorEastAsia"/>
          <w:color w:val="auto"/>
          <w:sz w:val="21"/>
          <w:szCs w:val="21"/>
          <w:highlight w:val="none"/>
          <w:lang w:eastAsia="zh-Hans"/>
        </w:rPr>
        <w:t>为</w:t>
      </w:r>
      <w:r>
        <w:rPr>
          <w:rFonts w:hint="eastAsia" w:asciiTheme="minorEastAsia" w:hAnsiTheme="minorEastAsia" w:eastAsiaTheme="minorEastAsia" w:cstheme="minorEastAsia"/>
          <w:color w:val="auto"/>
          <w:sz w:val="21"/>
          <w:szCs w:val="21"/>
          <w:highlight w:val="none"/>
        </w:rPr>
        <w:t>人民币（大写）</w:t>
      </w:r>
      <w:bookmarkStart w:id="2" w:name="EBcbf5dad0f7674322a32390ceb67f9727"/>
      <w:bookmarkEnd w:id="2"/>
      <w:r>
        <w:rPr>
          <w:rFonts w:hint="eastAsia" w:asciiTheme="minorEastAsia" w:hAnsiTheme="minorEastAsia" w:eastAsiaTheme="minorEastAsia" w:cstheme="minorEastAsia"/>
          <w:b/>
          <w:bCs/>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bookmarkStart w:id="3" w:name="EB292f070cbdc94ac98fff28b5b4de67a0"/>
      <w:bookmarkEnd w:id="3"/>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元)，含</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u w:val="single"/>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%增值税专用发票税率，不含税合同价为人民币（大写）</w:t>
      </w:r>
      <w:r>
        <w:rPr>
          <w:rFonts w:hint="eastAsia" w:asciiTheme="minorEastAsia" w:hAnsiTheme="minorEastAsia" w:eastAsiaTheme="minorEastAsia" w:cstheme="minorEastAsia"/>
          <w:b/>
          <w:bCs/>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后期如遇国家税收政策调整，乙方需提前与甲方充分沟通，征得甲方同意后，本合同依据不含税金额结合最新增值税适用税率计算支付。原则上本合同项下不含税金额保持不变，如因乙方原因导致发票不符合《中华人民共和国发票管理办法》相关规定，造成的一切损失由乙方承担。</w:t>
      </w:r>
    </w:p>
    <w:p w14:paraId="36411E3F">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2、结算方式：</w:t>
      </w:r>
    </w:p>
    <w:p w14:paraId="2C7D1408">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本合同为</w:t>
      </w:r>
      <w:r>
        <w:rPr>
          <w:rFonts w:hint="eastAsia" w:asciiTheme="minorEastAsia" w:hAnsiTheme="minorEastAsia" w:eastAsiaTheme="minorEastAsia" w:cstheme="minorEastAsia"/>
          <w:color w:val="auto"/>
          <w:sz w:val="21"/>
          <w:szCs w:val="21"/>
          <w:highlight w:val="none"/>
          <w:u w:val="single"/>
        </w:rPr>
        <w:t>固定综合单价</w:t>
      </w:r>
      <w:r>
        <w:rPr>
          <w:rFonts w:hint="eastAsia" w:asciiTheme="minorEastAsia" w:hAnsiTheme="minorEastAsia" w:eastAsiaTheme="minorEastAsia" w:cstheme="minorEastAsia"/>
          <w:color w:val="auto"/>
          <w:sz w:val="21"/>
          <w:szCs w:val="21"/>
          <w:highlight w:val="none"/>
        </w:rPr>
        <w:t>合同，结算时根据</w:t>
      </w:r>
      <w:r>
        <w:rPr>
          <w:rFonts w:hint="eastAsia" w:asciiTheme="minorEastAsia" w:hAnsiTheme="minorEastAsia" w:eastAsiaTheme="minorEastAsia" w:cstheme="minorEastAsia"/>
          <w:color w:val="auto"/>
          <w:sz w:val="21"/>
          <w:szCs w:val="21"/>
          <w:highlight w:val="none"/>
          <w:u w:val="single"/>
        </w:rPr>
        <w:t>乙方报价清单中所列固定单价审核后按实</w:t>
      </w:r>
      <w:r>
        <w:rPr>
          <w:rFonts w:hint="eastAsia" w:asciiTheme="minorEastAsia" w:hAnsiTheme="minorEastAsia" w:eastAsiaTheme="minorEastAsia" w:cstheme="minorEastAsia"/>
          <w:color w:val="auto"/>
          <w:sz w:val="21"/>
          <w:szCs w:val="21"/>
          <w:highlight w:val="none"/>
        </w:rPr>
        <w:t>结算。若涉及工程变更或增加工程量的需及时办理变更及现场签证，经甲方根据变更金额审批权限审批通过后组织施工，否则乙方所提交的任何请求甲方付款的材料，甲方均有权不予认可。</w:t>
      </w:r>
    </w:p>
    <w:p w14:paraId="606F85CE">
      <w:pPr>
        <w:spacing w:after="120" w:line="560" w:lineRule="exact"/>
        <w:ind w:firstLine="422" w:firstLineChars="200"/>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五、履约保证金</w:t>
      </w:r>
    </w:p>
    <w:p w14:paraId="5BF098C4">
      <w:pPr>
        <w:spacing w:after="120"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乙方向甲方缴纳合同履约保证金人民币：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元（大写：</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）；甲方在对项目竣工验收合格后，乙方未发生违约、违规情形的，甲方无息退还履约保证金（若有剩余）。</w:t>
      </w:r>
    </w:p>
    <w:p w14:paraId="6D267383">
      <w:pPr>
        <w:spacing w:before="120" w:after="120" w:line="560" w:lineRule="exact"/>
        <w:ind w:firstLine="422" w:firstLineChars="200"/>
        <w:outlineLvl w:val="3"/>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六、付款方式</w:t>
      </w:r>
    </w:p>
    <w:p w14:paraId="033D1306">
      <w:pPr>
        <w:spacing w:line="560" w:lineRule="exact"/>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1.工程竣工验收合格后，付至合同价的60%（扣除暂列金、暂估价）（无息）；</w:t>
      </w:r>
    </w:p>
    <w:p w14:paraId="206D3A7E">
      <w:pPr>
        <w:spacing w:line="560" w:lineRule="exact"/>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2.经结算审定后并档案资料移交甲方存档后付至审定价的97%（无息）；</w:t>
      </w:r>
    </w:p>
    <w:p w14:paraId="62B3F264">
      <w:pPr>
        <w:spacing w:line="560" w:lineRule="exact"/>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3.余款（含3%的质保金）质保期满后余款付清（无息）。</w:t>
      </w:r>
    </w:p>
    <w:p w14:paraId="035D5B8C">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乙方同意甲方按中国人民银行规定的各类结算方式进行结算。</w:t>
      </w:r>
    </w:p>
    <w:p w14:paraId="2A3CD090">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乙方在申请付款时应出具含</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u w:val="single"/>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%增值税专用发票。</w:t>
      </w:r>
    </w:p>
    <w:p w14:paraId="48192900">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以上所有款项均为无息支付。</w:t>
      </w:r>
    </w:p>
    <w:p w14:paraId="1400DF4A">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付款时间原则上应遵循甲方内控审批流程，会因审批流程延期，乙方不得因此提出合同违约。</w:t>
      </w:r>
    </w:p>
    <w:p w14:paraId="2288D033">
      <w:pPr>
        <w:spacing w:line="560" w:lineRule="exact"/>
        <w:ind w:firstLine="422" w:firstLineChars="200"/>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七、双方权力义务</w:t>
      </w:r>
    </w:p>
    <w:p w14:paraId="791B592C">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1、甲方</w:t>
      </w:r>
    </w:p>
    <w:p w14:paraId="60571FB6">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（1）甲方派驻施工现场的工程师代表为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，负责对工程进度、工程质量、工程变更签证、隐蔽工程和合同执行进行监督检查，负责设计图纸问题的处理。</w:t>
      </w:r>
    </w:p>
    <w:p w14:paraId="533C746B">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（2）组织对工程的竣工验收。</w:t>
      </w:r>
    </w:p>
    <w:p w14:paraId="054D094E">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w:t>
      </w:r>
    </w:p>
    <w:p w14:paraId="1AE7BD01">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1</w:t>
      </w:r>
      <w:r>
        <w:rPr>
          <w:rFonts w:hint="eastAsia" w:asciiTheme="minorEastAsia" w:hAnsiTheme="minorEastAsia" w:eastAsiaTheme="minorEastAsia" w:cstheme="minorEastAsia"/>
          <w:color w:val="auto"/>
          <w:sz w:val="21"/>
          <w:szCs w:val="21"/>
          <w:highlight w:val="none"/>
        </w:rPr>
        <w:t>）本工程乙方已仔细踏勘施工现场，已充分考虑了现场可能影响施工的各种因素，并已将可能发生的相关费用考虑在签约合同价款内。</w:t>
      </w:r>
    </w:p>
    <w:p w14:paraId="137615AB">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（2）场内临时设施搭建、文明施工设施、扬尘控制、安全警示等设置工作由乙方根据甲方落实到位，严格按照施工图与说明书进行施工，确保工程质量，按合同规定的时间如期完工和交付；</w:t>
      </w:r>
    </w:p>
    <w:p w14:paraId="3D98EE4F">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（3）已完工的房屋、构筑物和安装的设备，在交付前应负责保管，并清理好场地，提供竣工验收技术资料，参加竣工验收；</w:t>
      </w:r>
    </w:p>
    <w:p w14:paraId="6AE2971F">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（4）在合同规定的保修期内，对属于承包方责任的工作质量问题，负责无偿修理。</w:t>
      </w:r>
    </w:p>
    <w:p w14:paraId="08FF51E5">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（5）负责项目施工现场的安全管理，执行安全生产责任制度；乙方原因导致的安全事故、人身伤害和财产损失等责任均由乙方承担。</w:t>
      </w:r>
    </w:p>
    <w:p w14:paraId="1D52B894">
      <w:pPr>
        <w:spacing w:after="120"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（6）施工临时用水、用电由乙方向甲方提出申请</w:t>
      </w:r>
      <w:r>
        <w:rPr>
          <w:rFonts w:hint="eastAsia" w:asciiTheme="minorEastAsia" w:hAnsiTheme="minorEastAsia" w:eastAsiaTheme="minorEastAsia" w:cstheme="minorEastAsia"/>
          <w:bCs/>
          <w:color w:val="auto"/>
          <w:sz w:val="21"/>
          <w:szCs w:val="21"/>
          <w:highlight w:val="none"/>
        </w:rPr>
        <w:t>并承担相应的费用</w:t>
      </w:r>
      <w:r>
        <w:rPr>
          <w:rFonts w:hint="eastAsia" w:asciiTheme="minorEastAsia" w:hAnsiTheme="minorEastAsia" w:eastAsiaTheme="minorEastAsia" w:cstheme="minorEastAsia"/>
          <w:color w:val="auto"/>
          <w:sz w:val="21"/>
          <w:szCs w:val="21"/>
          <w:highlight w:val="none"/>
        </w:rPr>
        <w:t>，乙方不得任意自行接水、电使用；乙方必须负责施工过程中水、电一切安全，严禁浪费水、电。</w:t>
      </w:r>
    </w:p>
    <w:p w14:paraId="12700801">
      <w:pPr>
        <w:spacing w:after="120"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乙方不得将本工程转包或违法分包给第三人实施，如产生转包或违法分包情形的，甲方有权解除合同并要求乙方承担合同总额30%的违约金；如发生第三人以施工人身份起诉甲方的，则由乙方负责处理该纠纷，由此产生的所有费用由乙方承担（甲方诉讼中产生的包括但不限于法院费用和律师费用亦由乙方承担）。</w:t>
      </w:r>
    </w:p>
    <w:p w14:paraId="72BB5508">
      <w:pPr>
        <w:spacing w:line="560" w:lineRule="exact"/>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（8）乙方派驻现场工程师代表为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，联系电话</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，负责整个项目工程管理，配合甲方或甲方工程师代表进行工程施工管理；乙方派驻现场工程师未经甲方书面同意，不得擅自更换。</w:t>
      </w:r>
    </w:p>
    <w:p w14:paraId="317ED686">
      <w:pPr>
        <w:spacing w:line="560" w:lineRule="exact"/>
        <w:ind w:firstLine="422" w:firstLineChars="200"/>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八、工程验收</w:t>
      </w:r>
    </w:p>
    <w:p w14:paraId="1A9C4243">
      <w:pPr>
        <w:spacing w:before="120" w:after="120" w:line="560" w:lineRule="exact"/>
        <w:ind w:firstLine="420" w:firstLineChars="200"/>
        <w:jc w:val="left"/>
        <w:outlineLvl w:val="3"/>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sz w:val="21"/>
          <w:szCs w:val="21"/>
          <w:highlight w:val="none"/>
        </w:rPr>
        <w:t>1、</w:t>
      </w:r>
      <w:r>
        <w:rPr>
          <w:rFonts w:hint="eastAsia" w:asciiTheme="minorEastAsia" w:hAnsiTheme="minorEastAsia" w:eastAsiaTheme="minorEastAsia" w:cstheme="minorEastAsia"/>
          <w:color w:val="auto"/>
          <w:sz w:val="21"/>
          <w:szCs w:val="21"/>
          <w:highlight w:val="none"/>
        </w:rPr>
        <w:t>乙方必须严格按说明文件和国家颁发的有关规范、规程进行施工，并接受甲方工程师代表的监督检查。</w:t>
      </w:r>
    </w:p>
    <w:p w14:paraId="4216471D">
      <w:pPr>
        <w:snapToGri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2、甲、乙双方应及时办理隐蔽工程和中间工程的检查与验收手续。</w:t>
      </w:r>
    </w:p>
    <w:p w14:paraId="0618EECE">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3、乙方采购的材料、设备，需提供合格证明，经</w:t>
      </w:r>
      <w:r>
        <w:rPr>
          <w:rFonts w:hint="eastAsia" w:asciiTheme="minorEastAsia" w:hAnsiTheme="minorEastAsia" w:eastAsiaTheme="minorEastAsia" w:cstheme="minorEastAsia"/>
          <w:color w:val="auto"/>
          <w:sz w:val="21"/>
          <w:szCs w:val="21"/>
          <w:highlight w:val="none"/>
          <w:lang w:val="en-US" w:eastAsia="zh-CN"/>
        </w:rPr>
        <w:t>监理工程师</w:t>
      </w:r>
      <w:r>
        <w:rPr>
          <w:rFonts w:hint="eastAsia" w:asciiTheme="minorEastAsia" w:hAnsiTheme="minorEastAsia" w:eastAsiaTheme="minorEastAsia" w:cstheme="minorEastAsia"/>
          <w:color w:val="auto"/>
          <w:sz w:val="21"/>
          <w:szCs w:val="21"/>
          <w:highlight w:val="none"/>
        </w:rPr>
        <w:t>确认书面同意后方可使用，如不符合质量要求或规格有差异，应禁止使用，由此对工程造成的工期延误及损失由乙方负责。</w:t>
      </w:r>
    </w:p>
    <w:p w14:paraId="42FD49E0">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4、甲方提供的材料、设备质量不合格而影响工程质量，其返工费用由甲方承担，工期顺延。 </w:t>
      </w:r>
    </w:p>
    <w:p w14:paraId="2696F7E8">
      <w:pPr>
        <w:snapToGri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5、工程完工后，乙方应通知甲方验收，甲方自接到验收通知</w:t>
      </w:r>
      <w:r>
        <w:rPr>
          <w:rFonts w:hint="eastAsia" w:asciiTheme="minorEastAsia" w:hAnsiTheme="minorEastAsia" w:eastAsiaTheme="minorEastAsia" w:cstheme="minorEastAsia"/>
          <w:color w:val="auto"/>
          <w:sz w:val="21"/>
          <w:szCs w:val="21"/>
          <w:highlight w:val="none"/>
          <w:u w:val="single"/>
          <w:lang w:val="en-US" w:eastAsia="zh-CN"/>
        </w:rPr>
        <w:t>15</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日内组织验收，并办理验收、移交手续。</w:t>
      </w:r>
    </w:p>
    <w:p w14:paraId="79E7B424">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6、完工验收中如发现有不符质量要求，需要返工的工程，应分清责任。属施工原因造成的，按双方验收时商定的时间，由乙方负责修好再进行检验。竣工日期以最后检验合格的日期为准。</w:t>
      </w:r>
    </w:p>
    <w:p w14:paraId="14777714">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7、书面验收合格后，双方签署完工验收证书，并将工程移交给甲方管理。</w:t>
      </w:r>
    </w:p>
    <w:p w14:paraId="35A1B83A">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8、本工程自全部竣工正式验收合格之日起，进入质保期，保修期为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二</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年。由于乙方原因造成的工程质量问题，甲方应书面通知乙方并约定时间进行修理，乙方未在约定时间内施工或在保修期内拒不施工的，发包方自行安排施工，费用由乙方承担。</w:t>
      </w:r>
    </w:p>
    <w:p w14:paraId="7AFA8BF6">
      <w:pPr>
        <w:spacing w:line="560" w:lineRule="exact"/>
        <w:ind w:firstLine="422" w:firstLineChars="200"/>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九、竣工结算</w:t>
      </w:r>
    </w:p>
    <w:p w14:paraId="2C714FD0">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1、办理结算时乙方应提交符合甲方要求的结算资料。</w:t>
      </w:r>
    </w:p>
    <w:p w14:paraId="7EDA6B2F">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2、工程结算时，单价按乙方投标所报综合单价或谈判价格，不随材料涨价、政策性调整（税率调整除外）等因素变动，数量按有效实际发生量。</w:t>
      </w:r>
    </w:p>
    <w:p w14:paraId="19BC8220">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3、投标报价中以项或总额报价的项目结算时不随工程变化而调整。</w:t>
      </w:r>
    </w:p>
    <w:p w14:paraId="498119B7">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4、总价措施费不作调整，单价措施费按实际工程量乘合同单价计算（如有）。</w:t>
      </w:r>
    </w:p>
    <w:p w14:paraId="1A1AF53C">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5、变更审核原则</w:t>
      </w:r>
    </w:p>
    <w:p w14:paraId="188C2A5D">
      <w:pPr>
        <w:tabs>
          <w:tab w:val="left" w:pos="-142"/>
        </w:tabs>
        <w:suppressAutoHyphens/>
        <w:snapToGrid w:val="0"/>
        <w:spacing w:line="560" w:lineRule="exact"/>
        <w:ind w:right="-38" w:rightChars="-18"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（1）合同中已有适用于变更工程的单价，按已有的合同单价执行； </w:t>
      </w:r>
    </w:p>
    <w:p w14:paraId="7BDC7097">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（2）合同中有类似于变更工程的单价，可以参照类似单价执行；</w:t>
      </w:r>
    </w:p>
    <w:p w14:paraId="4D2AF5ED">
      <w:pPr>
        <w:tabs>
          <w:tab w:val="left" w:pos="960"/>
        </w:tabs>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合同中没有适用或类似于变更工程的单价，由乙方按合同单价的编制原则，包括人工、材料等基础资料价格和施工机械台时费，工效水平，取费标准，定额降幅（优惠）标准等新编单价，经甲方核准后执行。</w:t>
      </w:r>
    </w:p>
    <w:p w14:paraId="5DBD7C7C">
      <w:pPr>
        <w:tabs>
          <w:tab w:val="left" w:pos="960"/>
        </w:tabs>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结算审计费的计取：核减率在5%（含）以内，审计费由甲方承担；核减率在5%-10%之内，超过5%部分审计费由乙方承担；核减率在10%(不含）以上，全部审计费由乙方承担，核减率大于15%的，处以结算总价2‰违约金。</w:t>
      </w:r>
    </w:p>
    <w:p w14:paraId="5C5FD45E">
      <w:pPr>
        <w:spacing w:before="120" w:after="120" w:line="560" w:lineRule="exact"/>
        <w:ind w:firstLine="422" w:firstLineChars="200"/>
        <w:outlineLvl w:val="3"/>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
          <w:color w:val="auto"/>
          <w:sz w:val="21"/>
          <w:szCs w:val="21"/>
          <w:highlight w:val="none"/>
        </w:rPr>
        <w:t>十、违约责任</w:t>
      </w:r>
    </w:p>
    <w:p w14:paraId="08320559">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1、工程质量不符合合同规定的，乙方负责无偿修理或返工。由于修理返工造成逾期交付的，乙方偿付逾期违约金</w:t>
      </w:r>
      <w:r>
        <w:rPr>
          <w:rFonts w:hint="eastAsia" w:asciiTheme="minorEastAsia" w:hAnsiTheme="minorEastAsia" w:eastAsiaTheme="minorEastAsia" w:cstheme="minorEastAsia"/>
          <w:color w:val="auto"/>
          <w:sz w:val="21"/>
          <w:szCs w:val="21"/>
          <w:highlight w:val="none"/>
          <w:u w:val="single"/>
        </w:rPr>
        <w:t xml:space="preserve">  （合同总额的5‰） </w:t>
      </w:r>
      <w:r>
        <w:rPr>
          <w:rFonts w:hint="eastAsia" w:asciiTheme="minorEastAsia" w:hAnsiTheme="minorEastAsia" w:eastAsiaTheme="minorEastAsia" w:cstheme="minorEastAsia"/>
          <w:color w:val="auto"/>
          <w:sz w:val="21"/>
          <w:szCs w:val="21"/>
          <w:highlight w:val="none"/>
        </w:rPr>
        <w:t>元/天 。</w:t>
      </w:r>
    </w:p>
    <w:p w14:paraId="2E5E0EEE">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2、工程交付时间不符合甲方要求，乙方支付逾期违约金</w:t>
      </w:r>
      <w:r>
        <w:rPr>
          <w:rFonts w:hint="eastAsia" w:asciiTheme="minorEastAsia" w:hAnsiTheme="minorEastAsia" w:eastAsiaTheme="minorEastAsia" w:cstheme="minorEastAsia"/>
          <w:color w:val="auto"/>
          <w:sz w:val="21"/>
          <w:szCs w:val="21"/>
          <w:highlight w:val="none"/>
          <w:u w:val="single"/>
        </w:rPr>
        <w:t>（合同总额的5‰）</w:t>
      </w:r>
      <w:r>
        <w:rPr>
          <w:rFonts w:hint="eastAsia" w:asciiTheme="minorEastAsia" w:hAnsiTheme="minorEastAsia" w:eastAsiaTheme="minorEastAsia" w:cstheme="minorEastAsia"/>
          <w:color w:val="auto"/>
          <w:sz w:val="21"/>
          <w:szCs w:val="21"/>
          <w:highlight w:val="none"/>
        </w:rPr>
        <w:t>元/天 。</w:t>
      </w:r>
    </w:p>
    <w:p w14:paraId="4675EFA6">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3、因乙方原因工程逾期交付时间超过</w:t>
      </w:r>
      <w:r>
        <w:rPr>
          <w:rFonts w:hint="eastAsia" w:asciiTheme="minorEastAsia" w:hAnsiTheme="minorEastAsia" w:eastAsiaTheme="minorEastAsia" w:cstheme="minorEastAsia"/>
          <w:color w:val="auto"/>
          <w:sz w:val="21"/>
          <w:szCs w:val="21"/>
          <w:highlight w:val="none"/>
          <w:u w:val="single"/>
        </w:rPr>
        <w:t xml:space="preserve">10 </w:t>
      </w:r>
      <w:r>
        <w:rPr>
          <w:rFonts w:hint="eastAsia" w:asciiTheme="minorEastAsia" w:hAnsiTheme="minorEastAsia" w:eastAsiaTheme="minorEastAsia" w:cstheme="minorEastAsia"/>
          <w:color w:val="auto"/>
          <w:sz w:val="21"/>
          <w:szCs w:val="21"/>
          <w:highlight w:val="none"/>
        </w:rPr>
        <w:t>日后，甲方有权解除本合同，并按合同</w:t>
      </w:r>
      <w:r>
        <w:rPr>
          <w:rFonts w:hint="eastAsia" w:asciiTheme="minorEastAsia" w:hAnsiTheme="minorEastAsia" w:eastAsiaTheme="minorEastAsia" w:cstheme="minorEastAsia"/>
          <w:color w:val="auto"/>
          <w:sz w:val="21"/>
          <w:szCs w:val="21"/>
          <w:highlight w:val="none"/>
          <w:u w:val="single"/>
        </w:rPr>
        <w:t>总额</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u w:val="single"/>
        </w:rPr>
        <w:t xml:space="preserve"> 20 </w:t>
      </w:r>
      <w:r>
        <w:rPr>
          <w:rFonts w:hint="eastAsia" w:asciiTheme="minorEastAsia" w:hAnsiTheme="minorEastAsia" w:eastAsiaTheme="minorEastAsia" w:cstheme="minorEastAsia"/>
          <w:color w:val="auto"/>
          <w:sz w:val="21"/>
          <w:szCs w:val="21"/>
          <w:highlight w:val="none"/>
        </w:rPr>
        <w:t>%追究违约金，如给甲方造成损失大于违约金的，甲方有权要求赔偿该损失。</w:t>
      </w:r>
    </w:p>
    <w:p w14:paraId="3BC7E4A8">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4、因乙方原因，无法继续履行合同时，应书面通知甲方，经双方协商一致同意后，办理终止协议，履约保证金不予退还；未经甲方同意不履行合同，应按照合同</w:t>
      </w:r>
      <w:r>
        <w:rPr>
          <w:rFonts w:hint="eastAsia" w:asciiTheme="minorEastAsia" w:hAnsiTheme="minorEastAsia" w:eastAsiaTheme="minorEastAsia" w:cstheme="minorEastAsia"/>
          <w:color w:val="auto"/>
          <w:sz w:val="21"/>
          <w:szCs w:val="21"/>
          <w:highlight w:val="none"/>
          <w:u w:val="single"/>
        </w:rPr>
        <w:t>总额</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u w:val="single"/>
        </w:rPr>
        <w:t xml:space="preserve">20 </w:t>
      </w:r>
      <w:r>
        <w:rPr>
          <w:rFonts w:hint="eastAsia" w:asciiTheme="minorEastAsia" w:hAnsiTheme="minorEastAsia" w:eastAsiaTheme="minorEastAsia" w:cstheme="minorEastAsia"/>
          <w:color w:val="auto"/>
          <w:sz w:val="21"/>
          <w:szCs w:val="21"/>
          <w:highlight w:val="none"/>
        </w:rPr>
        <w:t>%向甲方支付违约金，同时履约保证金不予退还。</w:t>
      </w:r>
    </w:p>
    <w:p w14:paraId="55A5E8EC">
      <w:pPr>
        <w:autoSpaceDE w:val="0"/>
        <w:autoSpaceDN w:val="0"/>
        <w:adjustRightInd w:val="0"/>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color w:val="auto"/>
          <w:sz w:val="21"/>
          <w:szCs w:val="21"/>
          <w:highlight w:val="none"/>
        </w:rPr>
        <w:t>5、乙方违反本合同其他约定，经甲方通知后仍未整改或处理的，甲方有权委托第三方施工，所发生费用从乙方工程款中按</w:t>
      </w:r>
      <w:r>
        <w:rPr>
          <w:rFonts w:hint="eastAsia" w:asciiTheme="minorEastAsia" w:hAnsiTheme="minorEastAsia" w:eastAsiaTheme="minorEastAsia" w:cstheme="minorEastAsia"/>
          <w:color w:val="auto"/>
          <w:sz w:val="21"/>
          <w:szCs w:val="21"/>
          <w:highlight w:val="none"/>
          <w:u w:val="single"/>
        </w:rPr>
        <w:t>2倍</w:t>
      </w:r>
      <w:r>
        <w:rPr>
          <w:rFonts w:hint="eastAsia" w:asciiTheme="minorEastAsia" w:hAnsiTheme="minorEastAsia" w:eastAsiaTheme="minorEastAsia" w:cstheme="minorEastAsia"/>
          <w:color w:val="auto"/>
          <w:sz w:val="21"/>
          <w:szCs w:val="21"/>
          <w:highlight w:val="none"/>
        </w:rPr>
        <w:t>扣除，工程款不足支付部分甲方另行向乙方追索。</w:t>
      </w:r>
    </w:p>
    <w:p w14:paraId="5A6B3FBF">
      <w:pPr>
        <w:spacing w:line="560" w:lineRule="exact"/>
        <w:ind w:firstLine="422" w:firstLineChars="200"/>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十一、不可抗力</w:t>
      </w:r>
    </w:p>
    <w:p w14:paraId="52B4A16B">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由于战争、罢工、暴乱、天气、政府原因等不能预见、不能避免且不能克服的不可抗力造成合同无法履行时，不能履行一方应及时通知对方并提供证明，以减轻可能给对方造成的损失，并由双方协商解决。</w:t>
      </w:r>
    </w:p>
    <w:p w14:paraId="0C9D1751">
      <w:pPr>
        <w:autoSpaceDE w:val="0"/>
        <w:autoSpaceDN w:val="0"/>
        <w:adjustRightInd w:val="0"/>
        <w:spacing w:line="560" w:lineRule="exact"/>
        <w:ind w:firstLine="422" w:firstLineChars="200"/>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十二、合同生效</w:t>
      </w:r>
    </w:p>
    <w:p w14:paraId="697E685D">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本合同经双方法定代表人或授权代表签字，并加盖双方公章(合同专用章)和加盖各页骑缝章之日起生效。</w:t>
      </w:r>
    </w:p>
    <w:p w14:paraId="525896DF">
      <w:pPr>
        <w:autoSpaceDE w:val="0"/>
        <w:autoSpaceDN w:val="0"/>
        <w:adjustRightInd w:val="0"/>
        <w:spacing w:line="560" w:lineRule="exact"/>
        <w:ind w:firstLine="422" w:firstLineChars="200"/>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十三、合同解除</w:t>
      </w:r>
    </w:p>
    <w:p w14:paraId="0F2EA499">
      <w:pPr>
        <w:autoSpaceDE w:val="0"/>
        <w:autoSpaceDN w:val="0"/>
        <w:adjustRightInd w:val="0"/>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甲方认为本合同有解除之必要时，可以解除合同全部或一部份，解除通知一经通知，乙方应立即停止并负责遣散工人，其已完成工程及已进场材料、工程安装费用由甲方核实给价。</w:t>
      </w:r>
    </w:p>
    <w:p w14:paraId="0604C55E">
      <w:pPr>
        <w:spacing w:before="120" w:after="120" w:line="560" w:lineRule="exact"/>
        <w:ind w:firstLine="422" w:firstLineChars="200"/>
        <w:outlineLvl w:val="3"/>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十四、争议解决方式</w:t>
      </w:r>
    </w:p>
    <w:p w14:paraId="642F003A">
      <w:pPr>
        <w:autoSpaceDE w:val="0"/>
        <w:autoSpaceDN w:val="0"/>
        <w:adjustRightInd w:val="0"/>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合同执行过程中如发生争议，双方应及时协商解决。协商不成时，任何一方均可向甲方所在地</w:t>
      </w:r>
      <w:r>
        <w:rPr>
          <w:rFonts w:hint="eastAsia" w:asciiTheme="minorEastAsia" w:hAnsiTheme="minorEastAsia" w:eastAsiaTheme="minorEastAsia" w:cstheme="minorEastAsia"/>
          <w:bCs/>
          <w:color w:val="auto"/>
          <w:sz w:val="21"/>
          <w:szCs w:val="21"/>
          <w:highlight w:val="none"/>
          <w:u w:val="single"/>
        </w:rPr>
        <w:t>人民法院</w:t>
      </w:r>
      <w:r>
        <w:rPr>
          <w:rFonts w:hint="eastAsia" w:asciiTheme="minorEastAsia" w:hAnsiTheme="minorEastAsia" w:eastAsiaTheme="minorEastAsia" w:cstheme="minorEastAsia"/>
          <w:bCs/>
          <w:color w:val="auto"/>
          <w:sz w:val="21"/>
          <w:szCs w:val="21"/>
          <w:highlight w:val="none"/>
        </w:rPr>
        <w:t>提起诉讼。</w:t>
      </w:r>
    </w:p>
    <w:p w14:paraId="1AAF6F10">
      <w:pPr>
        <w:autoSpaceDE w:val="0"/>
        <w:autoSpaceDN w:val="0"/>
        <w:adjustRightInd w:val="0"/>
        <w:spacing w:line="560" w:lineRule="exact"/>
        <w:ind w:firstLine="422" w:firstLineChars="200"/>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十五、其他条款</w:t>
      </w:r>
    </w:p>
    <w:p w14:paraId="39FD9B9A">
      <w:pPr>
        <w:spacing w:after="120"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1、本合同之未尽事宜，甲乙双方本着公平、公正、合理的原则协商处理。</w:t>
      </w:r>
    </w:p>
    <w:p w14:paraId="521A25B6">
      <w:pPr>
        <w:spacing w:after="120"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2、乙方获悉的有关甲方的所有信息，包括但不限于图纸、方案、说明等均应履行保密义务，保密期限不因合同的终止或解除而失效。</w:t>
      </w:r>
    </w:p>
    <w:p w14:paraId="20A2A9A2">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3、乙方承诺，因本工程项目所产生的所有知识产权归并给甲方所有。本工程涉及的方案、图纸、说明等不得用于与本工程无关的地方。</w:t>
      </w:r>
    </w:p>
    <w:p w14:paraId="7A141321">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 乙方应保证甲方在使用系统设施或其任何一部分时免受第三方提出的侵犯其专利权、商标权或工业设计权的起诉。乙方保证第三方不就系统设施的知识产权向甲方主张其他权利。如有前述情形发生，则乙方负责处理该知识产权对应纠纷，相关费用亦由乙方承担。</w:t>
      </w:r>
    </w:p>
    <w:p w14:paraId="0DA301A7">
      <w:pPr>
        <w:spacing w:before="120" w:after="120" w:line="560" w:lineRule="exact"/>
        <w:ind w:firstLine="420" w:firstLineChars="200"/>
        <w:outlineLvl w:val="3"/>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5、乙方进入山林施工须服从和遵守林区主管单位的有关管理要求，须办理相关手续经许可后方能进入，同时应在施工区域做好符合安全文明施工的围挡措施并设专人看护和指挥，按安全规范要求设置警示装置。林区禁火，须严格遵守相关管控制度。</w:t>
      </w:r>
    </w:p>
    <w:p w14:paraId="798968D4">
      <w:pPr>
        <w:autoSpaceDE w:val="0"/>
        <w:autoSpaceDN w:val="0"/>
        <w:adjustRightInd w:val="0"/>
        <w:spacing w:line="560" w:lineRule="exact"/>
        <w:ind w:firstLine="420" w:firstLineChars="2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color w:val="auto"/>
          <w:sz w:val="21"/>
          <w:szCs w:val="21"/>
          <w:highlight w:val="none"/>
        </w:rPr>
        <w:t>6、</w:t>
      </w:r>
      <w:r>
        <w:rPr>
          <w:rFonts w:hint="eastAsia" w:asciiTheme="minorEastAsia" w:hAnsiTheme="minorEastAsia" w:eastAsiaTheme="minorEastAsia" w:cstheme="minorEastAsia"/>
          <w:bCs/>
          <w:color w:val="auto"/>
          <w:sz w:val="21"/>
          <w:szCs w:val="21"/>
          <w:highlight w:val="none"/>
        </w:rPr>
        <w:t>合同履行期间，乙方需协调处理好与当地村民、村委、当地施工企业、相关施工单位等地方上的关系，如发生问题均由乙方负责协调处理，并承担相应费用及后果。</w:t>
      </w:r>
    </w:p>
    <w:p w14:paraId="77436D58">
      <w:pPr>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sz w:val="21"/>
          <w:szCs w:val="21"/>
          <w:highlight w:val="none"/>
          <w:u w:val="none"/>
        </w:rPr>
        <w:t>7、</w:t>
      </w:r>
      <w:r>
        <w:rPr>
          <w:rFonts w:hint="eastAsia" w:asciiTheme="minorEastAsia" w:hAnsiTheme="minorEastAsia" w:eastAsiaTheme="minorEastAsia" w:cstheme="minorEastAsia"/>
          <w:color w:val="auto"/>
          <w:sz w:val="21"/>
          <w:szCs w:val="21"/>
          <w:highlight w:val="none"/>
        </w:rPr>
        <w:t>由于战争、罢工、暴乱、天气、政府原因等不能预见、不能避免且不能克服的不可抗力造成合同无法履行时，不能履行一方应及时通知对方并提供证明，以减轻可能给对方造成的损失，并由双方协商解决。</w:t>
      </w:r>
    </w:p>
    <w:p w14:paraId="00C21FD6">
      <w:pPr>
        <w:spacing w:before="120" w:after="120" w:line="560" w:lineRule="exact"/>
        <w:ind w:firstLine="422" w:firstLineChars="200"/>
        <w:outlineLvl w:val="3"/>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十六、附则</w:t>
      </w:r>
    </w:p>
    <w:p w14:paraId="52C12FD5">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1、签订时间</w:t>
      </w:r>
    </w:p>
    <w:p w14:paraId="04FEBCA3">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本合同于     年  月  日签订。</w:t>
      </w:r>
    </w:p>
    <w:p w14:paraId="6492D49A">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2、签订地点</w:t>
      </w:r>
    </w:p>
    <w:p w14:paraId="009C1008">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本合同在</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签订。</w:t>
      </w:r>
    </w:p>
    <w:p w14:paraId="6D0F3006">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3、清洁文本条款</w:t>
      </w:r>
    </w:p>
    <w:p w14:paraId="467E323D">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本合同正文为清洁打印文本，如双方对此合同有任何修改及补充均应另外签订补充协议。合同正文中任何非打印的文字或者图形，除非双方确认同意，不产生约束力。</w:t>
      </w:r>
    </w:p>
    <w:p w14:paraId="6F47288E">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4、合同份数</w:t>
      </w:r>
    </w:p>
    <w:p w14:paraId="74A771D4">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本合同一式</w:t>
      </w:r>
      <w:r>
        <w:rPr>
          <w:rFonts w:hint="eastAsia" w:asciiTheme="minorEastAsia" w:hAnsiTheme="minorEastAsia" w:eastAsiaTheme="minorEastAsia" w:cstheme="minorEastAsia"/>
          <w:color w:val="auto"/>
          <w:sz w:val="21"/>
          <w:szCs w:val="21"/>
          <w:highlight w:val="none"/>
          <w:u w:val="single"/>
        </w:rPr>
        <w:t>肆份</w:t>
      </w:r>
      <w:r>
        <w:rPr>
          <w:rFonts w:hint="eastAsia" w:asciiTheme="minorEastAsia" w:hAnsiTheme="minorEastAsia" w:eastAsiaTheme="minorEastAsia" w:cstheme="minorEastAsia"/>
          <w:color w:val="auto"/>
          <w:sz w:val="21"/>
          <w:szCs w:val="21"/>
          <w:highlight w:val="none"/>
        </w:rPr>
        <w:t>，甲乙双方各执</w:t>
      </w:r>
      <w:r>
        <w:rPr>
          <w:rFonts w:hint="eastAsia" w:asciiTheme="minorEastAsia" w:hAnsiTheme="minorEastAsia" w:eastAsiaTheme="minorEastAsia" w:cstheme="minorEastAsia"/>
          <w:color w:val="auto"/>
          <w:sz w:val="21"/>
          <w:szCs w:val="21"/>
          <w:highlight w:val="none"/>
          <w:u w:val="single"/>
        </w:rPr>
        <w:t>贰份</w:t>
      </w:r>
      <w:r>
        <w:rPr>
          <w:rFonts w:hint="eastAsia" w:asciiTheme="minorEastAsia" w:hAnsiTheme="minorEastAsia" w:eastAsiaTheme="minorEastAsia" w:cstheme="minorEastAsia"/>
          <w:color w:val="auto"/>
          <w:sz w:val="21"/>
          <w:szCs w:val="21"/>
          <w:highlight w:val="none"/>
        </w:rPr>
        <w:t>，具有同等法律效力。合同各方一致确认本合同签署处的联系地址和联系方式为各方履行合同，解决合同争议时接收通知或司法机关法院诉讼文书的地址和联系方式。上诉联系地址是用至本合同履行完毕或争议，经过一审二审至案件执行终结时止。合同各方均承诺上诉确认的地址和联系方式真实，有效，如有错误导致的商业联系和诉讼文书送达不能的法律后果由自己承担。</w:t>
      </w:r>
    </w:p>
    <w:p w14:paraId="2D9D10FD">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因乙方违反本合同约定，造成甲方行使权利所支付的一切费用均由乙方承担。（包括但不限于律师费、诉讼费、保全担保费、公证费等）</w:t>
      </w:r>
    </w:p>
    <w:p w14:paraId="1D1A14BA">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5、合同附件</w:t>
      </w:r>
    </w:p>
    <w:p w14:paraId="21659519">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u w:val="single"/>
        </w:rPr>
        <w:t>附件一：</w:t>
      </w:r>
      <w:r>
        <w:rPr>
          <w:rFonts w:hint="eastAsia" w:asciiTheme="minorEastAsia" w:hAnsiTheme="minorEastAsia" w:eastAsiaTheme="minorEastAsia" w:cstheme="minorEastAsia"/>
          <w:color w:val="auto"/>
          <w:sz w:val="21"/>
          <w:szCs w:val="21"/>
          <w:highlight w:val="none"/>
          <w:u w:val="single"/>
          <w:lang w:val="en-US" w:eastAsia="zh-CN"/>
        </w:rPr>
        <w:t>投标报价</w:t>
      </w:r>
    </w:p>
    <w:p w14:paraId="0C2909FA">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附件二：</w:t>
      </w:r>
      <w:r>
        <w:rPr>
          <w:rFonts w:hint="eastAsia" w:asciiTheme="minorEastAsia" w:hAnsiTheme="minorEastAsia" w:eastAsiaTheme="minorEastAsia" w:cstheme="minorEastAsia"/>
          <w:color w:val="auto"/>
          <w:sz w:val="21"/>
          <w:szCs w:val="21"/>
          <w:highlight w:val="none"/>
          <w:u w:val="single"/>
          <w:lang w:eastAsia="zh-CN"/>
        </w:rPr>
        <w:t>《</w:t>
      </w:r>
      <w:r>
        <w:rPr>
          <w:rFonts w:hint="eastAsia" w:asciiTheme="minorEastAsia" w:hAnsiTheme="minorEastAsia" w:eastAsiaTheme="minorEastAsia" w:cstheme="minorEastAsia"/>
          <w:color w:val="auto"/>
          <w:sz w:val="21"/>
          <w:szCs w:val="21"/>
          <w:highlight w:val="none"/>
          <w:u w:val="single"/>
        </w:rPr>
        <w:t>工程质量保修书</w:t>
      </w:r>
      <w:r>
        <w:rPr>
          <w:rFonts w:hint="eastAsia" w:asciiTheme="minorEastAsia" w:hAnsiTheme="minorEastAsia" w:eastAsiaTheme="minorEastAsia" w:cstheme="minorEastAsia"/>
          <w:color w:val="auto"/>
          <w:sz w:val="21"/>
          <w:szCs w:val="21"/>
          <w:highlight w:val="none"/>
          <w:u w:val="single"/>
          <w:lang w:eastAsia="zh-CN"/>
        </w:rPr>
        <w:t>》</w:t>
      </w:r>
    </w:p>
    <w:p w14:paraId="47183593">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附件三：《安全生产、文明施工协议》</w:t>
      </w:r>
    </w:p>
    <w:p w14:paraId="0D9AAE6B">
      <w:pPr>
        <w:autoSpaceDE w:val="0"/>
        <w:autoSpaceDN w:val="0"/>
        <w:adjustRightInd w:val="0"/>
        <w:spacing w:line="56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u w:val="single"/>
        </w:rPr>
        <w:t>附件四：《新北区公有资金投资建设项目廉政责任书》</w:t>
      </w:r>
    </w:p>
    <w:p w14:paraId="2317E66D">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0FAB1653">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445F40DC">
      <w:pPr>
        <w:spacing w:line="48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甲方（盖章）：                        乙方（盖章）：      </w:t>
      </w:r>
    </w:p>
    <w:p w14:paraId="4DDDF6F6">
      <w:pPr>
        <w:spacing w:line="48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法定代表人或                         法定代表人或</w:t>
      </w:r>
    </w:p>
    <w:p w14:paraId="1142A5D7">
      <w:pPr>
        <w:spacing w:line="48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委托代理人（签名）：                  委托代理人（签名）：</w:t>
      </w:r>
    </w:p>
    <w:p w14:paraId="1A2766D7">
      <w:pPr>
        <w:spacing w:line="480" w:lineRule="exact"/>
        <w:ind w:right="-313" w:rightChars="-14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地址：                               地址：</w:t>
      </w:r>
      <w:r>
        <w:rPr>
          <w:rFonts w:hint="eastAsia" w:asciiTheme="minorEastAsia" w:hAnsiTheme="minorEastAsia" w:eastAsiaTheme="minorEastAsia" w:cstheme="minorEastAsia"/>
          <w:color w:val="auto"/>
          <w:spacing w:val="-20"/>
          <w:sz w:val="21"/>
          <w:szCs w:val="21"/>
          <w:highlight w:val="none"/>
        </w:rPr>
        <w:t xml:space="preserve"> </w:t>
      </w:r>
    </w:p>
    <w:p w14:paraId="0C2DB85A">
      <w:pPr>
        <w:spacing w:line="48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联系电话：                           联系电话：</w:t>
      </w:r>
    </w:p>
    <w:p w14:paraId="3E4C5841">
      <w:pPr>
        <w:spacing w:line="48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签约日期：   年  月  日</w:t>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 xml:space="preserve">             签约日期：  年  月  日</w:t>
      </w:r>
    </w:p>
    <w:p w14:paraId="6E0223CD">
      <w:pPr>
        <w:autoSpaceDE w:val="0"/>
        <w:autoSpaceDN w:val="0"/>
        <w:adjustRightInd w:val="0"/>
        <w:spacing w:line="560" w:lineRule="exact"/>
        <w:ind w:firstLine="0" w:firstLineChars="0"/>
        <w:rPr>
          <w:rFonts w:hint="eastAsia" w:ascii="仿宋_GB2312" w:hAnsi="仿宋_GB2312" w:eastAsia="仿宋_GB2312" w:cs="仿宋_GB2312"/>
          <w:color w:val="auto"/>
          <w:sz w:val="28"/>
          <w:szCs w:val="28"/>
          <w:highlight w:val="none"/>
          <w:u w:val="single"/>
          <w:lang w:eastAsia="zh-CN"/>
        </w:rPr>
      </w:pPr>
      <w:r>
        <w:rPr>
          <w:rFonts w:hint="eastAsia" w:ascii="仿宋_GB2312" w:hAnsi="仿宋_GB2312" w:eastAsia="仿宋_GB2312" w:cs="仿宋_GB2312"/>
          <w:color w:val="auto"/>
          <w:sz w:val="28"/>
          <w:szCs w:val="28"/>
          <w:highlight w:val="none"/>
          <w:u w:val="single"/>
        </w:rPr>
        <w:br w:type="page"/>
      </w:r>
      <w:r>
        <w:rPr>
          <w:rFonts w:hint="eastAsia" w:ascii="仿宋_GB2312" w:hAnsi="仿宋_GB2312" w:eastAsia="仿宋_GB2312" w:cs="仿宋_GB2312"/>
          <w:color w:val="auto"/>
          <w:sz w:val="28"/>
          <w:szCs w:val="28"/>
          <w:highlight w:val="none"/>
          <w:u w:val="single"/>
        </w:rPr>
        <w:t>附件一：</w:t>
      </w:r>
      <w:r>
        <w:rPr>
          <w:rFonts w:hint="eastAsia" w:ascii="仿宋_GB2312" w:hAnsi="仿宋_GB2312" w:eastAsia="仿宋_GB2312" w:cs="仿宋_GB2312"/>
          <w:color w:val="auto"/>
          <w:sz w:val="28"/>
          <w:szCs w:val="28"/>
          <w:highlight w:val="none"/>
          <w:u w:val="single"/>
          <w:lang w:val="en-US" w:eastAsia="zh-CN"/>
        </w:rPr>
        <w:t>投标报价</w:t>
      </w:r>
    </w:p>
    <w:p w14:paraId="1DA97E54">
      <w:pPr>
        <w:widowControl/>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br w:type="page"/>
      </w:r>
    </w:p>
    <w:p w14:paraId="5CE57E73">
      <w:pPr>
        <w:widowControl/>
        <w:jc w:val="left"/>
        <w:rPr>
          <w:rFonts w:hint="eastAsia" w:ascii="黑体" w:hAnsi="黑体" w:eastAsia="黑体"/>
          <w:color w:val="auto"/>
          <w:sz w:val="32"/>
          <w:szCs w:val="32"/>
          <w:highlight w:val="none"/>
        </w:rPr>
      </w:pPr>
      <w:r>
        <w:rPr>
          <w:rFonts w:hint="eastAsia" w:ascii="仿宋_GB2312" w:hAnsi="仿宋_GB2312" w:eastAsia="仿宋_GB2312" w:cs="仿宋_GB2312"/>
          <w:color w:val="auto"/>
          <w:sz w:val="28"/>
          <w:szCs w:val="28"/>
          <w:highlight w:val="none"/>
          <w:u w:val="single"/>
        </w:rPr>
        <w:t>附件二：</w:t>
      </w:r>
      <w:bookmarkStart w:id="4" w:name="_Hlk141868739"/>
    </w:p>
    <w:p w14:paraId="397C1834">
      <w:pPr>
        <w:widowControl/>
        <w:jc w:val="center"/>
        <w:rPr>
          <w:rFonts w:hint="eastAsia" w:ascii="黑体" w:hAnsi="黑体" w:eastAsia="黑体"/>
          <w:b/>
          <w:color w:val="auto"/>
          <w:sz w:val="44"/>
          <w:szCs w:val="44"/>
          <w:highlight w:val="none"/>
        </w:rPr>
      </w:pPr>
      <w:r>
        <w:rPr>
          <w:rFonts w:hint="eastAsia" w:ascii="黑体" w:hAnsi="黑体" w:eastAsia="黑体"/>
          <w:b/>
          <w:color w:val="auto"/>
          <w:sz w:val="44"/>
          <w:szCs w:val="44"/>
          <w:highlight w:val="none"/>
          <w:lang w:val="en-US" w:eastAsia="zh-CN"/>
        </w:rPr>
        <w:t>工程</w:t>
      </w:r>
      <w:r>
        <w:rPr>
          <w:rFonts w:hint="eastAsia" w:ascii="黑体" w:hAnsi="黑体" w:eastAsia="黑体"/>
          <w:b/>
          <w:color w:val="auto"/>
          <w:sz w:val="44"/>
          <w:szCs w:val="44"/>
          <w:highlight w:val="none"/>
        </w:rPr>
        <w:t>质量保修书</w:t>
      </w:r>
      <w:bookmarkEnd w:id="4"/>
    </w:p>
    <w:p w14:paraId="4B8A0138">
      <w:pPr>
        <w:pStyle w:val="129"/>
        <w:rPr>
          <w:rFonts w:hint="eastAsia"/>
          <w:color w:val="auto"/>
          <w:highlight w:val="none"/>
        </w:rPr>
      </w:pPr>
    </w:p>
    <w:p w14:paraId="4F1488F1">
      <w:pPr>
        <w:pStyle w:val="4"/>
        <w:ind w:firstLine="0" w:firstLineChars="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发包人(全称)：常州市孟河林场有限公司</w:t>
      </w:r>
    </w:p>
    <w:p w14:paraId="4877F6A3">
      <w:pPr>
        <w:pStyle w:val="4"/>
        <w:ind w:firstLine="0" w:firstLineChars="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承包人(全称)：</w:t>
      </w:r>
    </w:p>
    <w:p w14:paraId="7ECD7C6E">
      <w:pPr>
        <w:keepNext w:val="0"/>
        <w:keepLines w:val="0"/>
        <w:pageBreakBefore w:val="0"/>
        <w:widowControl w:val="0"/>
        <w:kinsoku/>
        <w:wordWrap/>
        <w:overflowPunct/>
        <w:topLinePunct w:val="0"/>
        <w:bidi w:val="0"/>
        <w:snapToGrid/>
        <w:spacing w:line="560" w:lineRule="exact"/>
        <w:ind w:firstLine="42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发包人、承包人根据《中华人民共和国建筑法》、《建设工程质量管理条例》和《房屋建筑工程质量保修办法》，经协商一致，对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b/>
          <w:bCs/>
          <w:color w:val="auto"/>
          <w:sz w:val="21"/>
          <w:szCs w:val="21"/>
          <w:highlight w:val="none"/>
        </w:rPr>
        <w:t xml:space="preserve"> </w:t>
      </w:r>
      <w:r>
        <w:rPr>
          <w:rFonts w:hint="eastAsia" w:asciiTheme="minorEastAsia" w:hAnsiTheme="minorEastAsia" w:eastAsiaTheme="minorEastAsia" w:cstheme="minorEastAsia"/>
          <w:b w:val="0"/>
          <w:bCs w:val="0"/>
          <w:color w:val="auto"/>
          <w:sz w:val="21"/>
          <w:szCs w:val="21"/>
          <w:highlight w:val="none"/>
          <w:u w:val="single"/>
        </w:rPr>
        <w:t xml:space="preserve"> 2024年西山森林防火设施提升项目工程施工</w:t>
      </w:r>
      <w:r>
        <w:rPr>
          <w:rFonts w:hint="eastAsia" w:asciiTheme="minorEastAsia" w:hAnsiTheme="minorEastAsia" w:eastAsiaTheme="minorEastAsia" w:cstheme="minorEastAsia"/>
          <w:color w:val="auto"/>
          <w:sz w:val="21"/>
          <w:szCs w:val="21"/>
          <w:highlight w:val="none"/>
        </w:rPr>
        <w:t xml:space="preserve"> 签订工程质量保修书。</w:t>
      </w:r>
    </w:p>
    <w:p w14:paraId="51A8B6FB">
      <w:pPr>
        <w:keepNext w:val="0"/>
        <w:keepLines w:val="0"/>
        <w:pageBreakBefore w:val="0"/>
        <w:widowControl w:val="0"/>
        <w:kinsoku/>
        <w:wordWrap/>
        <w:overflowPunct/>
        <w:topLinePunct w:val="0"/>
        <w:bidi w:val="0"/>
        <w:snapToGrid/>
        <w:spacing w:line="560" w:lineRule="exact"/>
        <w:ind w:firstLine="422"/>
        <w:textAlignment w:val="auto"/>
        <w:rPr>
          <w:rFonts w:hint="eastAsia" w:asciiTheme="minorEastAsia" w:hAnsiTheme="minorEastAsia" w:eastAsiaTheme="minorEastAsia" w:cstheme="minorEastAsia"/>
          <w:b w:val="0"/>
          <w:bCs/>
          <w:color w:val="auto"/>
          <w:sz w:val="21"/>
          <w:szCs w:val="21"/>
          <w:highlight w:val="none"/>
        </w:rPr>
      </w:pPr>
      <w:bookmarkStart w:id="5" w:name="_Toc353198201"/>
      <w:bookmarkStart w:id="6" w:name="_Toc353207191"/>
      <w:bookmarkStart w:id="7" w:name="_Toc353211793"/>
      <w:bookmarkStart w:id="8" w:name="_Toc353198202"/>
      <w:bookmarkStart w:id="9" w:name="_Toc353207192"/>
      <w:bookmarkStart w:id="10" w:name="_Toc353211794"/>
      <w:r>
        <w:rPr>
          <w:rFonts w:hint="eastAsia" w:asciiTheme="minorEastAsia" w:hAnsiTheme="minorEastAsia" w:eastAsiaTheme="minorEastAsia" w:cstheme="minorEastAsia"/>
          <w:b w:val="0"/>
          <w:bCs/>
          <w:color w:val="auto"/>
          <w:sz w:val="21"/>
          <w:szCs w:val="21"/>
          <w:highlight w:val="none"/>
        </w:rPr>
        <w:t>一、工程质量保修范围和内容</w:t>
      </w:r>
      <w:bookmarkEnd w:id="5"/>
      <w:bookmarkEnd w:id="6"/>
      <w:bookmarkEnd w:id="7"/>
    </w:p>
    <w:p w14:paraId="7FEB0814">
      <w:pPr>
        <w:keepNext w:val="0"/>
        <w:keepLines w:val="0"/>
        <w:pageBreakBefore w:val="0"/>
        <w:widowControl w:val="0"/>
        <w:kinsoku/>
        <w:wordWrap/>
        <w:overflowPunct/>
        <w:topLinePunct w:val="0"/>
        <w:bidi w:val="0"/>
        <w:snapToGrid/>
        <w:spacing w:line="560" w:lineRule="exact"/>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承包人在质量保修期内，按照有关法律、法规、规章的管理规定和双方约定，承担本工程质量保修责任。</w:t>
      </w:r>
    </w:p>
    <w:p w14:paraId="546EA724">
      <w:pPr>
        <w:keepNext w:val="0"/>
        <w:keepLines w:val="0"/>
        <w:pageBreakBefore w:val="0"/>
        <w:widowControl w:val="0"/>
        <w:kinsoku/>
        <w:wordWrap/>
        <w:overflowPunct/>
        <w:topLinePunct w:val="0"/>
        <w:bidi w:val="0"/>
        <w:snapToGrid/>
        <w:spacing w:line="560" w:lineRule="exact"/>
        <w:ind w:firstLine="48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具体保修的内容，双方约定如下：</w:t>
      </w:r>
    </w:p>
    <w:p w14:paraId="4FF5F8FA">
      <w:pPr>
        <w:keepNext w:val="0"/>
        <w:keepLines w:val="0"/>
        <w:pageBreakBefore w:val="0"/>
        <w:widowControl w:val="0"/>
        <w:kinsoku/>
        <w:wordWrap/>
        <w:overflowPunct/>
        <w:topLinePunct w:val="0"/>
        <w:bidi w:val="0"/>
        <w:snapToGrid/>
        <w:spacing w:line="560" w:lineRule="exact"/>
        <w:textAlignment w:val="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按合同承包范围内容               </w:t>
      </w:r>
    </w:p>
    <w:p w14:paraId="74D69DB5">
      <w:pPr>
        <w:pStyle w:val="4"/>
        <w:keepNext w:val="0"/>
        <w:keepLines w:val="0"/>
        <w:pageBreakBefore w:val="0"/>
        <w:widowControl w:val="0"/>
        <w:kinsoku/>
        <w:wordWrap/>
        <w:overflowPunct/>
        <w:topLinePunct w:val="0"/>
        <w:bidi w:val="0"/>
        <w:snapToGrid/>
        <w:spacing w:line="560" w:lineRule="exact"/>
        <w:ind w:firstLine="56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二、质量保修期</w:t>
      </w:r>
      <w:bookmarkEnd w:id="8"/>
      <w:bookmarkEnd w:id="9"/>
      <w:bookmarkEnd w:id="10"/>
    </w:p>
    <w:p w14:paraId="0449F968">
      <w:pPr>
        <w:pStyle w:val="4"/>
        <w:keepNext w:val="0"/>
        <w:keepLines w:val="0"/>
        <w:pageBreakBefore w:val="0"/>
        <w:widowControl w:val="0"/>
        <w:kinsoku/>
        <w:wordWrap/>
        <w:overflowPunct/>
        <w:topLinePunct w:val="0"/>
        <w:bidi w:val="0"/>
        <w:snapToGrid/>
        <w:spacing w:line="560" w:lineRule="exact"/>
        <w:ind w:firstLine="56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双方根据《建设工程质量管理条例》及有关规定，约定本工程的质量保修期如下：</w:t>
      </w:r>
    </w:p>
    <w:p w14:paraId="6F85065A">
      <w:pPr>
        <w:pStyle w:val="4"/>
        <w:keepNext w:val="0"/>
        <w:keepLines w:val="0"/>
        <w:pageBreakBefore w:val="0"/>
        <w:widowControl w:val="0"/>
        <w:kinsoku/>
        <w:wordWrap/>
        <w:overflowPunct/>
        <w:topLinePunct w:val="0"/>
        <w:bidi w:val="0"/>
        <w:snapToGrid/>
        <w:spacing w:line="560" w:lineRule="exact"/>
        <w:ind w:firstLine="56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本维修工程质保期为</w:t>
      </w:r>
      <w:r>
        <w:rPr>
          <w:rFonts w:hint="eastAsia" w:asciiTheme="minorEastAsia" w:hAnsiTheme="minorEastAsia" w:eastAsiaTheme="minorEastAsia" w:cstheme="minorEastAsia"/>
          <w:color w:val="auto"/>
          <w:sz w:val="21"/>
          <w:szCs w:val="21"/>
          <w:highlight w:val="none"/>
          <w:lang w:val="en-US" w:eastAsia="zh-CN"/>
        </w:rPr>
        <w:t>二</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lang w:eastAsia="zh-CN"/>
        </w:rPr>
        <w:t>，由承包人负责免费维修直到质量符合规范要求，</w:t>
      </w:r>
      <w:r>
        <w:rPr>
          <w:rFonts w:hint="eastAsia" w:asciiTheme="minorEastAsia" w:hAnsiTheme="minorEastAsia" w:eastAsiaTheme="minorEastAsia" w:cstheme="minorEastAsia"/>
          <w:color w:val="auto"/>
          <w:sz w:val="21"/>
          <w:szCs w:val="21"/>
          <w:highlight w:val="none"/>
        </w:rPr>
        <w:t>质量保修期自工程验收合格之日起计算。</w:t>
      </w:r>
    </w:p>
    <w:p w14:paraId="29E56D1C">
      <w:pPr>
        <w:pStyle w:val="4"/>
        <w:keepNext w:val="0"/>
        <w:keepLines w:val="0"/>
        <w:pageBreakBefore w:val="0"/>
        <w:widowControl w:val="0"/>
        <w:kinsoku/>
        <w:wordWrap/>
        <w:overflowPunct/>
        <w:topLinePunct w:val="0"/>
        <w:bidi w:val="0"/>
        <w:snapToGrid/>
        <w:spacing w:line="560" w:lineRule="exact"/>
        <w:ind w:firstLine="56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三、质量保修责任</w:t>
      </w:r>
    </w:p>
    <w:p w14:paraId="3ED7C6F4">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1．属于保修范围、内容的项目，承包人应当在接到保修通知之日起7天内派人保修。</w:t>
      </w:r>
    </w:p>
    <w:p w14:paraId="18380C2D">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承包人不在约定期限内派人保修的，发包人可以委托他人修理。</w:t>
      </w:r>
    </w:p>
    <w:p w14:paraId="33416D71">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2．发生紧急事故需抢修的，承包人在接到事故通知后，应当立即到达事故现场抢修。</w:t>
      </w:r>
    </w:p>
    <w:p w14:paraId="632E7C1E">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B6D30B6">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4．质量保修完成后，由发包人组织验收。</w:t>
      </w:r>
    </w:p>
    <w:p w14:paraId="37561793">
      <w:pPr>
        <w:pStyle w:val="4"/>
        <w:keepNext w:val="0"/>
        <w:keepLines w:val="0"/>
        <w:pageBreakBefore w:val="0"/>
        <w:widowControl w:val="0"/>
        <w:kinsoku/>
        <w:wordWrap/>
        <w:overflowPunct/>
        <w:topLinePunct w:val="0"/>
        <w:bidi w:val="0"/>
        <w:snapToGrid/>
        <w:spacing w:line="560" w:lineRule="exact"/>
        <w:ind w:firstLine="56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四</w:t>
      </w:r>
      <w:r>
        <w:rPr>
          <w:rFonts w:hint="eastAsia" w:asciiTheme="minorEastAsia" w:hAnsiTheme="minorEastAsia" w:eastAsiaTheme="minorEastAsia" w:cstheme="minorEastAsia"/>
          <w:color w:val="auto"/>
          <w:sz w:val="21"/>
          <w:szCs w:val="21"/>
          <w:highlight w:val="none"/>
        </w:rPr>
        <w:t>、保修费用</w:t>
      </w:r>
    </w:p>
    <w:p w14:paraId="2992FAD7">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保修费用由造成质量缺陷的责任方承担。</w:t>
      </w:r>
    </w:p>
    <w:p w14:paraId="64C5BA4E">
      <w:pPr>
        <w:pStyle w:val="4"/>
        <w:keepNext w:val="0"/>
        <w:keepLines w:val="0"/>
        <w:pageBreakBefore w:val="0"/>
        <w:widowControl w:val="0"/>
        <w:kinsoku/>
        <w:wordWrap/>
        <w:overflowPunct/>
        <w:topLinePunct w:val="0"/>
        <w:bidi w:val="0"/>
        <w:snapToGrid/>
        <w:spacing w:line="560" w:lineRule="exact"/>
        <w:ind w:firstLine="56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五</w:t>
      </w:r>
      <w:r>
        <w:rPr>
          <w:rFonts w:hint="eastAsia" w:asciiTheme="minorEastAsia" w:hAnsiTheme="minorEastAsia" w:eastAsiaTheme="minorEastAsia" w:cstheme="minorEastAsia"/>
          <w:color w:val="auto"/>
          <w:sz w:val="21"/>
          <w:szCs w:val="21"/>
          <w:highlight w:val="none"/>
        </w:rPr>
        <w:t>、双方约定的其他工程质量保修事项：</w:t>
      </w:r>
    </w:p>
    <w:p w14:paraId="78E7B75E">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质量保修金约定：3%</w:t>
      </w:r>
      <w:r>
        <w:rPr>
          <w:rFonts w:hint="eastAsia" w:asciiTheme="minorEastAsia" w:hAnsiTheme="minorEastAsia" w:eastAsiaTheme="minorEastAsia" w:cstheme="minorEastAsia"/>
          <w:color w:val="auto"/>
          <w:sz w:val="21"/>
          <w:szCs w:val="21"/>
          <w:highlight w:val="none"/>
          <w:u w:val="single"/>
          <w:lang w:val="en-US" w:eastAsia="zh-CN"/>
        </w:rPr>
        <w:t>的</w:t>
      </w:r>
      <w:r>
        <w:rPr>
          <w:rFonts w:hint="eastAsia" w:asciiTheme="minorEastAsia" w:hAnsiTheme="minorEastAsia" w:eastAsiaTheme="minorEastAsia" w:cstheme="minorEastAsia"/>
          <w:color w:val="auto"/>
          <w:sz w:val="21"/>
          <w:szCs w:val="21"/>
          <w:highlight w:val="none"/>
          <w:u w:val="single"/>
        </w:rPr>
        <w:t xml:space="preserve">质保金在质保期满后余款付清（无息）。 </w:t>
      </w:r>
    </w:p>
    <w:p w14:paraId="5681877E">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工程质量保修书由发包人、承包人在工程竣工验收前共同签署，作为施工合同附件，其有效期限至保修期满。</w:t>
      </w:r>
    </w:p>
    <w:p w14:paraId="0ACAAA4D">
      <w:pPr>
        <w:pStyle w:val="19"/>
        <w:rPr>
          <w:rFonts w:hint="eastAsia" w:asciiTheme="minorEastAsia" w:hAnsiTheme="minorEastAsia" w:eastAsiaTheme="minorEastAsia" w:cstheme="minorEastAsia"/>
          <w:color w:val="auto"/>
          <w:sz w:val="21"/>
          <w:szCs w:val="21"/>
          <w:highlight w:val="none"/>
        </w:rPr>
      </w:pPr>
    </w:p>
    <w:p w14:paraId="60E5F524">
      <w:pPr>
        <w:rPr>
          <w:rFonts w:hint="eastAsia" w:asciiTheme="minorEastAsia" w:hAnsiTheme="minorEastAsia" w:eastAsiaTheme="minorEastAsia" w:cstheme="minorEastAsia"/>
          <w:color w:val="auto"/>
          <w:sz w:val="21"/>
          <w:szCs w:val="21"/>
          <w:highlight w:val="none"/>
        </w:rPr>
      </w:pPr>
    </w:p>
    <w:p w14:paraId="02CD18D6">
      <w:pPr>
        <w:spacing w:line="360" w:lineRule="auto"/>
        <w:ind w:right="-661" w:rightChars="-315"/>
        <w:rPr>
          <w:rFonts w:hint="eastAsia" w:asciiTheme="minorEastAsia" w:hAnsiTheme="minorEastAsia" w:eastAsiaTheme="minorEastAsia" w:cstheme="minorEastAsia"/>
          <w:color w:val="auto"/>
          <w:sz w:val="21"/>
          <w:szCs w:val="21"/>
          <w:highlight w:val="none"/>
        </w:rPr>
      </w:pPr>
      <w:bookmarkStart w:id="11" w:name="_Hlk141865343"/>
      <w:r>
        <w:rPr>
          <w:rFonts w:hint="eastAsia" w:asciiTheme="minorEastAsia" w:hAnsiTheme="minorEastAsia" w:eastAsiaTheme="minorEastAsia" w:cstheme="minorEastAsia"/>
          <w:color w:val="auto"/>
          <w:sz w:val="21"/>
          <w:szCs w:val="21"/>
          <w:highlight w:val="none"/>
        </w:rPr>
        <w:t xml:space="preserve">发包人：                                    承包人：                       </w:t>
      </w:r>
    </w:p>
    <w:p w14:paraId="3766FA27">
      <w:pPr>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法定代表人                           </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 xml:space="preserve">     法定代表人           </w:t>
      </w:r>
    </w:p>
    <w:p w14:paraId="44836046">
      <w:pPr>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或委托代理人：                              或委托代理人：        </w:t>
      </w:r>
    </w:p>
    <w:p w14:paraId="07CB553D">
      <w:pPr>
        <w:spacing w:line="360" w:lineRule="auto"/>
        <w:ind w:firstLine="735" w:firstLineChars="35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年   月    日                                年    月    日</w:t>
      </w:r>
    </w:p>
    <w:p w14:paraId="5E09D6A6">
      <w:pPr>
        <w:widowControl/>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br w:type="page"/>
      </w:r>
    </w:p>
    <w:p w14:paraId="30C54E90">
      <w:pPr>
        <w:widowControl/>
        <w:jc w:val="left"/>
        <w:rPr>
          <w:rFonts w:hint="eastAsia" w:ascii="仿宋_GB2312" w:hAnsi="仿宋_GB2312" w:eastAsia="仿宋_GB2312" w:cs="仿宋_GB2312"/>
          <w:color w:val="auto"/>
          <w:sz w:val="28"/>
          <w:szCs w:val="28"/>
          <w:highlight w:val="none"/>
          <w:u w:val="single"/>
        </w:rPr>
      </w:pPr>
    </w:p>
    <w:p w14:paraId="77F9B5F6">
      <w:pPr>
        <w:widowControl/>
        <w:jc w:val="left"/>
        <w:rPr>
          <w:rFonts w:hint="eastAsia" w:ascii="黑体" w:hAnsi="黑体" w:eastAsia="黑体"/>
          <w:color w:val="auto"/>
          <w:sz w:val="32"/>
          <w:szCs w:val="32"/>
          <w:highlight w:val="none"/>
        </w:rPr>
      </w:pPr>
      <w:r>
        <w:rPr>
          <w:rFonts w:hint="eastAsia" w:ascii="仿宋_GB2312" w:hAnsi="仿宋_GB2312" w:eastAsia="仿宋_GB2312" w:cs="仿宋_GB2312"/>
          <w:color w:val="auto"/>
          <w:sz w:val="28"/>
          <w:szCs w:val="28"/>
          <w:highlight w:val="none"/>
          <w:u w:val="single"/>
        </w:rPr>
        <w:t>附件</w:t>
      </w:r>
      <w:r>
        <w:rPr>
          <w:rFonts w:hint="eastAsia" w:ascii="仿宋_GB2312" w:hAnsi="仿宋_GB2312" w:eastAsia="仿宋_GB2312" w:cs="仿宋_GB2312"/>
          <w:color w:val="auto"/>
          <w:sz w:val="28"/>
          <w:szCs w:val="28"/>
          <w:highlight w:val="none"/>
          <w:u w:val="single"/>
          <w:lang w:val="en-US" w:eastAsia="zh-CN"/>
        </w:rPr>
        <w:t>三</w:t>
      </w:r>
      <w:r>
        <w:rPr>
          <w:rFonts w:hint="eastAsia" w:ascii="仿宋_GB2312" w:hAnsi="仿宋_GB2312" w:eastAsia="仿宋_GB2312" w:cs="仿宋_GB2312"/>
          <w:color w:val="auto"/>
          <w:sz w:val="28"/>
          <w:szCs w:val="28"/>
          <w:highlight w:val="none"/>
          <w:u w:val="single"/>
        </w:rPr>
        <w:t>：</w:t>
      </w:r>
    </w:p>
    <w:p w14:paraId="6DCFC311">
      <w:pPr>
        <w:pStyle w:val="3"/>
        <w:ind w:left="0" w:leftChars="0" w:firstLine="0" w:firstLineChars="0"/>
        <w:jc w:val="center"/>
        <w:rPr>
          <w:color w:val="auto"/>
          <w:sz w:val="44"/>
          <w:szCs w:val="44"/>
          <w:highlight w:val="none"/>
        </w:rPr>
      </w:pPr>
      <w:r>
        <w:rPr>
          <w:rFonts w:hint="eastAsia"/>
          <w:color w:val="auto"/>
          <w:sz w:val="44"/>
          <w:szCs w:val="44"/>
          <w:highlight w:val="none"/>
        </w:rPr>
        <w:t>安全生产、文明施工协议</w:t>
      </w:r>
      <w:bookmarkEnd w:id="11"/>
    </w:p>
    <w:p w14:paraId="3B1C0F40">
      <w:pPr>
        <w:pStyle w:val="4"/>
        <w:ind w:firstLine="0" w:firstLineChars="0"/>
        <w:rPr>
          <w:color w:val="auto"/>
          <w:highlight w:val="none"/>
        </w:rPr>
      </w:pPr>
    </w:p>
    <w:p w14:paraId="63FB3E03">
      <w:pPr>
        <w:pStyle w:val="4"/>
        <w:ind w:firstLine="0" w:firstLineChars="0"/>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rPr>
        <w:t>工程／项目名称：</w:t>
      </w:r>
      <w:r>
        <w:rPr>
          <w:rFonts w:hint="eastAsia" w:asciiTheme="minorEastAsia" w:hAnsiTheme="minorEastAsia" w:eastAsiaTheme="minorEastAsia" w:cstheme="minorEastAsia"/>
          <w:b w:val="0"/>
          <w:bCs w:val="0"/>
          <w:color w:val="auto"/>
          <w:sz w:val="21"/>
          <w:szCs w:val="21"/>
          <w:highlight w:val="none"/>
          <w:u w:val="single"/>
        </w:rPr>
        <w:t>2024年西山森林防火设施提升项目</w:t>
      </w:r>
      <w:r>
        <w:rPr>
          <w:rFonts w:hint="eastAsia" w:asciiTheme="minorEastAsia" w:hAnsiTheme="minorEastAsia" w:eastAsiaTheme="minorEastAsia" w:cstheme="minorEastAsia"/>
          <w:b w:val="0"/>
          <w:bCs w:val="0"/>
          <w:color w:val="auto"/>
          <w:sz w:val="21"/>
          <w:szCs w:val="21"/>
          <w:highlight w:val="none"/>
          <w:lang w:val="en-US" w:eastAsia="zh-CN"/>
        </w:rPr>
        <w:t>工程施工</w:t>
      </w:r>
    </w:p>
    <w:p w14:paraId="11A085DF">
      <w:pPr>
        <w:pStyle w:val="4"/>
        <w:ind w:firstLine="0" w:firstLineChars="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甲  方：</w:t>
      </w:r>
      <w:r>
        <w:rPr>
          <w:rFonts w:hint="eastAsia" w:asciiTheme="minorEastAsia" w:hAnsiTheme="minorEastAsia" w:eastAsiaTheme="minorEastAsia" w:cstheme="minorEastAsia"/>
          <w:b w:val="0"/>
          <w:bCs w:val="0"/>
          <w:color w:val="auto"/>
          <w:sz w:val="21"/>
          <w:szCs w:val="21"/>
          <w:highlight w:val="none"/>
          <w:u w:val="single"/>
        </w:rPr>
        <w:t>常州市孟河林场有限公司</w:t>
      </w:r>
      <w:r>
        <w:rPr>
          <w:rFonts w:hint="eastAsia" w:asciiTheme="minorEastAsia" w:hAnsiTheme="minorEastAsia" w:eastAsiaTheme="minorEastAsia" w:cstheme="minorEastAsia"/>
          <w:b w:val="0"/>
          <w:bCs w:val="0"/>
          <w:color w:val="auto"/>
          <w:sz w:val="21"/>
          <w:szCs w:val="21"/>
          <w:highlight w:val="none"/>
        </w:rPr>
        <w:t xml:space="preserve"> </w:t>
      </w:r>
    </w:p>
    <w:p w14:paraId="1058FB0B">
      <w:pPr>
        <w:pStyle w:val="4"/>
        <w:ind w:firstLine="0" w:firstLineChars="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乙  方：</w:t>
      </w:r>
    </w:p>
    <w:p w14:paraId="5E06966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鉴于甲乙双方于</w:t>
      </w:r>
      <w:r>
        <w:rPr>
          <w:rFonts w:hint="eastAsia" w:asciiTheme="minorEastAsia" w:hAnsiTheme="minorEastAsia" w:eastAsiaTheme="minorEastAsia" w:cstheme="minorEastAsia"/>
          <w:color w:val="auto"/>
          <w:sz w:val="21"/>
          <w:szCs w:val="21"/>
          <w:highlight w:val="none"/>
          <w:lang w:val="en-US" w:eastAsia="zh-CN"/>
        </w:rPr>
        <w:t>2024</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月  日签订了《</w:t>
      </w:r>
      <w:r>
        <w:rPr>
          <w:rFonts w:hint="eastAsia" w:asciiTheme="minorEastAsia" w:hAnsiTheme="minorEastAsia" w:eastAsiaTheme="minorEastAsia" w:cstheme="minorEastAsia"/>
          <w:b w:val="0"/>
          <w:bCs w:val="0"/>
          <w:color w:val="auto"/>
          <w:sz w:val="21"/>
          <w:szCs w:val="21"/>
          <w:highlight w:val="none"/>
          <w:u w:val="single"/>
        </w:rPr>
        <w:t>2024年西山森林防火设施提升项目工程施工</w:t>
      </w:r>
      <w:r>
        <w:rPr>
          <w:rFonts w:hint="eastAsia" w:asciiTheme="minorEastAsia" w:hAnsiTheme="minorEastAsia" w:eastAsiaTheme="minorEastAsia" w:cstheme="minorEastAsia"/>
          <w:color w:val="auto"/>
          <w:sz w:val="21"/>
          <w:szCs w:val="21"/>
          <w:highlight w:val="none"/>
        </w:rPr>
        <w:t>合同》，根据《中华人民共和国安全生产法》《中华人民共和国建筑法》《建设工程安全生产管理条例》和国家其它相关法律法规的规定，乙方有义务承担甲方该工程项目的安全生产和文明施工的管理工作，维护甲方声誉，同时也应承担相关法律责任。结合</w:t>
      </w:r>
      <w:r>
        <w:rPr>
          <w:rFonts w:hint="eastAsia" w:asciiTheme="minorEastAsia" w:hAnsiTheme="minorEastAsia" w:eastAsiaTheme="minorEastAsia" w:cstheme="minorEastAsia"/>
          <w:b w:val="0"/>
          <w:bCs w:val="0"/>
          <w:color w:val="auto"/>
          <w:sz w:val="21"/>
          <w:szCs w:val="21"/>
          <w:highlight w:val="none"/>
          <w:u w:val="single"/>
        </w:rPr>
        <w:t>2024年西山森林防火设施提升项目工</w:t>
      </w:r>
      <w:r>
        <w:rPr>
          <w:rFonts w:hint="eastAsia" w:asciiTheme="minorEastAsia" w:hAnsiTheme="minorEastAsia" w:eastAsiaTheme="minorEastAsia" w:cstheme="minorEastAsia"/>
          <w:color w:val="auto"/>
          <w:sz w:val="21"/>
          <w:szCs w:val="21"/>
          <w:highlight w:val="none"/>
          <w:u w:val="single"/>
        </w:rPr>
        <w:t>程</w:t>
      </w:r>
      <w:r>
        <w:rPr>
          <w:rFonts w:hint="eastAsia" w:asciiTheme="minorEastAsia" w:hAnsiTheme="minorEastAsia" w:eastAsiaTheme="minorEastAsia" w:cstheme="minorEastAsia"/>
          <w:color w:val="auto"/>
          <w:sz w:val="21"/>
          <w:szCs w:val="21"/>
          <w:highlight w:val="none"/>
        </w:rPr>
        <w:t>实际情况，经甲乙双方协商一致，达成如下协议：</w:t>
      </w:r>
    </w:p>
    <w:p w14:paraId="483BCF12">
      <w:pPr>
        <w:pStyle w:val="4"/>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一、进场管理</w:t>
      </w:r>
    </w:p>
    <w:p w14:paraId="3E8FF4C0">
      <w:pPr>
        <w:pStyle w:val="4"/>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（一）甲方职责</w:t>
      </w:r>
    </w:p>
    <w:p w14:paraId="4434A28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shd w:val="clear" w:color="auto" w:fill="FFFFFF"/>
        </w:rPr>
      </w:pPr>
      <w:r>
        <w:rPr>
          <w:rFonts w:hint="eastAsia" w:asciiTheme="minorEastAsia" w:hAnsiTheme="minorEastAsia" w:eastAsiaTheme="minorEastAsia" w:cstheme="minorEastAsia"/>
          <w:color w:val="auto"/>
          <w:sz w:val="21"/>
          <w:szCs w:val="21"/>
          <w:highlight w:val="none"/>
        </w:rPr>
        <w:t>1.施工进场前，甲方应对乙方进行充分、全面的安全、技术交底，包括公司关于项目施工基本情况、安全文明施工要求、消防安全管理要求等。</w:t>
      </w:r>
    </w:p>
    <w:p w14:paraId="2963394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2.甲方应协调解决施工单位提出的安全生产问题。</w:t>
      </w:r>
    </w:p>
    <w:p w14:paraId="508F863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3.甲方应加强对施工现场安全管理，定期进行安全检查，发现承包方、承租方、施工方在作业过程中有安全问题的，应立即予以提出整改并及时督促整改闭环。</w:t>
      </w:r>
    </w:p>
    <w:p w14:paraId="0025C64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shd w:val="clear" w:color="auto" w:fill="FFFFFF"/>
        </w:rPr>
      </w:pPr>
      <w:r>
        <w:rPr>
          <w:rFonts w:hint="eastAsia" w:asciiTheme="minorEastAsia" w:hAnsiTheme="minorEastAsia" w:eastAsiaTheme="minorEastAsia" w:cstheme="minorEastAsia"/>
          <w:color w:val="auto"/>
          <w:sz w:val="21"/>
          <w:szCs w:val="21"/>
          <w:highlight w:val="none"/>
        </w:rPr>
        <w:t>4.甲方在安全管理中对于安全隐患可开具限期整改单或给予违约金处罚，情节严重的，可给予停工停产整顿。</w:t>
      </w:r>
    </w:p>
    <w:p w14:paraId="0D160BED">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乙方进场施工前，甲方应向公司负有安全监管职责的部门进行施工报备与沟通对接（报备内容主要包括：施工项目基本情况、施工工期、特种作业情况、有关联系人员信息、有关资质情况以及其他需要配合协调的事项等）。</w:t>
      </w:r>
    </w:p>
    <w:p w14:paraId="1D11B43A">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6.乙方进场施工前，甲方须对乙方的特种作业人员资格进行验证，制止非特种作业人员从事特种作业。</w:t>
      </w:r>
    </w:p>
    <w:p w14:paraId="364817FF">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 甲方对乙方自带机具、设备、安全防护用品，根据乙方提供的技术资料进行核查，合格者方可进入施工现场。</w:t>
      </w:r>
    </w:p>
    <w:p w14:paraId="21C36CAC">
      <w:pPr>
        <w:pStyle w:val="4"/>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（二）乙方职责</w:t>
      </w:r>
    </w:p>
    <w:p w14:paraId="333C3F3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1.乙方自签订本协议之日起10日内，向甲方支付安全生产文明施工保证金（大写）</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highlight w:val="none"/>
        </w:rPr>
        <w:t>元，款项交至甲方</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highlight w:val="none"/>
          <w:lang w:eastAsia="zh-CN"/>
        </w:rPr>
        <w:t>账号</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  </w:t>
      </w:r>
    </w:p>
    <w:p w14:paraId="6DE0B3D5">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工程／项目结束并验收合格后，由甲方安全管理部门和工程／项目管理部门会签，予以无息退还安全保证金。</w:t>
      </w:r>
    </w:p>
    <w:p w14:paraId="0E1304B5">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必须严格落实施工期间消防安全管理责任，在进场开工前，须向甲方项目管理部门提供制定完善的安全生产、文明施工的技术措施及具体实施方案以及其他必要的报备资料。乙方应积极组织施工现场的负责人和作业人员做好安全生产、文明施工以及消防安全等宣传教育培训，学习甲方各项安全生产管理制度，未经安全教育的乙方人员不得进场施工。</w:t>
      </w:r>
    </w:p>
    <w:p w14:paraId="392AF695">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乙方进场施工要严格按照批准的场地布图方案，认真做好施工围墙、门卫、办公区、宿舍区、厕所、仓库、道路、水电管线、材料和垃圾堆放的场地布置，不得影响甲方现场运营。按要求将各类管理制度挂牌上墙、悬挂或张贴标语，随时提醒职工安全生产文明施工，努力营造一个良好的安全生产、文明施工氛围。</w:t>
      </w:r>
    </w:p>
    <w:p w14:paraId="022F91FC">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乙方在施工现场的各类机械设备、电气设备的操作人员，电工、架子工、起重机信号工、电气焊工等各类特种作业操作人员必须向甲方提供相应的特种作业操作证后方可进场作业。电焊、气焊等动火作业，应事前办理相应的动火手续得到书面批准，施工过程中，必须应提供充足、有效的消防措施，方可施工。存储、使用易燃易爆器材时，应采用特殊的消防安全措施。</w:t>
      </w:r>
    </w:p>
    <w:p w14:paraId="2E4D9009">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5.乙方在施工现场必须要设有专职安全管理员，安全员应积极配合甲方及监理工作，认真督促并有效管理施工项目所有人员严格遵守有关安全文明施工管理规定，并落实考核机制。</w:t>
      </w:r>
    </w:p>
    <w:p w14:paraId="093138FD">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乙方对本单位的施工人员应登记造册，如实向甲方报告，接受入场前的安全和文明施工教育。有人员调整时，要迅速报告甲方，并重新进行教育，未经安全和文明施工教育，不得进入施工现场，不得录用无身份证的人员和未满十六岁的童工及超过六十岁的人员。</w:t>
      </w:r>
    </w:p>
    <w:p w14:paraId="2F9C5DF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 乙方负责班前安全教育和工种变换的安全教育，教育要有针对性强的安全文明施工内容。下达施工任务时，应进行有针对性的安全技术交底和文明施工交底，检查操作人员安全着装；发生交叉作业时，应先报告甲方，并进行监护。不得安排非特种工作人员从事特种作业，不得安排患有高血压、心脏病及其它不适于高处作业的人员从事高处作业。</w:t>
      </w:r>
    </w:p>
    <w:p w14:paraId="7E78984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8.施工过程中，若因乙方自身原因发生安全、质量事故，除承担自身责任外，必须承担甲方因乙方自身原因发生安全、质量事故所产生的一切经济损失（含政府相关部门的处罚）。</w:t>
      </w:r>
    </w:p>
    <w:p w14:paraId="3ADD9131">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9.项目现场安全工作负责人：</w:t>
      </w:r>
    </w:p>
    <w:p w14:paraId="3826DA9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甲方姓名：</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；公司职位：</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；身份证号码：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；工作联系方式：手机号码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；微信</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1BFDEE20">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乙方姓名：</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；公司职位：</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；身份证号码：</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；工作联系方式：手机号码</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；微信</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7205E00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u w:val="single"/>
        </w:rPr>
        <w:t>现场安全员姓名：</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；公司职位：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 手机号码</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；身份证号码：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62AA1F6B">
      <w:pPr>
        <w:pStyle w:val="4"/>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二、施工过程管理</w:t>
      </w:r>
    </w:p>
    <w:p w14:paraId="2BEA8A0D">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1.乙方在施工过程中，不得影响甲方现场运营，各类材料物资应堆放有序，整个工地要达到标准化、制度化、程序化、规范化的“四化”管理。</w:t>
      </w:r>
    </w:p>
    <w:p w14:paraId="0A59D63D">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应严格落实安全生产主体责任，落实现场每日检查，并参加和接受上级有关部门、甲方组织的安全文明施工的检查工作，对存在的问题无条件的及时进行整改。乙方对指出的问题如不及时整改或拒不整改的，甲方有权对乙方实施经济处罚，并责令停工整改，如因停工造成延误工期，一切责任由乙方承担。</w:t>
      </w:r>
    </w:p>
    <w:p w14:paraId="21156B0F">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3.乙方应根据现场条件、季节变化、生产工艺等情况，从生活到生产做好防火、防水、防冻、防疫、防盗、防事故的“六防”工作，及时采取有效措施，消除各类安全隐患，杜绝一切大小事故的发生。</w:t>
      </w:r>
    </w:p>
    <w:p w14:paraId="6994219A">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4.乙方应主动加强与甲方、监理单位的协调意识和衔接服务。施工现场的各类工程协调会，项目经理不得无故缺席或迟到、早退，对甲方、监理单位提出的需协调的工作应及时准确地做出答复，并积极配合实施。</w:t>
      </w:r>
    </w:p>
    <w:p w14:paraId="26283E23">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乙方在施工过程中，应严格遵守用电、用气、用火、用水以及高空作业等安全生产文明施工的有关管理规定，现场禁止违规存放未经甲方审批的易燃易爆品。一旦发生事故，立即抢险并有责任积极配合有关部门、甲方及监理单位做好事故的调查取证工作，承担相应的事故责任以及善后事宜的妥善处理工作。</w:t>
      </w:r>
    </w:p>
    <w:p w14:paraId="7F0A457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6.凡进入施工现场的乙方工作人员，均需服从甲方的管理，遵守各项安全生产管理制度，正确使用个人劳动防护用品，穿着印有施工单位标志的工作服或统一标识。</w:t>
      </w:r>
    </w:p>
    <w:p w14:paraId="4C605AB3">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7.乙方应严格遵守甲方关于人员、车辆进出管理规定，物资、设备离场必须开具《出门证》，并附物资清单，经甲方安保队员对照清点核实以后方可离场。</w:t>
      </w:r>
    </w:p>
    <w:p w14:paraId="6D078BA9">
      <w:pPr>
        <w:pStyle w:val="4"/>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三、撤场管理</w:t>
      </w:r>
    </w:p>
    <w:p w14:paraId="4443606F">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 施工工程结束时，乙方应按有关规定向甲方提供相关工程信息资料存档。</w:t>
      </w:r>
    </w:p>
    <w:p w14:paraId="640A3179">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 乙方撤场时应不影响甲方正常营运，做好现场成品保护，现场不得遗留任何隐患存在。</w:t>
      </w:r>
    </w:p>
    <w:p w14:paraId="1BCE58B7">
      <w:pPr>
        <w:pStyle w:val="4"/>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四、违约责任</w:t>
      </w:r>
    </w:p>
    <w:p w14:paraId="661F5F1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以上各条款，乙方如有违反，处罚依据是：首先以本协议为准，本协议没有明确规定的，以甲方相关管理制度为准。</w:t>
      </w:r>
    </w:p>
    <w:p w14:paraId="0A354CB3">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以上各条款，乙方如有违反，引起后果的，除按照该协议及相关规定进行处罚外，一切后果均由乙方承担，需要追究民事责任或刑事责任的交由相关政府部门追究责任。</w:t>
      </w:r>
    </w:p>
    <w:p w14:paraId="0010A75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考虑甲乙双方良好的合作基础及长远友好合作的意愿，情节较严重的，甲方将乙方列入其合作供应商的黑名单，甲方及甲方的关联方有权立即解除与乙方的合作并不承担任何违约责任。</w:t>
      </w:r>
    </w:p>
    <w:p w14:paraId="7342276F">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以下情况如有违反，给予违约金处罚：</w:t>
      </w:r>
    </w:p>
    <w:p w14:paraId="687D587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1.动用明火必须向甲方安保部门提出书面申请，经审批同意并开具动火证后，方可动火作业（施工单位须明确现场监火人和防火措施），发现无证动火，处违约金1000元/次；</w:t>
      </w:r>
    </w:p>
    <w:p w14:paraId="79E3EAC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2.动火作业时，防火措施落实不到位、地面周围易燃物清理不干净，处违约金1000元/次；</w:t>
      </w:r>
    </w:p>
    <w:p w14:paraId="19EFE39C">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3.动火作业中，乙方现场监火人不在岗，处违约金1000元/次；</w:t>
      </w:r>
    </w:p>
    <w:p w14:paraId="7639BE3F">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 乙方施工现场严禁非持证电工人员接线或私拉乱接，临时用电线路不按规定架空敷设，动力和照明线路未分开架设，处违约金1000元/次；</w:t>
      </w:r>
    </w:p>
    <w:p w14:paraId="0AD9B1C5">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 乙方须使用质量安全符合要求的刀闸、插头、插座和接线，严禁无插头使用插座，处违约金1000元/次；</w:t>
      </w:r>
    </w:p>
    <w:p w14:paraId="18DE4E2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6.乙方电焊机无二次空载降压漏电保护器的，处违约金1000元/次；</w:t>
      </w:r>
    </w:p>
    <w:p w14:paraId="2DC825CA">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7.电气机械设备的金属外壳未与保护零线连接，PE线未按规定设置，机械设备无安全操作规程牌，处违约金1000元/次；</w:t>
      </w:r>
    </w:p>
    <w:p w14:paraId="0A23DFA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8.电器开关无箱、无门、无锁、无防雨措施，箱内有杂物，无线路图等，处违约金1000元/次；</w:t>
      </w:r>
    </w:p>
    <w:p w14:paraId="67BD0C1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9.乙方施工现场不按规定配置灭火器材、灭火器材数量不足和防火措施不到位，处违约金1000元/次；</w:t>
      </w:r>
    </w:p>
    <w:p w14:paraId="14D2BFD4">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10.乙方未经许可擅自拆除或损坏现场安全设施、安全防护装置和警示标标牌，处违约金1000元/次；</w:t>
      </w:r>
    </w:p>
    <w:p w14:paraId="092ED54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11.乙方电工、焊工、磨石机操作工不按规定使用绝缘胶鞋、绝缘手套等，处违约金1000元/次；</w:t>
      </w:r>
    </w:p>
    <w:p w14:paraId="70111B4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12.乙方各类加工机具设备安全防护装置不齐全，不能保证灵敏有效，机械传动部位未安装防护罩，处违约金1000元/次；</w:t>
      </w:r>
    </w:p>
    <w:p w14:paraId="2661AEA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13.乙方现场临时用电未按规定采用三级配电、两级漏电保护，三相五线制输电系统的，处违约金1000元/次；</w:t>
      </w:r>
    </w:p>
    <w:p w14:paraId="3962215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14.乙方.配电箱违反一机、一闸、一箱、一漏原则，分配电箱、开关箱不符合要求或未安装漏电保护器，处违约金1000元/次；</w:t>
      </w:r>
    </w:p>
    <w:p w14:paraId="2D48F60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15.乙方违章指挥安排作业人员冒险作业，或特种人员无上岗证安排上岗作业，处违约金1000元/次；</w:t>
      </w:r>
    </w:p>
    <w:p w14:paraId="1B908C1E">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16.乙方易燃易爆物品不按规定限量使用、存放及无防护措施，处违约金1000元/次；</w:t>
      </w:r>
    </w:p>
    <w:p w14:paraId="21341403">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17.乙方施工现场“四口”、“五临边”及预留洞口无防护设施或防护设施不全，处违约金1000元/次；</w:t>
      </w:r>
    </w:p>
    <w:p w14:paraId="100E9F04">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18.乙方设备机具管理不严，非机操人员擅自操作使用的，处违约金1000元/次；</w:t>
      </w:r>
    </w:p>
    <w:p w14:paraId="46088003">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19.乙方施工现场、宿舍内违规使用高功力电器（电炉、热得快、太阳灯），处违约金1000元/次；</w:t>
      </w:r>
    </w:p>
    <w:p w14:paraId="2C310A6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20.乙方周转材料、工具料具、堆放不整齐、保管不到位，现场杂乱，处违约金500元/次；高空抛物，处违约金500元200元/次。</w:t>
      </w:r>
    </w:p>
    <w:p w14:paraId="7DC19800">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21.乙方安全网内杂物清理不及时，处违约金500元/次；</w:t>
      </w:r>
    </w:p>
    <w:p w14:paraId="18C6B31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22.乙方未对从业人员进行入场安全教育、培训及身份证登记，履行本人签字手续的，处违约金500元/人次；</w:t>
      </w:r>
    </w:p>
    <w:p w14:paraId="05FEBFB4">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23.乙方挖机、司机、吊装工，违反安全“十不吊”，处违约金500元/人次；</w:t>
      </w:r>
    </w:p>
    <w:p w14:paraId="2C97116D">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24.乙方施工工人酒后上岗、酗酒闹事、打架斗殴，处违约金1000-5000元/人次，情节严重的送公安机关。；</w:t>
      </w:r>
    </w:p>
    <w:p w14:paraId="78AB0F66">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25.乙方施工现场严禁吸烟（设置吸烟点除外），造成严重后果者追究其刑事责任，室内发现一处处违约金500元/根烟蒂，室外吸烟发现一处处违约金300元/根烟蒂；</w:t>
      </w:r>
    </w:p>
    <w:p w14:paraId="137BE8F5">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26.乙方进入施工现场未正确</w:t>
      </w:r>
      <w:r>
        <w:rPr>
          <w:rFonts w:hint="eastAsia" w:asciiTheme="minorEastAsia" w:hAnsiTheme="minorEastAsia" w:eastAsiaTheme="minorEastAsia" w:cstheme="minorEastAsia"/>
          <w:color w:val="auto"/>
          <w:sz w:val="21"/>
          <w:szCs w:val="21"/>
          <w:highlight w:val="none"/>
          <w:lang w:val="en-US" w:eastAsia="zh-CN"/>
        </w:rPr>
        <w:t>佩戴</w:t>
      </w:r>
      <w:r>
        <w:rPr>
          <w:rFonts w:hint="eastAsia" w:asciiTheme="minorEastAsia" w:hAnsiTheme="minorEastAsia" w:eastAsiaTheme="minorEastAsia" w:cstheme="minorEastAsia"/>
          <w:color w:val="auto"/>
          <w:sz w:val="21"/>
          <w:szCs w:val="21"/>
          <w:highlight w:val="none"/>
        </w:rPr>
        <w:t>安全帽或穿拖鞋、高跟鞋、赤膊、打赤脚，防护器具等劳保用品不到位，处违约金300元/人次</w:t>
      </w:r>
    </w:p>
    <w:p w14:paraId="0E58BA14">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27.乙方登高作业未按要求佩戴安全帽、安全绳、安全带，处违约金300元/人次；</w:t>
      </w:r>
    </w:p>
    <w:p w14:paraId="32F0C5E9">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28.乙方施工现场随地大小便，</w:t>
      </w:r>
      <w:bookmarkStart w:id="12" w:name="_Hlk112850728"/>
      <w:r>
        <w:rPr>
          <w:rFonts w:hint="eastAsia" w:asciiTheme="minorEastAsia" w:hAnsiTheme="minorEastAsia" w:eastAsiaTheme="minorEastAsia" w:cstheme="minorEastAsia"/>
          <w:color w:val="auto"/>
          <w:sz w:val="21"/>
          <w:szCs w:val="21"/>
          <w:highlight w:val="none"/>
        </w:rPr>
        <w:t>处违约金</w:t>
      </w:r>
      <w:bookmarkEnd w:id="12"/>
      <w:r>
        <w:rPr>
          <w:rFonts w:hint="eastAsia" w:asciiTheme="minorEastAsia" w:hAnsiTheme="minorEastAsia" w:eastAsiaTheme="minorEastAsia" w:cstheme="minorEastAsia"/>
          <w:color w:val="auto"/>
          <w:sz w:val="21"/>
          <w:szCs w:val="21"/>
          <w:highlight w:val="none"/>
        </w:rPr>
        <w:t>300元/人次；</w:t>
      </w:r>
    </w:p>
    <w:p w14:paraId="62ECA3F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29.乙方办公区域、生活区未及时清扫、食堂卫生工作脏乱差，处违约金500元/次；</w:t>
      </w:r>
    </w:p>
    <w:p w14:paraId="18EEBE01">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30.乙方不按规定设置工地围墙、围挡，施工现场未进行封闭施工，影响现场品质，处违约金500元/次；为保证场外道路（包括市政道路）整洁，处违约金1000-5000元/次。</w:t>
      </w:r>
    </w:p>
    <w:p w14:paraId="54D15277">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31. 乙方在重要室内部位施工时及施工结束后要确保无铁钉、螺丝等尖锐物遗落在现场，避免划伤人员，发现一起处违约金1000元，如因此导致人员受伤的，由施工单位负责受伤人员治疗费用。</w:t>
      </w:r>
    </w:p>
    <w:p w14:paraId="73492F62">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32.每天施工结束，乙方应及时清理每天产生的垃圾，保持施工现场整洁，禁止出现垃圾成堆，施工人员离开现场要切断电源，处违约金500元/次； </w:t>
      </w:r>
    </w:p>
    <w:p w14:paraId="1890EE53">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33.园区环艺装饰或其它工程不得在建筑物内及表面使用未经阻燃处理的易燃材料，违反者需立即进行整改，并追究相关部门、人员责任。</w:t>
      </w:r>
    </w:p>
    <w:p w14:paraId="70572C39">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 乙方应做好对甲方现场成品的保护工作，所有因乙方原因造成甲方的物资、器械、树木等破</w:t>
      </w:r>
      <w:r>
        <w:rPr>
          <w:rFonts w:hint="eastAsia" w:asciiTheme="minorEastAsia" w:hAnsiTheme="minorEastAsia" w:eastAsiaTheme="minorEastAsia" w:cstheme="minorEastAsia"/>
          <w:color w:val="auto"/>
          <w:sz w:val="21"/>
          <w:szCs w:val="21"/>
          <w:highlight w:val="none"/>
          <w:lang w:val="en-US" w:eastAsia="zh-CN"/>
        </w:rPr>
        <w:t>坏</w:t>
      </w:r>
      <w:r>
        <w:rPr>
          <w:rFonts w:hint="eastAsia" w:asciiTheme="minorEastAsia" w:hAnsiTheme="minorEastAsia" w:eastAsiaTheme="minorEastAsia" w:cstheme="minorEastAsia"/>
          <w:color w:val="auto"/>
          <w:sz w:val="21"/>
          <w:szCs w:val="21"/>
          <w:highlight w:val="none"/>
        </w:rPr>
        <w:t>、污染的，乙方应负责赔偿，并视情节轻处违约金1--5万元。</w:t>
      </w:r>
    </w:p>
    <w:p w14:paraId="19C97F2F">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35.发生安全责任事故的，全额扣除安全保证金，并按有关法律法规予以追究相关责任；</w:t>
      </w:r>
    </w:p>
    <w:p w14:paraId="0DC4C3F0">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36.施工过程中同类或其他违规现象多次出现，予以加倍计算违约金，此处罚条款未尽，双方另行协商。</w:t>
      </w:r>
    </w:p>
    <w:p w14:paraId="602ACFE0">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37. 在日常检查中由甲方、监理组或项目部开出的罚款均由项目经理或经授权的现场负责人确认后从安全生产文明施工押金中扣除。</w:t>
      </w:r>
    </w:p>
    <w:p w14:paraId="6F0BE735">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38. 对因管理不善、违反安全管理规定和安全技术规程引起安全事故的责任单位和责任人的经济处罚，一律上缴甲方集团公司安委会。</w:t>
      </w:r>
    </w:p>
    <w:p w14:paraId="2A82411A">
      <w:pPr>
        <w:pStyle w:val="6"/>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39. 安全生产文明施工违规违章处罚单样表</w:t>
      </w:r>
    </w:p>
    <w:p w14:paraId="084029D1">
      <w:pPr>
        <w:pStyle w:val="6"/>
        <w:ind w:left="0" w:leftChars="0" w:firstLine="0" w:firstLineChars="0"/>
        <w:jc w:val="center"/>
        <w:rPr>
          <w:b/>
          <w:bCs/>
          <w:color w:val="auto"/>
          <w:highlight w:val="none"/>
        </w:rPr>
      </w:pPr>
      <w:bookmarkStart w:id="13" w:name="_Hlk112848314"/>
      <w:r>
        <w:rPr>
          <w:rFonts w:hint="eastAsia"/>
          <w:b/>
          <w:bCs/>
          <w:color w:val="auto"/>
          <w:highlight w:val="none"/>
        </w:rPr>
        <w:t>安全生产文明施工违规违章处罚单</w:t>
      </w:r>
      <w:bookmarkEnd w:id="13"/>
    </w:p>
    <w:tbl>
      <w:tblPr>
        <w:tblStyle w:val="42"/>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
        <w:gridCol w:w="1305"/>
        <w:gridCol w:w="6527"/>
      </w:tblGrid>
      <w:tr w14:paraId="1D1DC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0" w:type="auto"/>
            <w:gridSpan w:val="2"/>
            <w:vAlign w:val="center"/>
          </w:tcPr>
          <w:p w14:paraId="5A8C2F52">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处 罚 原 因</w:t>
            </w:r>
          </w:p>
        </w:tc>
        <w:tc>
          <w:tcPr>
            <w:tcW w:w="6527" w:type="dxa"/>
          </w:tcPr>
          <w:p w14:paraId="1F71B194">
            <w:pPr>
              <w:pStyle w:val="6"/>
              <w:spacing w:before="240" w:after="240" w:line="240" w:lineRule="exact"/>
              <w:ind w:firstLine="0" w:firstLineChars="0"/>
              <w:rPr>
                <w:color w:val="auto"/>
                <w:sz w:val="21"/>
                <w:szCs w:val="21"/>
                <w:highlight w:val="none"/>
              </w:rPr>
            </w:pPr>
          </w:p>
        </w:tc>
      </w:tr>
      <w:tr w14:paraId="0657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0" w:type="auto"/>
            <w:gridSpan w:val="2"/>
          </w:tcPr>
          <w:p w14:paraId="578F78E9">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罚 款 金 额</w:t>
            </w:r>
          </w:p>
        </w:tc>
        <w:tc>
          <w:tcPr>
            <w:tcW w:w="6527" w:type="dxa"/>
          </w:tcPr>
          <w:p w14:paraId="50B984A1">
            <w:pPr>
              <w:pStyle w:val="6"/>
              <w:spacing w:before="240" w:after="240" w:line="240" w:lineRule="exact"/>
              <w:ind w:firstLine="0" w:firstLineChars="0"/>
              <w:rPr>
                <w:color w:val="auto"/>
                <w:sz w:val="21"/>
                <w:szCs w:val="21"/>
                <w:highlight w:val="none"/>
              </w:rPr>
            </w:pPr>
          </w:p>
        </w:tc>
      </w:tr>
      <w:tr w14:paraId="49A05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vMerge w:val="restart"/>
          </w:tcPr>
          <w:p w14:paraId="234D91D7">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会</w:t>
            </w:r>
          </w:p>
          <w:p w14:paraId="3D4AC1F6">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签</w:t>
            </w:r>
          </w:p>
          <w:p w14:paraId="0DA8DDED">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栏</w:t>
            </w:r>
          </w:p>
        </w:tc>
        <w:tc>
          <w:tcPr>
            <w:tcW w:w="0" w:type="auto"/>
          </w:tcPr>
          <w:p w14:paraId="585E2F54">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建设单位</w:t>
            </w:r>
          </w:p>
        </w:tc>
        <w:tc>
          <w:tcPr>
            <w:tcW w:w="6527" w:type="dxa"/>
          </w:tcPr>
          <w:p w14:paraId="58035A10">
            <w:pPr>
              <w:pStyle w:val="6"/>
              <w:spacing w:before="240" w:after="240" w:line="240" w:lineRule="exact"/>
              <w:ind w:firstLine="0" w:firstLineChars="0"/>
              <w:rPr>
                <w:color w:val="auto"/>
                <w:sz w:val="21"/>
                <w:szCs w:val="21"/>
                <w:highlight w:val="none"/>
              </w:rPr>
            </w:pPr>
          </w:p>
        </w:tc>
      </w:tr>
      <w:tr w14:paraId="5E075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0" w:type="auto"/>
            <w:vMerge w:val="continue"/>
          </w:tcPr>
          <w:p w14:paraId="3EA9BAB9">
            <w:pPr>
              <w:pStyle w:val="6"/>
              <w:spacing w:before="240" w:after="240" w:line="240" w:lineRule="exact"/>
              <w:ind w:firstLine="0" w:firstLineChars="0"/>
              <w:rPr>
                <w:color w:val="auto"/>
                <w:sz w:val="21"/>
                <w:szCs w:val="21"/>
                <w:highlight w:val="none"/>
              </w:rPr>
            </w:pPr>
          </w:p>
        </w:tc>
        <w:tc>
          <w:tcPr>
            <w:tcW w:w="0" w:type="auto"/>
          </w:tcPr>
          <w:p w14:paraId="11D0AF1E">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监理单位</w:t>
            </w:r>
          </w:p>
        </w:tc>
        <w:tc>
          <w:tcPr>
            <w:tcW w:w="6527" w:type="dxa"/>
          </w:tcPr>
          <w:p w14:paraId="6840AC93">
            <w:pPr>
              <w:pStyle w:val="6"/>
              <w:spacing w:before="240" w:after="240" w:line="240" w:lineRule="exact"/>
              <w:ind w:firstLine="0" w:firstLineChars="0"/>
              <w:rPr>
                <w:color w:val="auto"/>
                <w:sz w:val="21"/>
                <w:szCs w:val="21"/>
                <w:highlight w:val="none"/>
              </w:rPr>
            </w:pPr>
          </w:p>
        </w:tc>
      </w:tr>
      <w:tr w14:paraId="04F2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0" w:type="auto"/>
            <w:vMerge w:val="continue"/>
          </w:tcPr>
          <w:p w14:paraId="7E4E5C03">
            <w:pPr>
              <w:pStyle w:val="6"/>
              <w:spacing w:before="240" w:after="240" w:line="240" w:lineRule="exact"/>
              <w:ind w:firstLine="0" w:firstLineChars="0"/>
              <w:rPr>
                <w:color w:val="auto"/>
                <w:sz w:val="21"/>
                <w:szCs w:val="21"/>
                <w:highlight w:val="none"/>
              </w:rPr>
            </w:pPr>
          </w:p>
        </w:tc>
        <w:tc>
          <w:tcPr>
            <w:tcW w:w="0" w:type="auto"/>
          </w:tcPr>
          <w:p w14:paraId="6379579F">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施工单位</w:t>
            </w:r>
          </w:p>
        </w:tc>
        <w:tc>
          <w:tcPr>
            <w:tcW w:w="6527" w:type="dxa"/>
          </w:tcPr>
          <w:p w14:paraId="69BE30F3">
            <w:pPr>
              <w:pStyle w:val="6"/>
              <w:spacing w:before="240" w:after="240" w:line="240" w:lineRule="exact"/>
              <w:ind w:firstLine="0" w:firstLineChars="0"/>
              <w:rPr>
                <w:color w:val="auto"/>
                <w:sz w:val="21"/>
                <w:szCs w:val="21"/>
                <w:highlight w:val="none"/>
              </w:rPr>
            </w:pPr>
          </w:p>
        </w:tc>
      </w:tr>
      <w:tr w14:paraId="45DA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0" w:type="auto"/>
            <w:gridSpan w:val="2"/>
          </w:tcPr>
          <w:p w14:paraId="7F06D89A">
            <w:pPr>
              <w:pStyle w:val="6"/>
              <w:spacing w:before="240" w:after="240" w:line="240" w:lineRule="exact"/>
              <w:ind w:firstLine="0" w:firstLineChars="0"/>
              <w:rPr>
                <w:color w:val="auto"/>
                <w:sz w:val="21"/>
                <w:szCs w:val="21"/>
                <w:highlight w:val="none"/>
              </w:rPr>
            </w:pPr>
            <w:r>
              <w:rPr>
                <w:rFonts w:hint="eastAsia"/>
                <w:color w:val="auto"/>
                <w:sz w:val="21"/>
                <w:szCs w:val="21"/>
                <w:highlight w:val="none"/>
              </w:rPr>
              <w:t>备      注</w:t>
            </w:r>
          </w:p>
        </w:tc>
        <w:tc>
          <w:tcPr>
            <w:tcW w:w="6527" w:type="dxa"/>
          </w:tcPr>
          <w:p w14:paraId="378F8B09">
            <w:pPr>
              <w:pStyle w:val="6"/>
              <w:spacing w:before="240" w:after="240" w:line="240" w:lineRule="exact"/>
              <w:ind w:firstLine="0" w:firstLineChars="0"/>
              <w:rPr>
                <w:color w:val="auto"/>
                <w:sz w:val="21"/>
                <w:szCs w:val="21"/>
                <w:highlight w:val="none"/>
              </w:rPr>
            </w:pPr>
          </w:p>
        </w:tc>
      </w:tr>
    </w:tbl>
    <w:p w14:paraId="73E852B5">
      <w:pPr>
        <w:pStyle w:val="6"/>
        <w:jc w:val="righ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常州市孟河林场有限公司</w:t>
      </w:r>
    </w:p>
    <w:p w14:paraId="18E1AB4E">
      <w:pPr>
        <w:pStyle w:val="6"/>
        <w:jc w:val="righ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年     月    日</w:t>
      </w:r>
    </w:p>
    <w:p w14:paraId="198F456B">
      <w:pPr>
        <w:pStyle w:val="6"/>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40.其他需要补充的安全施工要求</w:t>
      </w:r>
    </w:p>
    <w:p w14:paraId="24251CAF">
      <w:pPr>
        <w:pStyle w:val="6"/>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p>
    <w:p w14:paraId="18ECD9CA">
      <w:pPr>
        <w:pStyle w:val="4"/>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五、合同其他条款</w:t>
      </w:r>
    </w:p>
    <w:p w14:paraId="793AECB4">
      <w:pPr>
        <w:pStyle w:val="6"/>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1.本协议为《</w:t>
      </w:r>
      <w:r>
        <w:rPr>
          <w:rFonts w:hint="eastAsia" w:asciiTheme="minorEastAsia" w:hAnsiTheme="minorEastAsia" w:eastAsiaTheme="minorEastAsia" w:cstheme="minorEastAsia"/>
          <w:b w:val="0"/>
          <w:bCs w:val="0"/>
          <w:color w:val="auto"/>
          <w:sz w:val="21"/>
          <w:szCs w:val="21"/>
          <w:highlight w:val="none"/>
          <w:u w:val="single"/>
        </w:rPr>
        <w:t>2024年西山森林防火设施提升项目工程施工</w:t>
      </w:r>
      <w:r>
        <w:rPr>
          <w:rFonts w:hint="eastAsia" w:asciiTheme="minorEastAsia" w:hAnsiTheme="minorEastAsia" w:eastAsiaTheme="minorEastAsia" w:cstheme="minorEastAsia"/>
          <w:color w:val="auto"/>
          <w:sz w:val="21"/>
          <w:szCs w:val="21"/>
          <w:highlight w:val="none"/>
        </w:rPr>
        <w:t>合同》的附件，具有同等法律效力。</w:t>
      </w:r>
    </w:p>
    <w:p w14:paraId="380170E4">
      <w:pPr>
        <w:pStyle w:val="6"/>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2.本协议一式</w:t>
      </w:r>
      <w:r>
        <w:rPr>
          <w:rFonts w:hint="eastAsia" w:asciiTheme="minorEastAsia" w:hAnsiTheme="minorEastAsia" w:eastAsiaTheme="minorEastAsia" w:cstheme="minorEastAsia"/>
          <w:color w:val="auto"/>
          <w:sz w:val="21"/>
          <w:szCs w:val="21"/>
          <w:highlight w:val="none"/>
          <w:lang w:val="en-US" w:eastAsia="zh-CN"/>
        </w:rPr>
        <w:t>肆</w:t>
      </w:r>
      <w:r>
        <w:rPr>
          <w:rFonts w:hint="eastAsia" w:asciiTheme="minorEastAsia" w:hAnsiTheme="minorEastAsia" w:eastAsiaTheme="minorEastAsia" w:cstheme="minorEastAsia"/>
          <w:color w:val="auto"/>
          <w:sz w:val="21"/>
          <w:szCs w:val="21"/>
          <w:highlight w:val="none"/>
        </w:rPr>
        <w:t>份，甲方执</w:t>
      </w:r>
      <w:r>
        <w:rPr>
          <w:rFonts w:hint="eastAsia" w:asciiTheme="minorEastAsia" w:hAnsiTheme="minorEastAsia" w:eastAsiaTheme="minorEastAsia" w:cstheme="minorEastAsia"/>
          <w:color w:val="auto"/>
          <w:sz w:val="21"/>
          <w:szCs w:val="21"/>
          <w:highlight w:val="none"/>
          <w:u w:val="single"/>
          <w:lang w:val="en-US" w:eastAsia="zh-CN"/>
        </w:rPr>
        <w:t>贰</w:t>
      </w:r>
      <w:r>
        <w:rPr>
          <w:rFonts w:hint="eastAsia" w:asciiTheme="minorEastAsia" w:hAnsiTheme="minorEastAsia" w:eastAsiaTheme="minorEastAsia" w:cstheme="minorEastAsia"/>
          <w:color w:val="auto"/>
          <w:sz w:val="21"/>
          <w:szCs w:val="21"/>
          <w:highlight w:val="none"/>
        </w:rPr>
        <w:t>份，乙方执</w:t>
      </w:r>
      <w:r>
        <w:rPr>
          <w:rFonts w:hint="eastAsia" w:asciiTheme="minorEastAsia" w:hAnsiTheme="minorEastAsia" w:eastAsiaTheme="minorEastAsia" w:cstheme="minorEastAsia"/>
          <w:color w:val="auto"/>
          <w:sz w:val="21"/>
          <w:szCs w:val="21"/>
          <w:highlight w:val="none"/>
          <w:u w:val="single"/>
          <w:lang w:val="en-US" w:eastAsia="zh-CN"/>
        </w:rPr>
        <w:t>贰</w:t>
      </w:r>
      <w:r>
        <w:rPr>
          <w:rFonts w:hint="eastAsia" w:asciiTheme="minorEastAsia" w:hAnsiTheme="minorEastAsia" w:eastAsiaTheme="minorEastAsia" w:cstheme="minorEastAsia"/>
          <w:color w:val="auto"/>
          <w:sz w:val="21"/>
          <w:szCs w:val="21"/>
          <w:highlight w:val="none"/>
        </w:rPr>
        <w:t>份。经双方法定代表人或授权代表签字或盖章之日起生效。</w:t>
      </w:r>
    </w:p>
    <w:p w14:paraId="37446B3E">
      <w:pPr>
        <w:pStyle w:val="6"/>
        <w:rPr>
          <w:rFonts w:hint="eastAsia" w:asciiTheme="minorEastAsia" w:hAnsiTheme="minorEastAsia" w:eastAsiaTheme="minorEastAsia" w:cstheme="minorEastAsia"/>
          <w:color w:val="auto"/>
          <w:sz w:val="21"/>
          <w:szCs w:val="21"/>
          <w:highlight w:val="none"/>
        </w:rPr>
      </w:pPr>
    </w:p>
    <w:p w14:paraId="4F62AC58">
      <w:pPr>
        <w:pStyle w:val="6"/>
        <w:rPr>
          <w:rFonts w:hint="eastAsia" w:asciiTheme="minorEastAsia" w:hAnsiTheme="minorEastAsia" w:eastAsiaTheme="minorEastAsia" w:cstheme="minorEastAsia"/>
          <w:color w:val="auto"/>
          <w:sz w:val="21"/>
          <w:szCs w:val="21"/>
          <w:highlight w:val="none"/>
        </w:rPr>
      </w:pPr>
    </w:p>
    <w:p w14:paraId="1475F4E9">
      <w:pPr>
        <w:pStyle w:val="13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甲方：（盖章）                     乙方：（盖章）</w:t>
      </w:r>
    </w:p>
    <w:p w14:paraId="7DC73384">
      <w:pPr>
        <w:pStyle w:val="13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代表：（签字）                     代表：（签字）</w:t>
      </w:r>
    </w:p>
    <w:p w14:paraId="1316988B">
      <w:pPr>
        <w:pStyle w:val="130"/>
        <w:ind w:firstLine="630" w:firstLineChars="3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年  月  日                        年  月  日</w:t>
      </w:r>
    </w:p>
    <w:p w14:paraId="3CF3F876">
      <w:pPr>
        <w:pStyle w:val="6"/>
        <w:rPr>
          <w:rFonts w:hAnsi="黑体"/>
          <w:color w:val="auto"/>
          <w:highlight w:val="none"/>
        </w:rPr>
      </w:pPr>
      <w:r>
        <w:rPr>
          <w:rFonts w:hint="eastAsia" w:hAnsi="黑体"/>
          <w:color w:val="auto"/>
          <w:highlight w:val="none"/>
        </w:rPr>
        <w:br w:type="page"/>
      </w:r>
    </w:p>
    <w:p w14:paraId="15E1731E">
      <w:pPr>
        <w:spacing w:line="560" w:lineRule="exact"/>
        <w:jc w:val="left"/>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rPr>
        <w:t>附件</w:t>
      </w:r>
      <w:r>
        <w:rPr>
          <w:rFonts w:hint="eastAsia" w:ascii="黑体" w:hAnsi="黑体" w:eastAsia="黑体"/>
          <w:color w:val="auto"/>
          <w:sz w:val="32"/>
          <w:szCs w:val="32"/>
          <w:highlight w:val="none"/>
          <w:lang w:val="en-US" w:eastAsia="zh-CN"/>
        </w:rPr>
        <w:t>四</w:t>
      </w:r>
    </w:p>
    <w:p w14:paraId="1CA9D4F3">
      <w:pPr>
        <w:jc w:val="center"/>
        <w:rPr>
          <w:rFonts w:ascii="黑体" w:hAnsi="黑体" w:eastAsia="黑体" w:cs="黑体"/>
          <w:bCs/>
          <w:color w:val="auto"/>
          <w:sz w:val="44"/>
          <w:szCs w:val="44"/>
          <w:highlight w:val="none"/>
        </w:rPr>
      </w:pPr>
      <w:r>
        <w:rPr>
          <w:rFonts w:hint="eastAsia" w:ascii="黑体" w:hAnsi="黑体" w:eastAsia="黑体" w:cs="黑体"/>
          <w:bCs/>
          <w:color w:val="auto"/>
          <w:sz w:val="44"/>
          <w:szCs w:val="44"/>
          <w:highlight w:val="none"/>
        </w:rPr>
        <w:t>新北区公有资金投资建设项目廉政责任书</w:t>
      </w:r>
    </w:p>
    <w:p w14:paraId="293C5C05">
      <w:pPr>
        <w:spacing w:line="570" w:lineRule="exact"/>
        <w:ind w:left="2100" w:hanging="2100" w:hangingChars="700"/>
        <w:rPr>
          <w:rFonts w:hint="eastAsia" w:ascii="黑体" w:hAnsi="黑体" w:eastAsia="黑体" w:cs="黑体"/>
          <w:bCs/>
          <w:color w:val="auto"/>
          <w:sz w:val="30"/>
          <w:szCs w:val="30"/>
          <w:highlight w:val="none"/>
        </w:rPr>
      </w:pPr>
    </w:p>
    <w:p w14:paraId="5BD84A5D">
      <w:pPr>
        <w:spacing w:line="570" w:lineRule="exact"/>
        <w:ind w:left="2100" w:hanging="1470" w:hangingChars="700"/>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工程项目名称：</w:t>
      </w:r>
      <w:r>
        <w:rPr>
          <w:rFonts w:hint="eastAsia" w:asciiTheme="minorEastAsia" w:hAnsiTheme="minorEastAsia" w:eastAsiaTheme="minorEastAsia" w:cstheme="minorEastAsia"/>
          <w:b w:val="0"/>
          <w:bCs w:val="0"/>
          <w:color w:val="auto"/>
          <w:sz w:val="21"/>
          <w:szCs w:val="21"/>
          <w:highlight w:val="none"/>
          <w:u w:val="single"/>
        </w:rPr>
        <w:t xml:space="preserve">2024年西山森林防火设施提升项目工程施工  </w:t>
      </w:r>
      <w:r>
        <w:rPr>
          <w:rFonts w:hint="eastAsia" w:asciiTheme="minorEastAsia" w:hAnsiTheme="minorEastAsia" w:eastAsiaTheme="minorEastAsia" w:cstheme="minorEastAsia"/>
          <w:bCs/>
          <w:color w:val="auto"/>
          <w:sz w:val="21"/>
          <w:szCs w:val="21"/>
          <w:highlight w:val="none"/>
        </w:rPr>
        <w:t xml:space="preserve">      </w:t>
      </w:r>
    </w:p>
    <w:p w14:paraId="553EF4A8">
      <w:pPr>
        <w:spacing w:line="570" w:lineRule="exact"/>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工程项目地址：</w:t>
      </w:r>
      <w:r>
        <w:rPr>
          <w:rFonts w:hint="eastAsia" w:asciiTheme="minorEastAsia" w:hAnsiTheme="minorEastAsia" w:eastAsiaTheme="minorEastAsia" w:cstheme="minorEastAsia"/>
          <w:bCs/>
          <w:color w:val="auto"/>
          <w:sz w:val="21"/>
          <w:szCs w:val="21"/>
          <w:highlight w:val="none"/>
          <w:u w:val="single"/>
        </w:rPr>
        <w:t xml:space="preserve">孟河小黄山 </w:t>
      </w:r>
    </w:p>
    <w:p w14:paraId="12DD4E67">
      <w:pPr>
        <w:spacing w:line="570" w:lineRule="exact"/>
        <w:rPr>
          <w:rFonts w:hint="eastAsia" w:asciiTheme="minorEastAsia" w:hAnsiTheme="minorEastAsia" w:eastAsiaTheme="minorEastAsia" w:cstheme="minorEastAsia"/>
          <w:bCs/>
          <w:color w:val="auto"/>
          <w:sz w:val="21"/>
          <w:szCs w:val="21"/>
          <w:highlight w:val="none"/>
          <w:u w:val="single"/>
        </w:rPr>
      </w:pPr>
      <w:r>
        <w:rPr>
          <w:rFonts w:hint="eastAsia" w:asciiTheme="minorEastAsia" w:hAnsiTheme="minorEastAsia" w:eastAsiaTheme="minorEastAsia" w:cstheme="minorEastAsia"/>
          <w:bCs/>
          <w:color w:val="auto"/>
          <w:sz w:val="21"/>
          <w:szCs w:val="21"/>
          <w:highlight w:val="none"/>
        </w:rPr>
        <w:t>建设单位（甲方）：</w:t>
      </w:r>
      <w:r>
        <w:rPr>
          <w:rFonts w:hint="eastAsia" w:asciiTheme="minorEastAsia" w:hAnsiTheme="minorEastAsia" w:eastAsiaTheme="minorEastAsia" w:cstheme="minorEastAsia"/>
          <w:bCs/>
          <w:color w:val="auto"/>
          <w:sz w:val="21"/>
          <w:szCs w:val="21"/>
          <w:highlight w:val="none"/>
          <w:u w:val="single"/>
        </w:rPr>
        <w:t>常州市孟河林场有限公司</w:t>
      </w:r>
    </w:p>
    <w:p w14:paraId="505FB7FC">
      <w:pPr>
        <w:spacing w:line="570" w:lineRule="exact"/>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施工单位（乙方）：</w:t>
      </w:r>
    </w:p>
    <w:p w14:paraId="28D236AA">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40A12071">
      <w:pPr>
        <w:keepNext w:val="0"/>
        <w:keepLines w:val="0"/>
        <w:pageBreakBefore w:val="0"/>
        <w:widowControl w:val="0"/>
        <w:numPr>
          <w:ilvl w:val="0"/>
          <w:numId w:val="3"/>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甲乙双方的责任</w:t>
      </w:r>
    </w:p>
    <w:p w14:paraId="0EAA6F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（一）应严格遵守国家关于市场准入、项目招标投标、工程建设、施工安装和市场活动等有关法律、法规，相关政策，以及廉政建设的各项规定。</w:t>
      </w:r>
    </w:p>
    <w:p w14:paraId="040BA30C">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（二）严格执行建设工程项目承发包合同文件，自觉按合同办事。</w:t>
      </w:r>
    </w:p>
    <w:p w14:paraId="28CF205E">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（三）业务活动必须坚持公开、公平、公正、诚信、透明的原则（除法律法规另有规定者外），不得为获取不正当的利益，损害国家、集体和对方利益，不得违反工程建设管理、施工安装的规章制度。</w:t>
      </w:r>
    </w:p>
    <w:p w14:paraId="0D880163">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（四）发现对方在业务活动中有违规、违纪、违法行为的，应及时提醒对方，情节严重的，应向其上级主管部门或纪检监察、常州市新北区监察局、常州市新北区城市管理与建设局等有关机关举报。</w:t>
      </w:r>
    </w:p>
    <w:p w14:paraId="09BC3617">
      <w:pPr>
        <w:keepNext w:val="0"/>
        <w:keepLines w:val="0"/>
        <w:pageBreakBefore w:val="0"/>
        <w:widowControl w:val="0"/>
        <w:numPr>
          <w:ilvl w:val="0"/>
          <w:numId w:val="3"/>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甲方的责任</w:t>
      </w:r>
    </w:p>
    <w:p w14:paraId="07DB4341">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甲方的领导和从事该建设工程项目的工作人员，在工程建设的事前、事中、事后应遵守以下规定：</w:t>
      </w:r>
    </w:p>
    <w:p w14:paraId="302DE87E">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（一）不准向乙方和相关单位索要或接受回扣、礼金、有价证券、贵重物品和好处费、感谢费等。</w:t>
      </w:r>
    </w:p>
    <w:p w14:paraId="336DC5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（二）不准在乙方和相关单位报销任何应由甲方或个人支付的费用。</w:t>
      </w:r>
    </w:p>
    <w:p w14:paraId="2751D4A8">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（三）不准要求、暗示和接受乙方和相关单位为个人装修住房、婚丧嫁娶、配偶子女的工作安排以及出国</w:t>
      </w:r>
      <w:r>
        <w:rPr>
          <w:rFonts w:hint="eastAsia" w:asciiTheme="minorEastAsia" w:hAnsiTheme="minorEastAsia" w:eastAsiaTheme="minorEastAsia" w:cstheme="minorEastAsia"/>
          <w:color w:val="auto"/>
          <w:spacing w:val="11"/>
          <w:kern w:val="0"/>
          <w:sz w:val="21"/>
          <w:szCs w:val="21"/>
          <w:highlight w:val="none"/>
        </w:rPr>
        <w:t>（境</w:t>
      </w:r>
      <w:r>
        <w:rPr>
          <w:rFonts w:hint="eastAsia" w:asciiTheme="minorEastAsia" w:hAnsiTheme="minorEastAsia" w:eastAsiaTheme="minorEastAsia" w:cstheme="minorEastAsia"/>
          <w:color w:val="auto"/>
          <w:spacing w:val="-10"/>
          <w:kern w:val="0"/>
          <w:sz w:val="21"/>
          <w:szCs w:val="21"/>
          <w:highlight w:val="none"/>
        </w:rPr>
        <w:t>）</w:t>
      </w:r>
      <w:r>
        <w:rPr>
          <w:rFonts w:hint="eastAsia" w:asciiTheme="minorEastAsia" w:hAnsiTheme="minorEastAsia" w:eastAsiaTheme="minorEastAsia" w:cstheme="minorEastAsia"/>
          <w:color w:val="auto"/>
          <w:sz w:val="21"/>
          <w:szCs w:val="21"/>
          <w:highlight w:val="none"/>
        </w:rPr>
        <w:t>、旅游等提供方便。</w:t>
      </w:r>
    </w:p>
    <w:p w14:paraId="73539A6B">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（四）不准参加有可能影响公正执行公务的乙方和相关单位的宴请和健身、娱乐等活动。</w:t>
      </w:r>
    </w:p>
    <w:p w14:paraId="64D1AC5A">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1960C66E">
      <w:pPr>
        <w:keepNext w:val="0"/>
        <w:keepLines w:val="0"/>
        <w:pageBreakBefore w:val="0"/>
        <w:widowControl w:val="0"/>
        <w:numPr>
          <w:ilvl w:val="0"/>
          <w:numId w:val="3"/>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乙方的责任</w:t>
      </w:r>
    </w:p>
    <w:p w14:paraId="5B65FBC9">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应当甲方保持正常的业务交往，按照有关法律法规和程序开展业务工作</w:t>
      </w:r>
      <w:r>
        <w:rPr>
          <w:rFonts w:hint="eastAsia" w:asciiTheme="minorEastAsia" w:hAnsiTheme="minorEastAsia" w:eastAsiaTheme="minorEastAsia" w:cstheme="minorEastAsia"/>
          <w:color w:val="auto"/>
          <w:spacing w:val="20"/>
          <w:kern w:val="0"/>
          <w:sz w:val="21"/>
          <w:szCs w:val="21"/>
          <w:highlight w:val="none"/>
        </w:rPr>
        <w:t>，</w:t>
      </w:r>
      <w:r>
        <w:rPr>
          <w:rFonts w:hint="eastAsia" w:asciiTheme="minorEastAsia" w:hAnsiTheme="minorEastAsia" w:eastAsiaTheme="minorEastAsia" w:cstheme="minorEastAsia"/>
          <w:color w:val="auto"/>
          <w:spacing w:val="-10"/>
          <w:kern w:val="0"/>
          <w:sz w:val="21"/>
          <w:szCs w:val="21"/>
          <w:highlight w:val="none"/>
        </w:rPr>
        <w:t>严</w:t>
      </w:r>
      <w:r>
        <w:rPr>
          <w:rFonts w:hint="eastAsia" w:asciiTheme="minorEastAsia" w:hAnsiTheme="minorEastAsia" w:eastAsiaTheme="minorEastAsia" w:cstheme="minorEastAsia"/>
          <w:color w:val="auto"/>
          <w:sz w:val="21"/>
          <w:szCs w:val="21"/>
          <w:highlight w:val="none"/>
        </w:rPr>
        <w:t>格执行工程建设的有关方针、政策，尤其是有关建筑施工安装的强制性标准和规范，并遵守以下规定：</w:t>
      </w:r>
    </w:p>
    <w:p w14:paraId="7B6DAF77">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（一）不准以任何理由向甲方、相关单位及其工作人员索要、接受或赠送礼金、有价证券、贵重物品和回扣、好处费、感谢费等。</w:t>
      </w:r>
    </w:p>
    <w:p w14:paraId="37B35C70">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（二）不准以任何理由为甲方和相关单位报销应由对方或个人支付的费用。</w:t>
      </w:r>
    </w:p>
    <w:p w14:paraId="67B4D687">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（三）不准接受或暗示为甲方、相关单位或个人装修住房、婚丧嫁娶、配偶子女的工作安排以及出国（境）、旅游等提供方便。</w:t>
      </w:r>
    </w:p>
    <w:p w14:paraId="46EFE56D">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（四）不准以任何理由为甲方、相关单位或个人安排有可能影响公正执行公务的宴请、健身、娱乐等活动。</w:t>
      </w:r>
    </w:p>
    <w:p w14:paraId="694F6974">
      <w:pPr>
        <w:keepNext w:val="0"/>
        <w:keepLines w:val="0"/>
        <w:pageBreakBefore w:val="0"/>
        <w:widowControl w:val="0"/>
        <w:numPr>
          <w:ilvl w:val="0"/>
          <w:numId w:val="3"/>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违约责任</w:t>
      </w:r>
    </w:p>
    <w:p w14:paraId="6B5DEB04">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1F8AC21C">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705D92D0">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第五条  本责任书作为工程施工合同的附件，与工程施工合同具有同等法律效力。经双方签署后立即生效。</w:t>
      </w:r>
    </w:p>
    <w:p w14:paraId="6131865E">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第六条  本责任书的有效期为双方签署之日起至该工程项目竣工验收合格、工程价款结清时止。</w:t>
      </w:r>
    </w:p>
    <w:p w14:paraId="66812E1E">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第七条  本责任书一式</w:t>
      </w:r>
      <w:r>
        <w:rPr>
          <w:rFonts w:hint="eastAsia" w:asciiTheme="minorEastAsia" w:hAnsiTheme="minorEastAsia" w:eastAsiaTheme="minorEastAsia" w:cstheme="minorEastAsia"/>
          <w:color w:val="auto"/>
          <w:sz w:val="21"/>
          <w:szCs w:val="21"/>
          <w:highlight w:val="none"/>
          <w:lang w:val="en-US" w:eastAsia="zh-CN"/>
        </w:rPr>
        <w:t>肆</w:t>
      </w:r>
      <w:r>
        <w:rPr>
          <w:rFonts w:hint="eastAsia" w:asciiTheme="minorEastAsia" w:hAnsiTheme="minorEastAsia" w:eastAsiaTheme="minorEastAsia" w:cstheme="minorEastAsia"/>
          <w:color w:val="auto"/>
          <w:sz w:val="21"/>
          <w:szCs w:val="21"/>
          <w:highlight w:val="none"/>
        </w:rPr>
        <w:t>份，由甲乙双方各执</w:t>
      </w:r>
      <w:r>
        <w:rPr>
          <w:rFonts w:hint="eastAsia" w:asciiTheme="minorEastAsia" w:hAnsiTheme="minorEastAsia" w:eastAsiaTheme="minorEastAsia" w:cstheme="minorEastAsia"/>
          <w:color w:val="auto"/>
          <w:sz w:val="21"/>
          <w:szCs w:val="21"/>
          <w:highlight w:val="none"/>
          <w:lang w:val="en-US" w:eastAsia="zh-CN"/>
        </w:rPr>
        <w:t>一</w:t>
      </w:r>
      <w:r>
        <w:rPr>
          <w:rFonts w:hint="eastAsia" w:asciiTheme="minorEastAsia" w:hAnsiTheme="minorEastAsia" w:eastAsiaTheme="minorEastAsia" w:cstheme="minorEastAsia"/>
          <w:color w:val="auto"/>
          <w:sz w:val="21"/>
          <w:szCs w:val="21"/>
          <w:highlight w:val="none"/>
        </w:rPr>
        <w:t>份，送交甲乙双方的监督单位各一份。</w:t>
      </w:r>
    </w:p>
    <w:p w14:paraId="70C5F95E">
      <w:pPr>
        <w:spacing w:line="570" w:lineRule="exact"/>
        <w:rPr>
          <w:rFonts w:hint="eastAsia" w:asciiTheme="minorEastAsia" w:hAnsiTheme="minorEastAsia" w:eastAsiaTheme="minorEastAsia" w:cstheme="minorEastAsia"/>
          <w:color w:val="auto"/>
          <w:sz w:val="21"/>
          <w:szCs w:val="21"/>
          <w:highlight w:val="none"/>
        </w:rPr>
      </w:pPr>
    </w:p>
    <w:p w14:paraId="35ADD20C">
      <w:pPr>
        <w:spacing w:line="570" w:lineRule="exact"/>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甲方单位：（盖章）              乙方单位：（盖章）</w:t>
      </w:r>
    </w:p>
    <w:p w14:paraId="6B4E280C">
      <w:pPr>
        <w:spacing w:line="570" w:lineRule="exact"/>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法定代表人或委托代理人：        法定代表人或委托代理人：</w:t>
      </w:r>
    </w:p>
    <w:p w14:paraId="0323B2B6">
      <w:pPr>
        <w:spacing w:line="570" w:lineRule="exact"/>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地址：                          地址：</w:t>
      </w:r>
    </w:p>
    <w:p w14:paraId="2697B1D7">
      <w:pPr>
        <w:spacing w:line="570" w:lineRule="exact"/>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电话：                          电话：</w:t>
      </w:r>
    </w:p>
    <w:p w14:paraId="5A39974C">
      <w:pPr>
        <w:spacing w:line="570" w:lineRule="exact"/>
        <w:ind w:firstLine="1050" w:firstLineChars="5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年  月  日                      年  月  日</w:t>
      </w:r>
    </w:p>
    <w:p w14:paraId="0734B305">
      <w:pPr>
        <w:spacing w:line="480" w:lineRule="exact"/>
        <w:rPr>
          <w:rFonts w:hint="eastAsia" w:ascii="仿宋_GB2312" w:hAnsi="仿宋_GB2312" w:eastAsia="仿宋_GB2312" w:cs="仿宋_GB2312"/>
          <w:color w:val="auto"/>
          <w:sz w:val="24"/>
          <w:highlight w:val="none"/>
        </w:rPr>
      </w:pPr>
    </w:p>
    <w:p w14:paraId="64C94E71">
      <w:pPr>
        <w:rPr>
          <w:rFonts w:hint="eastAsia" w:asciiTheme="minorEastAsia" w:hAnsiTheme="minorEastAsia" w:eastAsiaTheme="minorEastAsia" w:cstheme="minorEastAsia"/>
          <w:color w:val="auto"/>
          <w:sz w:val="21"/>
          <w:szCs w:val="21"/>
          <w:highlight w:val="none"/>
        </w:rPr>
      </w:pPr>
    </w:p>
    <w:p w14:paraId="2341E9E1">
      <w:pPr>
        <w:pStyle w:val="80"/>
        <w:rPr>
          <w:rFonts w:hint="eastAsia" w:asciiTheme="minorEastAsia" w:hAnsiTheme="minorEastAsia" w:eastAsiaTheme="minorEastAsia" w:cstheme="minorEastAsia"/>
          <w:color w:val="auto"/>
          <w:sz w:val="21"/>
          <w:szCs w:val="21"/>
          <w:highlight w:val="none"/>
        </w:rPr>
      </w:pPr>
    </w:p>
    <w:p w14:paraId="3A06A2E4">
      <w:pPr>
        <w:pStyle w:val="80"/>
        <w:rPr>
          <w:rFonts w:hint="eastAsia" w:asciiTheme="minorEastAsia" w:hAnsiTheme="minorEastAsia" w:eastAsiaTheme="minorEastAsia" w:cstheme="minorEastAsia"/>
          <w:color w:val="auto"/>
          <w:sz w:val="21"/>
          <w:szCs w:val="21"/>
          <w:highlight w:val="none"/>
        </w:rPr>
      </w:pPr>
    </w:p>
    <w:p w14:paraId="28A99B1F">
      <w:pPr>
        <w:tabs>
          <w:tab w:val="left" w:pos="0"/>
          <w:tab w:val="left" w:pos="993"/>
          <w:tab w:val="left" w:pos="1134"/>
        </w:tabs>
        <w:adjustRightInd w:val="0"/>
        <w:snapToGrid w:val="0"/>
        <w:spacing w:line="500" w:lineRule="exact"/>
        <w:jc w:val="center"/>
        <w:rPr>
          <w:rFonts w:ascii="宋体" w:hAnsi="宋体"/>
          <w:b/>
          <w:snapToGrid w:val="0"/>
          <w:color w:val="auto"/>
          <w:sz w:val="30"/>
          <w:szCs w:val="30"/>
          <w:highlight w:val="none"/>
        </w:rPr>
      </w:pPr>
      <w:r>
        <w:rPr>
          <w:rFonts w:hint="eastAsia" w:asciiTheme="minorEastAsia" w:hAnsiTheme="minorEastAsia" w:eastAsiaTheme="minorEastAsia" w:cstheme="minorEastAsia"/>
          <w:color w:val="auto"/>
          <w:sz w:val="21"/>
          <w:szCs w:val="21"/>
          <w:highlight w:val="none"/>
        </w:rPr>
        <w:br w:type="page"/>
      </w:r>
      <w:r>
        <w:rPr>
          <w:rFonts w:hint="eastAsia" w:ascii="宋体" w:hAnsi="宋体"/>
          <w:b/>
          <w:snapToGrid w:val="0"/>
          <w:color w:val="auto"/>
          <w:sz w:val="30"/>
          <w:szCs w:val="30"/>
          <w:highlight w:val="none"/>
        </w:rPr>
        <w:t>第三章  计价规范和技术规范</w:t>
      </w:r>
    </w:p>
    <w:p w14:paraId="17D029B7">
      <w:pPr>
        <w:tabs>
          <w:tab w:val="left" w:pos="0"/>
          <w:tab w:val="left" w:pos="567"/>
          <w:tab w:val="left" w:pos="993"/>
          <w:tab w:val="left" w:pos="1134"/>
        </w:tabs>
        <w:adjustRightInd w:val="0"/>
        <w:snapToGrid w:val="0"/>
        <w:spacing w:line="360" w:lineRule="auto"/>
        <w:ind w:firstLine="560"/>
        <w:rPr>
          <w:rFonts w:ascii="宋体" w:hAnsi="宋体"/>
          <w:snapToGrid w:val="0"/>
          <w:color w:val="auto"/>
          <w:sz w:val="24"/>
          <w:highlight w:val="none"/>
        </w:rPr>
      </w:pPr>
    </w:p>
    <w:p w14:paraId="5ED09FFD">
      <w:pPr>
        <w:tabs>
          <w:tab w:val="left" w:pos="0"/>
          <w:tab w:val="left" w:pos="567"/>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一、本工程采用的计价规范</w:t>
      </w:r>
    </w:p>
    <w:p w14:paraId="5705613C">
      <w:pPr>
        <w:tabs>
          <w:tab w:val="left" w:pos="0"/>
          <w:tab w:val="left" w:pos="567"/>
          <w:tab w:val="left" w:pos="993"/>
          <w:tab w:val="left" w:pos="1134"/>
        </w:tabs>
        <w:adjustRightInd w:val="0"/>
        <w:snapToGrid w:val="0"/>
        <w:spacing w:line="360" w:lineRule="auto"/>
        <w:ind w:firstLine="799"/>
        <w:rPr>
          <w:rFonts w:ascii="宋体"/>
          <w:snapToGrid w:val="0"/>
          <w:color w:val="auto"/>
          <w:szCs w:val="21"/>
          <w:highlight w:val="none"/>
        </w:rPr>
      </w:pPr>
      <w:r>
        <w:rPr>
          <w:rFonts w:hint="eastAsia" w:ascii="宋体" w:hAnsi="宋体"/>
          <w:snapToGrid w:val="0"/>
          <w:color w:val="auto"/>
          <w:szCs w:val="21"/>
          <w:highlight w:val="none"/>
        </w:rPr>
        <w:t>《建设工程工程量清单计价规范》</w:t>
      </w:r>
      <w:r>
        <w:rPr>
          <w:rFonts w:ascii="宋体" w:hAnsi="宋体"/>
          <w:snapToGrid w:val="0"/>
          <w:color w:val="auto"/>
          <w:szCs w:val="21"/>
          <w:highlight w:val="none"/>
        </w:rPr>
        <w:t>GB50500-2013</w:t>
      </w:r>
    </w:p>
    <w:p w14:paraId="5317AB1D">
      <w:pPr>
        <w:tabs>
          <w:tab w:val="left" w:pos="0"/>
          <w:tab w:val="left" w:pos="567"/>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二、本工程采用的主要技术规范</w:t>
      </w:r>
    </w:p>
    <w:p w14:paraId="0C9FA4DA">
      <w:pPr>
        <w:tabs>
          <w:tab w:val="left" w:pos="0"/>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三、对施工工艺的特殊要求</w:t>
      </w:r>
    </w:p>
    <w:p w14:paraId="6C06D7C9">
      <w:pPr>
        <w:tabs>
          <w:tab w:val="left" w:pos="0"/>
          <w:tab w:val="left" w:pos="993"/>
          <w:tab w:val="left" w:pos="1134"/>
        </w:tabs>
        <w:adjustRightInd w:val="0"/>
        <w:snapToGrid w:val="0"/>
        <w:spacing w:line="360" w:lineRule="auto"/>
        <w:ind w:firstLine="560"/>
        <w:rPr>
          <w:rFonts w:ascii="宋体"/>
          <w:snapToGrid w:val="0"/>
          <w:color w:val="auto"/>
          <w:szCs w:val="21"/>
          <w:highlight w:val="none"/>
        </w:rPr>
      </w:pPr>
      <w:r>
        <w:rPr>
          <w:rFonts w:hint="eastAsia" w:ascii="宋体" w:hAnsi="宋体"/>
          <w:snapToGrid w:val="0"/>
          <w:color w:val="auto"/>
          <w:szCs w:val="21"/>
          <w:highlight w:val="none"/>
        </w:rPr>
        <w:t>四、对材料的质量和试验要求</w:t>
      </w:r>
    </w:p>
    <w:p w14:paraId="306C58BA">
      <w:pPr>
        <w:tabs>
          <w:tab w:val="left" w:pos="0"/>
          <w:tab w:val="left" w:pos="993"/>
          <w:tab w:val="left" w:pos="1134"/>
        </w:tabs>
        <w:adjustRightInd w:val="0"/>
        <w:snapToGrid w:val="0"/>
        <w:spacing w:line="300" w:lineRule="auto"/>
        <w:jc w:val="center"/>
        <w:rPr>
          <w:rFonts w:ascii="宋体" w:hAnsi="宋体"/>
          <w:b/>
          <w:snapToGrid w:val="0"/>
          <w:color w:val="auto"/>
          <w:szCs w:val="21"/>
          <w:highlight w:val="none"/>
        </w:rPr>
      </w:pPr>
    </w:p>
    <w:p w14:paraId="11469444">
      <w:pPr>
        <w:tabs>
          <w:tab w:val="left" w:pos="0"/>
          <w:tab w:val="left" w:pos="993"/>
          <w:tab w:val="left" w:pos="1134"/>
        </w:tabs>
        <w:adjustRightInd w:val="0"/>
        <w:snapToGrid w:val="0"/>
        <w:spacing w:line="300" w:lineRule="auto"/>
        <w:jc w:val="center"/>
        <w:rPr>
          <w:rFonts w:ascii="宋体" w:hAnsi="宋体"/>
          <w:b/>
          <w:snapToGrid w:val="0"/>
          <w:color w:val="auto"/>
          <w:szCs w:val="21"/>
          <w:highlight w:val="none"/>
        </w:rPr>
      </w:pPr>
    </w:p>
    <w:p w14:paraId="54907451">
      <w:pPr>
        <w:tabs>
          <w:tab w:val="left" w:pos="0"/>
          <w:tab w:val="left" w:pos="993"/>
          <w:tab w:val="left" w:pos="1134"/>
        </w:tabs>
        <w:adjustRightInd w:val="0"/>
        <w:snapToGrid w:val="0"/>
        <w:spacing w:line="300" w:lineRule="auto"/>
        <w:jc w:val="center"/>
        <w:rPr>
          <w:rFonts w:ascii="宋体" w:hAnsi="宋体"/>
          <w:b/>
          <w:snapToGrid w:val="0"/>
          <w:color w:val="auto"/>
          <w:szCs w:val="21"/>
          <w:highlight w:val="none"/>
        </w:rPr>
      </w:pPr>
    </w:p>
    <w:p w14:paraId="61EDFE65">
      <w:pPr>
        <w:tabs>
          <w:tab w:val="left" w:pos="0"/>
          <w:tab w:val="left" w:pos="993"/>
          <w:tab w:val="left" w:pos="1134"/>
        </w:tabs>
        <w:adjustRightInd w:val="0"/>
        <w:snapToGrid w:val="0"/>
        <w:spacing w:line="300" w:lineRule="auto"/>
        <w:jc w:val="center"/>
        <w:rPr>
          <w:rFonts w:ascii="宋体" w:hAnsi="宋体"/>
          <w:b/>
          <w:snapToGrid w:val="0"/>
          <w:color w:val="auto"/>
          <w:sz w:val="32"/>
          <w:szCs w:val="32"/>
          <w:highlight w:val="none"/>
        </w:rPr>
      </w:pPr>
      <w:r>
        <w:rPr>
          <w:rFonts w:ascii="宋体" w:hAnsi="宋体"/>
          <w:b/>
          <w:snapToGrid w:val="0"/>
          <w:color w:val="auto"/>
          <w:sz w:val="32"/>
          <w:szCs w:val="32"/>
          <w:highlight w:val="none"/>
        </w:rPr>
        <w:br w:type="page"/>
      </w:r>
    </w:p>
    <w:p w14:paraId="6403394C">
      <w:pPr>
        <w:numPr>
          <w:ilvl w:val="0"/>
          <w:numId w:val="4"/>
        </w:num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r>
        <w:rPr>
          <w:rFonts w:hint="eastAsia" w:ascii="宋体" w:hAnsi="宋体"/>
          <w:b/>
          <w:snapToGrid w:val="0"/>
          <w:color w:val="auto"/>
          <w:sz w:val="30"/>
          <w:szCs w:val="30"/>
          <w:highlight w:val="none"/>
        </w:rPr>
        <w:t>工程量清单（另附）</w:t>
      </w:r>
    </w:p>
    <w:p w14:paraId="0977F3DA">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673594B4">
      <w:pPr>
        <w:jc w:val="center"/>
        <w:rPr>
          <w:rFonts w:ascii="宋体" w:hAnsi="宋体"/>
          <w:color w:val="auto"/>
          <w:sz w:val="30"/>
          <w:szCs w:val="30"/>
          <w:highlight w:val="none"/>
        </w:rPr>
      </w:pPr>
      <w:r>
        <w:rPr>
          <w:rFonts w:hint="eastAsia" w:ascii="宋体" w:hAnsi="宋体"/>
          <w:b/>
          <w:snapToGrid w:val="0"/>
          <w:color w:val="auto"/>
          <w:sz w:val="30"/>
          <w:szCs w:val="30"/>
          <w:highlight w:val="none"/>
        </w:rPr>
        <w:t>第五章　图纸和技术资料（另附）</w:t>
      </w:r>
    </w:p>
    <w:p w14:paraId="579A563D">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05D2A104">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69511273">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103E0D11">
      <w:pPr>
        <w:tabs>
          <w:tab w:val="left" w:pos="0"/>
          <w:tab w:val="left" w:pos="993"/>
          <w:tab w:val="left" w:pos="1134"/>
        </w:tabs>
        <w:adjustRightInd w:val="0"/>
        <w:snapToGrid w:val="0"/>
        <w:spacing w:line="300" w:lineRule="auto"/>
        <w:jc w:val="center"/>
        <w:rPr>
          <w:rFonts w:ascii="宋体" w:hAnsi="宋体"/>
          <w:b/>
          <w:snapToGrid w:val="0"/>
          <w:color w:val="auto"/>
          <w:sz w:val="30"/>
          <w:szCs w:val="30"/>
          <w:highlight w:val="none"/>
        </w:rPr>
      </w:pPr>
    </w:p>
    <w:p w14:paraId="67BFA091">
      <w:pPr>
        <w:pageBreakBefore/>
        <w:tabs>
          <w:tab w:val="left" w:pos="0"/>
          <w:tab w:val="left" w:pos="993"/>
          <w:tab w:val="left" w:pos="1134"/>
        </w:tabs>
        <w:adjustRightInd w:val="0"/>
        <w:snapToGrid w:val="0"/>
        <w:spacing w:line="300" w:lineRule="auto"/>
        <w:jc w:val="center"/>
        <w:rPr>
          <w:rFonts w:ascii="宋体" w:hAnsi="宋体"/>
          <w:snapToGrid w:val="0"/>
          <w:color w:val="auto"/>
          <w:sz w:val="30"/>
          <w:szCs w:val="30"/>
          <w:highlight w:val="none"/>
        </w:rPr>
      </w:pPr>
      <w:r>
        <w:rPr>
          <w:rFonts w:hint="eastAsia" w:ascii="宋体" w:hAnsi="宋体"/>
          <w:b/>
          <w:snapToGrid w:val="0"/>
          <w:color w:val="auto"/>
          <w:sz w:val="30"/>
          <w:szCs w:val="30"/>
          <w:highlight w:val="none"/>
        </w:rPr>
        <w:t>第六章 　投 标 文 件</w:t>
      </w:r>
      <w:r>
        <w:rPr>
          <w:rFonts w:hint="eastAsia" w:ascii="宋体" w:hAnsi="宋体"/>
          <w:b/>
          <w:snapToGrid w:val="0"/>
          <w:color w:val="auto"/>
          <w:sz w:val="30"/>
          <w:szCs w:val="30"/>
          <w:highlight w:val="none"/>
          <w:lang w:eastAsia="zh-CN"/>
        </w:rPr>
        <w:t>（</w:t>
      </w:r>
      <w:r>
        <w:rPr>
          <w:rFonts w:hint="eastAsia" w:ascii="宋体" w:hAnsi="宋体"/>
          <w:snapToGrid w:val="0"/>
          <w:color w:val="auto"/>
          <w:sz w:val="30"/>
          <w:szCs w:val="30"/>
          <w:highlight w:val="none"/>
        </w:rPr>
        <w:t>格式</w:t>
      </w:r>
      <w:r>
        <w:rPr>
          <w:rFonts w:hint="eastAsia" w:ascii="宋体" w:hAnsi="宋体"/>
          <w:snapToGrid w:val="0"/>
          <w:color w:val="auto"/>
          <w:sz w:val="30"/>
          <w:szCs w:val="30"/>
          <w:highlight w:val="none"/>
          <w:lang w:eastAsia="zh-CN"/>
        </w:rPr>
        <w:t>）</w:t>
      </w:r>
    </w:p>
    <w:p w14:paraId="7662A146">
      <w:pPr>
        <w:pStyle w:val="20"/>
        <w:ind w:left="480" w:firstLine="422"/>
        <w:rPr>
          <w:rFonts w:hAnsi="宋体"/>
          <w:b/>
          <w:color w:val="auto"/>
          <w:sz w:val="21"/>
          <w:szCs w:val="21"/>
          <w:highlight w:val="none"/>
        </w:rPr>
      </w:pPr>
    </w:p>
    <w:p w14:paraId="6A5FB485">
      <w:pPr>
        <w:pStyle w:val="20"/>
        <w:ind w:left="480" w:firstLine="480"/>
        <w:jc w:val="center"/>
        <w:rPr>
          <w:rFonts w:hAnsi="宋体"/>
          <w:color w:val="auto"/>
          <w:sz w:val="24"/>
          <w:highlight w:val="none"/>
        </w:rPr>
      </w:pPr>
      <w:r>
        <w:rPr>
          <w:rFonts w:hint="eastAsia" w:hAnsi="宋体"/>
          <w:color w:val="auto"/>
          <w:sz w:val="24"/>
          <w:highlight w:val="none"/>
          <w:lang w:eastAsia="zh-CN"/>
        </w:rPr>
        <w:t>（</w:t>
      </w:r>
      <w:r>
        <w:rPr>
          <w:rFonts w:hint="eastAsia" w:hAnsi="宋体"/>
          <w:color w:val="auto"/>
          <w:sz w:val="24"/>
          <w:highlight w:val="none"/>
        </w:rPr>
        <w:t>封   面</w:t>
      </w:r>
      <w:r>
        <w:rPr>
          <w:rFonts w:hint="eastAsia" w:hAnsi="宋体"/>
          <w:color w:val="auto"/>
          <w:sz w:val="24"/>
          <w:highlight w:val="none"/>
          <w:lang w:eastAsia="zh-CN"/>
        </w:rPr>
        <w:t>）</w:t>
      </w:r>
    </w:p>
    <w:p w14:paraId="3DA2FC2B">
      <w:pPr>
        <w:pStyle w:val="20"/>
        <w:ind w:left="480" w:firstLine="480"/>
        <w:jc w:val="center"/>
        <w:rPr>
          <w:rFonts w:hAnsi="宋体"/>
          <w:color w:val="auto"/>
          <w:sz w:val="24"/>
          <w:highlight w:val="none"/>
        </w:rPr>
      </w:pPr>
    </w:p>
    <w:p w14:paraId="78BB406F">
      <w:pPr>
        <w:jc w:val="center"/>
        <w:rPr>
          <w:rFonts w:ascii="宋体" w:hAnsi="宋体"/>
          <w:color w:val="auto"/>
          <w:sz w:val="24"/>
          <w:highlight w:val="none"/>
          <w:u w:val="single"/>
        </w:rPr>
      </w:pPr>
      <w:r>
        <w:rPr>
          <w:rFonts w:hint="eastAsia" w:ascii="宋体" w:hAnsi="宋体"/>
          <w:b/>
          <w:color w:val="auto"/>
          <w:sz w:val="24"/>
          <w:highlight w:val="none"/>
          <w:u w:val="single"/>
        </w:rPr>
        <w:t xml:space="preserve">                   </w:t>
      </w:r>
      <w:r>
        <w:rPr>
          <w:rFonts w:hint="eastAsia" w:ascii="宋体" w:hAnsi="宋体"/>
          <w:color w:val="auto"/>
          <w:sz w:val="24"/>
          <w:highlight w:val="none"/>
        </w:rPr>
        <w:t>工 程</w:t>
      </w:r>
      <w:r>
        <w:rPr>
          <w:rFonts w:hint="eastAsia" w:ascii="宋体" w:hAnsi="宋体"/>
          <w:color w:val="auto"/>
          <w:sz w:val="24"/>
          <w:highlight w:val="none"/>
          <w:u w:val="single"/>
        </w:rPr>
        <w:t xml:space="preserve">   </w:t>
      </w:r>
      <w:r>
        <w:rPr>
          <w:rFonts w:hint="eastAsia" w:ascii="宋体" w:hAnsi="宋体"/>
          <w:color w:val="auto"/>
          <w:sz w:val="24"/>
          <w:highlight w:val="none"/>
        </w:rPr>
        <w:t>标段</w:t>
      </w:r>
    </w:p>
    <w:p w14:paraId="420214CF">
      <w:pPr>
        <w:jc w:val="center"/>
        <w:rPr>
          <w:rFonts w:ascii="宋体" w:hAnsi="宋体"/>
          <w:color w:val="auto"/>
          <w:sz w:val="24"/>
          <w:highlight w:val="none"/>
        </w:rPr>
      </w:pPr>
    </w:p>
    <w:p w14:paraId="6BE6E7C8">
      <w:pPr>
        <w:jc w:val="center"/>
        <w:rPr>
          <w:rFonts w:ascii="宋体" w:hAnsi="宋体"/>
          <w:color w:val="auto"/>
          <w:sz w:val="24"/>
          <w:highlight w:val="none"/>
        </w:rPr>
      </w:pPr>
    </w:p>
    <w:p w14:paraId="1D50B680">
      <w:pPr>
        <w:rPr>
          <w:rFonts w:ascii="宋体" w:hAnsi="宋体"/>
          <w:color w:val="auto"/>
          <w:sz w:val="24"/>
          <w:highlight w:val="none"/>
        </w:rPr>
      </w:pPr>
    </w:p>
    <w:p w14:paraId="0950C316">
      <w:pPr>
        <w:jc w:val="center"/>
        <w:rPr>
          <w:rFonts w:ascii="宋体" w:hAnsi="宋体"/>
          <w:b/>
          <w:color w:val="auto"/>
          <w:sz w:val="24"/>
          <w:highlight w:val="none"/>
        </w:rPr>
      </w:pPr>
      <w:r>
        <w:rPr>
          <w:rFonts w:hint="eastAsia" w:ascii="宋体" w:hAnsi="宋体"/>
          <w:b/>
          <w:color w:val="auto"/>
          <w:sz w:val="24"/>
          <w:highlight w:val="none"/>
        </w:rPr>
        <w:t>施 工 投 标 文 件</w:t>
      </w:r>
    </w:p>
    <w:p w14:paraId="7DB4DE4D">
      <w:pPr>
        <w:rPr>
          <w:rFonts w:ascii="宋体" w:hAnsi="宋体"/>
          <w:color w:val="auto"/>
          <w:sz w:val="24"/>
          <w:highlight w:val="none"/>
        </w:rPr>
      </w:pPr>
    </w:p>
    <w:p w14:paraId="7661F2A4">
      <w:pPr>
        <w:rPr>
          <w:rFonts w:ascii="宋体" w:hAnsi="宋体"/>
          <w:color w:val="auto"/>
          <w:sz w:val="24"/>
          <w:highlight w:val="none"/>
        </w:rPr>
      </w:pPr>
      <w:r>
        <w:rPr>
          <w:rFonts w:hint="eastAsia" w:ascii="宋体" w:hAnsi="宋体"/>
          <w:color w:val="auto"/>
          <w:sz w:val="24"/>
          <w:highlight w:val="none"/>
        </w:rPr>
        <w:t xml:space="preserve">                  </w:t>
      </w:r>
    </w:p>
    <w:p w14:paraId="79249D65">
      <w:pPr>
        <w:rPr>
          <w:rFonts w:ascii="宋体" w:hAnsi="宋体"/>
          <w:color w:val="auto"/>
          <w:sz w:val="24"/>
          <w:highlight w:val="none"/>
        </w:rPr>
      </w:pPr>
    </w:p>
    <w:p w14:paraId="7C04DB87">
      <w:pPr>
        <w:rPr>
          <w:rFonts w:ascii="宋体" w:hAnsi="宋体"/>
          <w:color w:val="auto"/>
          <w:sz w:val="24"/>
          <w:highlight w:val="none"/>
        </w:rPr>
      </w:pPr>
    </w:p>
    <w:p w14:paraId="7032F984">
      <w:pPr>
        <w:rPr>
          <w:rFonts w:ascii="宋体" w:hAnsi="宋体"/>
          <w:color w:val="auto"/>
          <w:sz w:val="24"/>
          <w:highlight w:val="none"/>
        </w:rPr>
      </w:pPr>
    </w:p>
    <w:p w14:paraId="5F2DBE87">
      <w:pPr>
        <w:rPr>
          <w:rFonts w:ascii="宋体" w:hAnsi="宋体"/>
          <w:color w:val="auto"/>
          <w:sz w:val="24"/>
          <w:highlight w:val="none"/>
        </w:rPr>
      </w:pPr>
    </w:p>
    <w:p w14:paraId="3D4B5BE4">
      <w:pPr>
        <w:rPr>
          <w:rFonts w:ascii="宋体" w:hAnsi="宋体"/>
          <w:color w:val="auto"/>
          <w:sz w:val="24"/>
          <w:highlight w:val="none"/>
        </w:rPr>
      </w:pPr>
    </w:p>
    <w:p w14:paraId="6F3EEBFA">
      <w:pPr>
        <w:rPr>
          <w:rFonts w:ascii="宋体" w:hAnsi="宋体"/>
          <w:color w:val="auto"/>
          <w:sz w:val="24"/>
          <w:highlight w:val="none"/>
        </w:rPr>
      </w:pPr>
    </w:p>
    <w:p w14:paraId="45A2F98F">
      <w:pPr>
        <w:rPr>
          <w:rFonts w:ascii="宋体" w:hAnsi="宋体"/>
          <w:color w:val="auto"/>
          <w:sz w:val="24"/>
          <w:highlight w:val="none"/>
        </w:rPr>
      </w:pPr>
    </w:p>
    <w:p w14:paraId="2ADFE41C">
      <w:pPr>
        <w:rPr>
          <w:rFonts w:ascii="宋体" w:hAnsi="宋体"/>
          <w:color w:val="auto"/>
          <w:sz w:val="24"/>
          <w:highlight w:val="none"/>
        </w:rPr>
      </w:pPr>
    </w:p>
    <w:p w14:paraId="60B1C277">
      <w:pPr>
        <w:rPr>
          <w:rFonts w:ascii="宋体" w:hAnsi="宋体"/>
          <w:color w:val="auto"/>
          <w:sz w:val="24"/>
          <w:highlight w:val="none"/>
        </w:rPr>
      </w:pPr>
    </w:p>
    <w:p w14:paraId="40D63488">
      <w:pPr>
        <w:rPr>
          <w:rFonts w:ascii="宋体" w:hAnsi="宋体"/>
          <w:color w:val="auto"/>
          <w:sz w:val="24"/>
          <w:highlight w:val="none"/>
        </w:rPr>
      </w:pPr>
    </w:p>
    <w:p w14:paraId="3986ABB2">
      <w:pPr>
        <w:rPr>
          <w:rFonts w:ascii="宋体" w:hAnsi="宋体"/>
          <w:color w:val="auto"/>
          <w:sz w:val="24"/>
          <w:highlight w:val="none"/>
        </w:rPr>
      </w:pPr>
    </w:p>
    <w:p w14:paraId="2E7F4DA2">
      <w:pPr>
        <w:rPr>
          <w:rFonts w:ascii="宋体" w:hAnsi="宋体"/>
          <w:color w:val="auto"/>
          <w:sz w:val="24"/>
          <w:highlight w:val="none"/>
        </w:rPr>
      </w:pPr>
    </w:p>
    <w:p w14:paraId="5212EB59">
      <w:pPr>
        <w:rPr>
          <w:rFonts w:ascii="宋体" w:hAnsi="宋体"/>
          <w:color w:val="auto"/>
          <w:sz w:val="24"/>
          <w:highlight w:val="none"/>
        </w:rPr>
      </w:pPr>
    </w:p>
    <w:p w14:paraId="78A3E192">
      <w:pPr>
        <w:rPr>
          <w:rFonts w:ascii="宋体" w:hAnsi="宋体"/>
          <w:color w:val="auto"/>
          <w:sz w:val="24"/>
          <w:highlight w:val="none"/>
        </w:rPr>
      </w:pPr>
    </w:p>
    <w:p w14:paraId="167D6E70">
      <w:pPr>
        <w:rPr>
          <w:rFonts w:ascii="宋体" w:hAnsi="宋体"/>
          <w:color w:val="auto"/>
          <w:sz w:val="24"/>
          <w:highlight w:val="none"/>
        </w:rPr>
      </w:pPr>
    </w:p>
    <w:p w14:paraId="3E836097">
      <w:pPr>
        <w:rPr>
          <w:rFonts w:ascii="宋体" w:hAnsi="宋体"/>
          <w:color w:val="auto"/>
          <w:sz w:val="24"/>
          <w:highlight w:val="none"/>
        </w:rPr>
      </w:pPr>
    </w:p>
    <w:p w14:paraId="3850AE9E">
      <w:pPr>
        <w:rPr>
          <w:rFonts w:ascii="宋体" w:hAnsi="宋体"/>
          <w:color w:val="auto"/>
          <w:sz w:val="24"/>
          <w:highlight w:val="none"/>
        </w:rPr>
      </w:pPr>
    </w:p>
    <w:p w14:paraId="0CE8CACB">
      <w:pPr>
        <w:rPr>
          <w:rFonts w:ascii="宋体" w:hAnsi="宋体"/>
          <w:color w:val="auto"/>
          <w:sz w:val="24"/>
          <w:highlight w:val="none"/>
        </w:rPr>
      </w:pPr>
    </w:p>
    <w:p w14:paraId="68338B93">
      <w:pPr>
        <w:rPr>
          <w:rFonts w:ascii="宋体" w:hAnsi="宋体"/>
          <w:color w:val="auto"/>
          <w:sz w:val="24"/>
          <w:highlight w:val="none"/>
        </w:rPr>
      </w:pPr>
    </w:p>
    <w:p w14:paraId="6847C055">
      <w:pPr>
        <w:ind w:firstLine="1500"/>
        <w:rPr>
          <w:rFonts w:ascii="宋体" w:hAnsi="宋体"/>
          <w:color w:val="auto"/>
          <w:sz w:val="24"/>
          <w:highlight w:val="none"/>
        </w:rPr>
      </w:pPr>
      <w:r>
        <w:rPr>
          <w:rFonts w:hint="eastAsia" w:ascii="宋体" w:hAnsi="宋体"/>
          <w:color w:val="auto"/>
          <w:sz w:val="24"/>
          <w:highlight w:val="none"/>
        </w:rPr>
        <w:t xml:space="preserve"> </w:t>
      </w:r>
    </w:p>
    <w:p w14:paraId="68758689">
      <w:pPr>
        <w:rPr>
          <w:rFonts w:ascii="宋体" w:hAnsi="宋体"/>
          <w:color w:val="auto"/>
          <w:sz w:val="24"/>
          <w:highlight w:val="none"/>
        </w:rPr>
      </w:pPr>
    </w:p>
    <w:p w14:paraId="451DA715">
      <w:pPr>
        <w:ind w:firstLine="1500"/>
        <w:rPr>
          <w:rFonts w:ascii="宋体" w:hAnsi="宋体"/>
          <w:color w:val="auto"/>
          <w:sz w:val="24"/>
          <w:highlight w:val="none"/>
          <w:u w:val="single"/>
        </w:rPr>
      </w:pPr>
      <w:r>
        <w:rPr>
          <w:rFonts w:hint="eastAsia" w:ascii="宋体" w:hAnsi="宋体"/>
          <w:color w:val="auto"/>
          <w:sz w:val="24"/>
          <w:highlight w:val="none"/>
        </w:rPr>
        <w:t>投  标  人（章）：</w:t>
      </w:r>
      <w:r>
        <w:rPr>
          <w:rFonts w:hint="eastAsia" w:ascii="宋体" w:hAnsi="宋体"/>
          <w:color w:val="auto"/>
          <w:sz w:val="24"/>
          <w:highlight w:val="none"/>
          <w:u w:val="single"/>
        </w:rPr>
        <w:t xml:space="preserve">             　　　             </w:t>
      </w:r>
    </w:p>
    <w:p w14:paraId="1C835254">
      <w:pPr>
        <w:ind w:firstLine="1890"/>
        <w:rPr>
          <w:rFonts w:ascii="宋体" w:hAnsi="宋体"/>
          <w:color w:val="auto"/>
          <w:sz w:val="24"/>
          <w:highlight w:val="none"/>
        </w:rPr>
      </w:pPr>
    </w:p>
    <w:p w14:paraId="7B60581D">
      <w:pPr>
        <w:spacing w:line="40" w:lineRule="atLeast"/>
        <w:ind w:firstLine="1500"/>
        <w:rPr>
          <w:rFonts w:ascii="宋体" w:hAnsi="宋体"/>
          <w:color w:val="auto"/>
          <w:sz w:val="24"/>
          <w:highlight w:val="none"/>
          <w:u w:val="single"/>
        </w:rPr>
      </w:pPr>
      <w:r>
        <w:rPr>
          <w:rFonts w:hint="eastAsia" w:ascii="宋体" w:hAnsi="宋体"/>
          <w:color w:val="auto"/>
          <w:sz w:val="24"/>
          <w:highlight w:val="none"/>
        </w:rPr>
        <w:t>法定代表人或委托代理人（签字或盖章）：</w:t>
      </w:r>
      <w:r>
        <w:rPr>
          <w:rFonts w:hint="eastAsia" w:ascii="宋体" w:hAnsi="宋体"/>
          <w:color w:val="auto"/>
          <w:sz w:val="24"/>
          <w:highlight w:val="none"/>
          <w:u w:val="single"/>
        </w:rPr>
        <w:t xml:space="preserve">     　　   </w:t>
      </w:r>
    </w:p>
    <w:p w14:paraId="2C08AF64">
      <w:pPr>
        <w:rPr>
          <w:rFonts w:ascii="宋体" w:hAnsi="宋体"/>
          <w:color w:val="auto"/>
          <w:sz w:val="24"/>
          <w:highlight w:val="none"/>
        </w:rPr>
      </w:pPr>
    </w:p>
    <w:p w14:paraId="6A1D5950">
      <w:pPr>
        <w:ind w:firstLine="1500"/>
        <w:rPr>
          <w:rFonts w:ascii="宋体" w:hAnsi="宋体"/>
          <w:color w:val="auto"/>
          <w:sz w:val="24"/>
          <w:highlight w:val="none"/>
        </w:rPr>
      </w:pPr>
      <w:r>
        <w:rPr>
          <w:rFonts w:hint="eastAsia" w:ascii="宋体" w:hAnsi="宋体"/>
          <w:color w:val="auto"/>
          <w:sz w:val="24"/>
          <w:highlight w:val="none"/>
        </w:rPr>
        <w:t>日期：　</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F85A282">
      <w:pPr>
        <w:pStyle w:val="24"/>
        <w:jc w:val="center"/>
        <w:rPr>
          <w:rFonts w:hAnsi="宋体"/>
          <w:color w:val="auto"/>
          <w:highlight w:val="none"/>
        </w:rPr>
      </w:pPr>
    </w:p>
    <w:p w14:paraId="15C0BF8A">
      <w:pPr>
        <w:spacing w:line="400" w:lineRule="exact"/>
        <w:jc w:val="center"/>
        <w:rPr>
          <w:rFonts w:ascii="宋体" w:hAnsi="宋体"/>
          <w:color w:val="auto"/>
          <w:szCs w:val="21"/>
          <w:highlight w:val="none"/>
        </w:rPr>
      </w:pPr>
    </w:p>
    <w:p w14:paraId="60F41C44">
      <w:pPr>
        <w:pageBreakBefore/>
        <w:spacing w:line="400" w:lineRule="exact"/>
        <w:jc w:val="center"/>
        <w:rPr>
          <w:rFonts w:ascii="宋体" w:hAnsi="宋体"/>
          <w:b/>
          <w:color w:val="auto"/>
          <w:sz w:val="32"/>
          <w:szCs w:val="32"/>
          <w:highlight w:val="none"/>
        </w:rPr>
      </w:pPr>
      <w:r>
        <w:rPr>
          <w:rFonts w:hint="eastAsia" w:ascii="宋体" w:hAnsi="宋体"/>
          <w:color w:val="auto"/>
          <w:sz w:val="32"/>
          <w:szCs w:val="32"/>
          <w:highlight w:val="none"/>
        </w:rPr>
        <w:t xml:space="preserve">一  </w:t>
      </w:r>
      <w:r>
        <w:rPr>
          <w:rFonts w:hint="eastAsia" w:ascii="宋体" w:hAnsi="宋体"/>
          <w:b/>
          <w:color w:val="auto"/>
          <w:sz w:val="32"/>
          <w:szCs w:val="32"/>
          <w:highlight w:val="none"/>
        </w:rPr>
        <w:t xml:space="preserve">投  </w:t>
      </w:r>
      <w:r>
        <w:rPr>
          <w:rFonts w:ascii="宋体" w:hAnsi="宋体"/>
          <w:b/>
          <w:color w:val="auto"/>
          <w:sz w:val="32"/>
          <w:szCs w:val="32"/>
          <w:highlight w:val="none"/>
        </w:rPr>
        <w:t xml:space="preserve"> 标</w:t>
      </w:r>
      <w:r>
        <w:rPr>
          <w:rFonts w:hint="eastAsia" w:ascii="宋体" w:hAnsi="宋体"/>
          <w:b/>
          <w:color w:val="auto"/>
          <w:sz w:val="32"/>
          <w:szCs w:val="32"/>
          <w:highlight w:val="none"/>
        </w:rPr>
        <w:t xml:space="preserve">  </w:t>
      </w:r>
      <w:r>
        <w:rPr>
          <w:rFonts w:ascii="宋体" w:hAnsi="宋体"/>
          <w:b/>
          <w:color w:val="auto"/>
          <w:sz w:val="32"/>
          <w:szCs w:val="32"/>
          <w:highlight w:val="none"/>
        </w:rPr>
        <w:t xml:space="preserve"> </w:t>
      </w:r>
      <w:r>
        <w:rPr>
          <w:rFonts w:hint="eastAsia" w:ascii="宋体" w:hAnsi="宋体"/>
          <w:b/>
          <w:color w:val="auto"/>
          <w:sz w:val="32"/>
          <w:szCs w:val="32"/>
          <w:highlight w:val="none"/>
        </w:rPr>
        <w:t>函</w:t>
      </w:r>
    </w:p>
    <w:p w14:paraId="5A044B0D">
      <w:pPr>
        <w:spacing w:line="400" w:lineRule="exact"/>
        <w:jc w:val="center"/>
        <w:rPr>
          <w:rFonts w:ascii="宋体" w:hAnsi="宋体"/>
          <w:b/>
          <w:color w:val="auto"/>
          <w:szCs w:val="21"/>
          <w:highlight w:val="none"/>
        </w:rPr>
      </w:pPr>
    </w:p>
    <w:p w14:paraId="218F1DA4">
      <w:pPr>
        <w:tabs>
          <w:tab w:val="left" w:pos="0"/>
        </w:tabs>
        <w:spacing w:line="420" w:lineRule="auto"/>
        <w:jc w:val="center"/>
        <w:rPr>
          <w:color w:val="auto"/>
          <w:sz w:val="32"/>
          <w:szCs w:val="32"/>
          <w:highlight w:val="none"/>
        </w:rPr>
      </w:pPr>
      <w:r>
        <w:rPr>
          <w:rFonts w:hint="eastAsia"/>
          <w:color w:val="auto"/>
          <w:sz w:val="32"/>
          <w:szCs w:val="32"/>
          <w:highlight w:val="none"/>
        </w:rPr>
        <w:t>投 标 函</w:t>
      </w:r>
    </w:p>
    <w:p w14:paraId="2517061B">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color w:val="auto"/>
          <w:highlight w:val="none"/>
        </w:rPr>
      </w:pPr>
      <w:r>
        <w:rPr>
          <w:rFonts w:hint="eastAsia"/>
          <w:color w:val="auto"/>
          <w:highlight w:val="none"/>
        </w:rPr>
        <w:t>致：</w:t>
      </w:r>
      <w:r>
        <w:rPr>
          <w:rFonts w:hint="eastAsia"/>
          <w:color w:val="auto"/>
          <w:highlight w:val="none"/>
          <w:u w:val="single"/>
        </w:rPr>
        <w:t>（招标人名称）</w:t>
      </w:r>
    </w:p>
    <w:p w14:paraId="4EE888C4">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color w:val="auto"/>
          <w:highlight w:val="none"/>
        </w:rPr>
        <w:t>1</w:t>
      </w:r>
      <w:r>
        <w:rPr>
          <w:rFonts w:hint="eastAsia"/>
          <w:color w:val="auto"/>
          <w:highlight w:val="none"/>
        </w:rPr>
        <w:t>、根据已收到</w:t>
      </w:r>
      <w:r>
        <w:rPr>
          <w:rFonts w:hint="eastAsia"/>
          <w:color w:val="auto"/>
          <w:highlight w:val="none"/>
          <w:u w:val="single"/>
        </w:rPr>
        <w:t xml:space="preserve">        </w:t>
      </w:r>
      <w:r>
        <w:rPr>
          <w:rFonts w:hint="eastAsia"/>
          <w:color w:val="auto"/>
          <w:highlight w:val="none"/>
        </w:rPr>
        <w:t>工程的招标文件，我单位经考察现场和研究上述工程招标文件的投标须知、合同条件、技术规范、图纸、工程量清单和其他有关文件后，我方愿以人民币</w:t>
      </w:r>
      <w:r>
        <w:rPr>
          <w:rFonts w:hint="eastAsia"/>
          <w:color w:val="auto"/>
          <w:highlight w:val="none"/>
          <w:u w:val="single"/>
        </w:rPr>
        <w:t xml:space="preserve">     </w:t>
      </w:r>
      <w:r>
        <w:rPr>
          <w:rFonts w:hint="eastAsia"/>
          <w:color w:val="auto"/>
          <w:highlight w:val="none"/>
        </w:rPr>
        <w:t>万元的总价，按上述合同条件、技术规范、图纸、工程量清单的条件承包本工程的施工、竣工和保修。</w:t>
      </w:r>
    </w:p>
    <w:p w14:paraId="3D824F61">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color w:val="auto"/>
          <w:highlight w:val="none"/>
        </w:rPr>
        <w:t>2</w:t>
      </w:r>
      <w:r>
        <w:rPr>
          <w:rFonts w:hint="eastAsia"/>
          <w:color w:val="auto"/>
          <w:highlight w:val="none"/>
        </w:rPr>
        <w:t>、一旦我方中标，我方保证在收到招标人或监理工程师开工指令</w:t>
      </w:r>
      <w:r>
        <w:rPr>
          <w:rFonts w:hint="eastAsia"/>
          <w:color w:val="auto"/>
          <w:highlight w:val="none"/>
          <w:u w:val="single"/>
        </w:rPr>
        <w:t xml:space="preserve">      </w:t>
      </w:r>
      <w:r>
        <w:rPr>
          <w:rFonts w:hint="eastAsia"/>
          <w:color w:val="auto"/>
          <w:highlight w:val="none"/>
        </w:rPr>
        <w:t>天（日历日）内竣工并移交整个工程，工程质量为</w:t>
      </w:r>
      <w:r>
        <w:rPr>
          <w:rFonts w:hint="eastAsia"/>
          <w:color w:val="auto"/>
          <w:highlight w:val="none"/>
          <w:u w:val="single"/>
        </w:rPr>
        <w:t xml:space="preserve">      </w:t>
      </w:r>
      <w:r>
        <w:rPr>
          <w:rFonts w:hint="eastAsia"/>
          <w:color w:val="auto"/>
          <w:highlight w:val="none"/>
        </w:rPr>
        <w:t>。</w:t>
      </w:r>
    </w:p>
    <w:p w14:paraId="35F32419">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color w:val="auto"/>
          <w:highlight w:val="none"/>
        </w:rPr>
        <w:t>3</w:t>
      </w:r>
      <w:r>
        <w:rPr>
          <w:rFonts w:hint="eastAsia"/>
          <w:color w:val="auto"/>
          <w:highlight w:val="none"/>
        </w:rPr>
        <w:t>、如果我方中标，将派出</w:t>
      </w:r>
      <w:r>
        <w:rPr>
          <w:rFonts w:hint="eastAsia"/>
          <w:color w:val="auto"/>
          <w:highlight w:val="none"/>
          <w:u w:val="single"/>
        </w:rPr>
        <w:t xml:space="preserve">      </w:t>
      </w:r>
      <w:r>
        <w:rPr>
          <w:rFonts w:hint="eastAsia"/>
          <w:color w:val="auto"/>
          <w:highlight w:val="none"/>
        </w:rPr>
        <w:t>（注册建造师姓名）作为本工程的项目经理。</w:t>
      </w:r>
    </w:p>
    <w:p w14:paraId="3D74362E">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20" w:firstLineChars="200"/>
        <w:textAlignment w:val="auto"/>
        <w:rPr>
          <w:color w:val="auto"/>
          <w:highlight w:val="none"/>
        </w:rPr>
      </w:pPr>
      <w:r>
        <w:rPr>
          <w:rFonts w:hint="eastAsia"/>
          <w:color w:val="auto"/>
          <w:highlight w:val="none"/>
          <w:lang w:val="en-US" w:eastAsia="zh-CN"/>
        </w:rPr>
        <w:t>4</w:t>
      </w:r>
      <w:r>
        <w:rPr>
          <w:rFonts w:hint="eastAsia"/>
          <w:color w:val="auto"/>
          <w:highlight w:val="none"/>
        </w:rPr>
        <w:t>、我方同意所递交的投标文件在“投标须知”前附表规定的投标有效期内有效，在此期间内我方的投标有可能中标，我方将受此约束。</w:t>
      </w:r>
    </w:p>
    <w:p w14:paraId="73039301">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color w:val="auto"/>
          <w:highlight w:val="none"/>
          <w:lang w:val="en-US" w:eastAsia="zh-CN"/>
        </w:rPr>
        <w:t>5</w:t>
      </w:r>
      <w:r>
        <w:rPr>
          <w:rFonts w:hint="eastAsia"/>
          <w:color w:val="auto"/>
          <w:highlight w:val="none"/>
        </w:rPr>
        <w:t>、本工程的招标文件、纪要、补充说明、中标通知书等和本投标文件将构成约束我们双方的合同。</w:t>
      </w:r>
    </w:p>
    <w:p w14:paraId="290C72D0">
      <w:pPr>
        <w:spacing w:line="400" w:lineRule="exact"/>
        <w:ind w:firstLine="420"/>
        <w:rPr>
          <w:rFonts w:ascii="宋体" w:hAnsi="宋体"/>
          <w:color w:val="auto"/>
          <w:szCs w:val="21"/>
          <w:highlight w:val="none"/>
        </w:rPr>
      </w:pPr>
    </w:p>
    <w:p w14:paraId="1C2C3EBC">
      <w:pPr>
        <w:spacing w:line="400" w:lineRule="exact"/>
        <w:ind w:firstLine="420"/>
        <w:rPr>
          <w:rFonts w:ascii="宋体" w:hAnsi="宋体"/>
          <w:color w:val="auto"/>
          <w:szCs w:val="21"/>
          <w:highlight w:val="none"/>
        </w:rPr>
      </w:pPr>
    </w:p>
    <w:p w14:paraId="58649813">
      <w:pPr>
        <w:spacing w:line="400" w:lineRule="exact"/>
        <w:rPr>
          <w:rFonts w:ascii="宋体" w:hAnsi="宋体"/>
          <w:color w:val="auto"/>
          <w:szCs w:val="21"/>
          <w:highlight w:val="none"/>
        </w:rPr>
      </w:pPr>
      <w:r>
        <w:rPr>
          <w:rFonts w:hint="eastAsia" w:ascii="宋体" w:hAnsi="宋体"/>
          <w:color w:val="auto"/>
          <w:szCs w:val="21"/>
          <w:highlight w:val="none"/>
        </w:rPr>
        <w:t>投标单位</w:t>
      </w:r>
      <w:r>
        <w:rPr>
          <w:rFonts w:hint="eastAsia" w:ascii="宋体" w:hAnsi="宋体"/>
          <w:color w:val="auto"/>
          <w:szCs w:val="21"/>
          <w:highlight w:val="none"/>
          <w:lang w:eastAsia="zh-CN"/>
        </w:rPr>
        <w:t>（</w:t>
      </w:r>
      <w:r>
        <w:rPr>
          <w:rFonts w:ascii="宋体" w:hAnsi="宋体"/>
          <w:color w:val="auto"/>
          <w:szCs w:val="21"/>
          <w:highlight w:val="none"/>
        </w:rPr>
        <w:t>签 章</w:t>
      </w:r>
      <w:r>
        <w:rPr>
          <w:rFonts w:hint="eastAsia" w:ascii="宋体" w:hAnsi="宋体"/>
          <w:color w:val="auto"/>
          <w:szCs w:val="21"/>
          <w:highlight w:val="none"/>
          <w:lang w:eastAsia="zh-CN"/>
        </w:rPr>
        <w:t>）</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4E04E595">
      <w:pPr>
        <w:spacing w:line="400" w:lineRule="exact"/>
        <w:rPr>
          <w:rFonts w:ascii="宋体" w:hAnsi="宋体"/>
          <w:color w:val="auto"/>
          <w:szCs w:val="21"/>
          <w:highlight w:val="none"/>
        </w:rPr>
      </w:pPr>
    </w:p>
    <w:p w14:paraId="6A74BE26">
      <w:pPr>
        <w:spacing w:line="400" w:lineRule="exact"/>
        <w:rPr>
          <w:rFonts w:ascii="宋体" w:hAnsi="宋体"/>
          <w:color w:val="auto"/>
          <w:szCs w:val="21"/>
          <w:highlight w:val="none"/>
        </w:rPr>
      </w:pPr>
      <w:r>
        <w:rPr>
          <w:rFonts w:hint="eastAsia" w:ascii="宋体" w:hAnsi="宋体"/>
          <w:color w:val="auto"/>
          <w:szCs w:val="21"/>
          <w:highlight w:val="none"/>
        </w:rPr>
        <w:t>法定代表人（签</w:t>
      </w:r>
      <w:r>
        <w:rPr>
          <w:rFonts w:ascii="宋体" w:hAnsi="宋体"/>
          <w:color w:val="auto"/>
          <w:szCs w:val="21"/>
          <w:highlight w:val="none"/>
        </w:rPr>
        <w:t xml:space="preserve"> 章）</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133247EE">
      <w:pPr>
        <w:spacing w:line="400" w:lineRule="exact"/>
        <w:rPr>
          <w:rFonts w:ascii="宋体" w:hAnsi="宋体"/>
          <w:color w:val="auto"/>
          <w:szCs w:val="21"/>
          <w:highlight w:val="none"/>
        </w:rPr>
      </w:pPr>
    </w:p>
    <w:p w14:paraId="3678B2BE">
      <w:pPr>
        <w:spacing w:line="400" w:lineRule="exact"/>
        <w:rPr>
          <w:rFonts w:ascii="宋体" w:hAnsi="宋体"/>
          <w:color w:val="auto"/>
          <w:szCs w:val="21"/>
          <w:highlight w:val="none"/>
          <w:u w:val="single"/>
        </w:rPr>
      </w:pPr>
      <w:r>
        <w:rPr>
          <w:rFonts w:hint="eastAsia" w:ascii="宋体" w:hAnsi="宋体"/>
          <w:color w:val="auto"/>
          <w:szCs w:val="21"/>
          <w:highlight w:val="none"/>
        </w:rPr>
        <w:t>投标单位地址：</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0E145F6A">
      <w:pPr>
        <w:spacing w:line="400" w:lineRule="exact"/>
        <w:rPr>
          <w:rFonts w:ascii="宋体" w:hAnsi="宋体"/>
          <w:color w:val="auto"/>
          <w:szCs w:val="21"/>
          <w:highlight w:val="none"/>
          <w:u w:val="single"/>
        </w:rPr>
      </w:pPr>
    </w:p>
    <w:p w14:paraId="67FEA469">
      <w:pPr>
        <w:spacing w:line="400" w:lineRule="exact"/>
        <w:rPr>
          <w:rFonts w:ascii="宋体" w:hAnsi="宋体"/>
          <w:color w:val="auto"/>
          <w:szCs w:val="21"/>
          <w:highlight w:val="none"/>
          <w:u w:val="single"/>
        </w:rPr>
      </w:pPr>
      <w:r>
        <w:rPr>
          <w:rFonts w:hint="eastAsia" w:ascii="宋体" w:hAnsi="宋体"/>
          <w:color w:val="auto"/>
          <w:szCs w:val="21"/>
          <w:highlight w:val="none"/>
        </w:rPr>
        <w:t>电</w:t>
      </w:r>
      <w:r>
        <w:rPr>
          <w:rFonts w:ascii="宋体" w:hAnsi="宋体"/>
          <w:color w:val="auto"/>
          <w:szCs w:val="21"/>
          <w:highlight w:val="none"/>
        </w:rPr>
        <w:t xml:space="preserve">     话： </w:t>
      </w:r>
      <w:r>
        <w:rPr>
          <w:rFonts w:ascii="宋体" w:hAnsi="宋体"/>
          <w:color w:val="auto"/>
          <w:szCs w:val="21"/>
          <w:highlight w:val="none"/>
          <w:u w:val="single"/>
        </w:rPr>
        <w:t xml:space="preserve">              </w:t>
      </w:r>
      <w:r>
        <w:rPr>
          <w:rFonts w:ascii="宋体" w:hAnsi="宋体"/>
          <w:color w:val="auto"/>
          <w:szCs w:val="21"/>
          <w:highlight w:val="none"/>
        </w:rPr>
        <w:t xml:space="preserve">          传     真： </w:t>
      </w:r>
      <w:r>
        <w:rPr>
          <w:rFonts w:ascii="宋体" w:hAnsi="宋体"/>
          <w:color w:val="auto"/>
          <w:szCs w:val="21"/>
          <w:highlight w:val="none"/>
          <w:u w:val="single"/>
        </w:rPr>
        <w:t xml:space="preserve">              </w:t>
      </w:r>
    </w:p>
    <w:p w14:paraId="3098F672">
      <w:pPr>
        <w:spacing w:line="400" w:lineRule="exact"/>
        <w:rPr>
          <w:rFonts w:ascii="宋体" w:hAnsi="宋体"/>
          <w:color w:val="auto"/>
          <w:szCs w:val="21"/>
          <w:highlight w:val="none"/>
        </w:rPr>
      </w:pPr>
    </w:p>
    <w:p w14:paraId="69F00B10">
      <w:pPr>
        <w:spacing w:line="400" w:lineRule="exact"/>
        <w:rPr>
          <w:rFonts w:ascii="宋体" w:hAnsi="宋体"/>
          <w:b/>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lang w:eastAsia="zh-CN"/>
        </w:rPr>
        <w:t>：</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日期：</w:t>
      </w:r>
      <w:r>
        <w:rPr>
          <w:rFonts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rPr>
        <w:t>月</w:t>
      </w:r>
      <w:r>
        <w:rPr>
          <w:rFonts w:ascii="宋体" w:hAnsi="宋体"/>
          <w:color w:val="auto"/>
          <w:szCs w:val="21"/>
          <w:highlight w:val="none"/>
          <w:u w:val="single"/>
        </w:rPr>
        <w:t xml:space="preserve">      </w:t>
      </w:r>
      <w:r>
        <w:rPr>
          <w:rFonts w:hint="eastAsia" w:ascii="宋体" w:hAnsi="宋体"/>
          <w:color w:val="auto"/>
          <w:szCs w:val="21"/>
          <w:highlight w:val="none"/>
        </w:rPr>
        <w:t>日</w:t>
      </w:r>
    </w:p>
    <w:p w14:paraId="5519D760">
      <w:pPr>
        <w:spacing w:line="400" w:lineRule="exact"/>
        <w:jc w:val="center"/>
        <w:rPr>
          <w:rFonts w:ascii="宋体" w:hAnsi="宋体"/>
          <w:color w:val="auto"/>
          <w:sz w:val="32"/>
          <w:szCs w:val="32"/>
          <w:highlight w:val="none"/>
        </w:rPr>
      </w:pPr>
    </w:p>
    <w:p w14:paraId="19ABDAC9">
      <w:pPr>
        <w:spacing w:line="400" w:lineRule="exact"/>
        <w:jc w:val="center"/>
        <w:rPr>
          <w:rFonts w:ascii="宋体" w:hAnsi="宋体"/>
          <w:color w:val="auto"/>
          <w:sz w:val="32"/>
          <w:szCs w:val="32"/>
          <w:highlight w:val="none"/>
        </w:rPr>
      </w:pPr>
      <w:r>
        <w:rPr>
          <w:rFonts w:hint="eastAsia" w:ascii="宋体" w:hAnsi="宋体"/>
          <w:color w:val="auto"/>
          <w:sz w:val="32"/>
          <w:szCs w:val="32"/>
          <w:highlight w:val="none"/>
        </w:rPr>
        <w:br w:type="page"/>
      </w:r>
      <w:r>
        <w:rPr>
          <w:rFonts w:hint="eastAsia" w:ascii="宋体" w:hAnsi="宋体"/>
          <w:color w:val="auto"/>
          <w:sz w:val="32"/>
          <w:szCs w:val="32"/>
          <w:highlight w:val="none"/>
        </w:rPr>
        <w:t>法定代表人资格证明书</w:t>
      </w:r>
    </w:p>
    <w:p w14:paraId="4C7BF9E8">
      <w:pPr>
        <w:spacing w:line="400" w:lineRule="exact"/>
        <w:ind w:firstLine="420"/>
        <w:jc w:val="center"/>
        <w:rPr>
          <w:rFonts w:ascii="宋体" w:hAnsi="宋体"/>
          <w:b/>
          <w:color w:val="auto"/>
          <w:szCs w:val="21"/>
          <w:highlight w:val="none"/>
        </w:rPr>
      </w:pPr>
    </w:p>
    <w:p w14:paraId="215FC1D0">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单位名称：</w:t>
      </w:r>
      <w:r>
        <w:rPr>
          <w:rFonts w:hint="eastAsia" w:ascii="宋体" w:hAnsi="宋体"/>
          <w:color w:val="auto"/>
          <w:szCs w:val="21"/>
          <w:highlight w:val="none"/>
          <w:u w:val="single"/>
        </w:rPr>
        <w:t xml:space="preserve">                  </w:t>
      </w:r>
    </w:p>
    <w:p w14:paraId="17946D84">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地址：</w:t>
      </w:r>
      <w:r>
        <w:rPr>
          <w:rFonts w:hint="eastAsia" w:ascii="宋体" w:hAnsi="宋体"/>
          <w:color w:val="auto"/>
          <w:szCs w:val="21"/>
          <w:highlight w:val="none"/>
          <w:u w:val="single"/>
        </w:rPr>
        <w:t xml:space="preserve">                      </w:t>
      </w:r>
    </w:p>
    <w:p w14:paraId="47A6631C">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性别：</w:t>
      </w:r>
      <w:r>
        <w:rPr>
          <w:rFonts w:ascii="宋体" w:hAnsi="宋体"/>
          <w:color w:val="auto"/>
          <w:szCs w:val="21"/>
          <w:highlight w:val="none"/>
          <w:u w:val="single"/>
        </w:rPr>
        <w:t xml:space="preserve">            </w:t>
      </w:r>
      <w:r>
        <w:rPr>
          <w:rFonts w:ascii="宋体" w:hAnsi="宋体"/>
          <w:color w:val="auto"/>
          <w:szCs w:val="21"/>
          <w:highlight w:val="none"/>
        </w:rPr>
        <w:t>年龄：</w:t>
      </w:r>
      <w:r>
        <w:rPr>
          <w:rFonts w:ascii="宋体" w:hAnsi="宋体"/>
          <w:color w:val="auto"/>
          <w:szCs w:val="21"/>
          <w:highlight w:val="none"/>
          <w:u w:val="single"/>
        </w:rPr>
        <w:t xml:space="preserve">              </w:t>
      </w:r>
      <w:r>
        <w:rPr>
          <w:rFonts w:ascii="宋体" w:hAnsi="宋体"/>
          <w:color w:val="auto"/>
          <w:szCs w:val="21"/>
          <w:highlight w:val="none"/>
        </w:rPr>
        <w:t>职务：</w:t>
      </w:r>
      <w:r>
        <w:rPr>
          <w:rFonts w:hint="eastAsia" w:ascii="宋体" w:hAnsi="宋体"/>
          <w:color w:val="auto"/>
          <w:szCs w:val="21"/>
          <w:highlight w:val="none"/>
          <w:u w:val="single"/>
        </w:rPr>
        <w:t xml:space="preserve">                  </w:t>
      </w:r>
    </w:p>
    <w:p w14:paraId="7FF8D8B6">
      <w:pPr>
        <w:pStyle w:val="15"/>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p>
    <w:p w14:paraId="4D905702">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系</w:t>
      </w:r>
      <w:r>
        <w:rPr>
          <w:rFonts w:ascii="宋体" w:hAnsi="宋体"/>
          <w:color w:val="auto"/>
          <w:szCs w:val="21"/>
          <w:highlight w:val="none"/>
          <w:u w:val="single"/>
        </w:rPr>
        <w:t xml:space="preserve">                       </w:t>
      </w:r>
      <w:r>
        <w:rPr>
          <w:rFonts w:hint="eastAsia" w:ascii="宋体" w:hAnsi="宋体"/>
          <w:color w:val="auto"/>
          <w:szCs w:val="21"/>
          <w:highlight w:val="none"/>
        </w:rPr>
        <w:t>的法定代表人。为施工、竣工和保修</w:t>
      </w:r>
      <w:r>
        <w:rPr>
          <w:rFonts w:ascii="宋体" w:hAnsi="宋体"/>
          <w:color w:val="auto"/>
          <w:szCs w:val="21"/>
          <w:highlight w:val="none"/>
          <w:u w:val="single"/>
        </w:rPr>
        <w:t xml:space="preserve">               </w:t>
      </w:r>
      <w:r>
        <w:rPr>
          <w:rFonts w:hint="eastAsia" w:ascii="宋体" w:hAnsi="宋体"/>
          <w:color w:val="auto"/>
          <w:szCs w:val="21"/>
          <w:highlight w:val="none"/>
        </w:rPr>
        <w:t>的工程，签署上述工程的投标文件、进行合同谈判、签署合同和处理与之有关的一切事务。</w:t>
      </w:r>
    </w:p>
    <w:p w14:paraId="68163491">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p>
    <w:p w14:paraId="1F75A806">
      <w:pPr>
        <w:pStyle w:val="15"/>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特此证明。</w:t>
      </w:r>
    </w:p>
    <w:p w14:paraId="23987652">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授权人：（盖章）</w:t>
      </w:r>
      <w:r>
        <w:rPr>
          <w:rFonts w:ascii="宋体" w:hAnsi="宋体"/>
          <w:color w:val="auto"/>
          <w:szCs w:val="21"/>
          <w:highlight w:val="none"/>
        </w:rPr>
        <w:t xml:space="preserve"> </w:t>
      </w:r>
    </w:p>
    <w:p w14:paraId="1158E846">
      <w:pPr>
        <w:spacing w:line="400" w:lineRule="exact"/>
        <w:ind w:firstLine="5040"/>
        <w:rPr>
          <w:rFonts w:ascii="宋体" w:hAnsi="宋体"/>
          <w:color w:val="auto"/>
          <w:szCs w:val="21"/>
          <w:highlight w:val="none"/>
        </w:rPr>
      </w:pPr>
    </w:p>
    <w:p w14:paraId="63BD7244">
      <w:pPr>
        <w:spacing w:line="400" w:lineRule="exact"/>
        <w:ind w:firstLine="5040"/>
        <w:rPr>
          <w:rFonts w:ascii="宋体" w:hAnsi="宋体"/>
          <w:b/>
          <w:color w:val="auto"/>
          <w:szCs w:val="21"/>
          <w:highlight w:val="none"/>
        </w:rPr>
      </w:pPr>
      <w:r>
        <w:rPr>
          <w:rFonts w:hint="eastAsia" w:ascii="宋体" w:hAnsi="宋体"/>
          <w:color w:val="auto"/>
          <w:szCs w:val="21"/>
          <w:highlight w:val="none"/>
        </w:rPr>
        <w:t>日期：</w:t>
      </w:r>
      <w:r>
        <w:rPr>
          <w:rFonts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rPr>
        <w:t>月</w:t>
      </w:r>
      <w:r>
        <w:rPr>
          <w:rFonts w:ascii="宋体" w:hAnsi="宋体"/>
          <w:color w:val="auto"/>
          <w:szCs w:val="21"/>
          <w:highlight w:val="none"/>
          <w:u w:val="single"/>
        </w:rPr>
        <w:t xml:space="preserve">      </w:t>
      </w:r>
      <w:r>
        <w:rPr>
          <w:rFonts w:hint="eastAsia" w:ascii="宋体" w:hAnsi="宋体"/>
          <w:color w:val="auto"/>
          <w:szCs w:val="21"/>
          <w:highlight w:val="none"/>
        </w:rPr>
        <w:t>日</w:t>
      </w:r>
    </w:p>
    <w:p w14:paraId="7176B442">
      <w:pPr>
        <w:spacing w:line="400" w:lineRule="exact"/>
        <w:ind w:firstLine="420"/>
        <w:jc w:val="center"/>
        <w:rPr>
          <w:rFonts w:ascii="宋体" w:hAnsi="宋体"/>
          <w:b/>
          <w:color w:val="auto"/>
          <w:szCs w:val="21"/>
          <w:highlight w:val="none"/>
        </w:rPr>
      </w:pPr>
    </w:p>
    <w:p w14:paraId="251467BC">
      <w:pPr>
        <w:spacing w:line="400" w:lineRule="exact"/>
        <w:ind w:firstLine="420"/>
        <w:jc w:val="center"/>
        <w:rPr>
          <w:rFonts w:ascii="宋体" w:hAnsi="宋体"/>
          <w:b/>
          <w:color w:val="auto"/>
          <w:szCs w:val="21"/>
          <w:highlight w:val="none"/>
        </w:rPr>
      </w:pPr>
    </w:p>
    <w:p w14:paraId="643906F7">
      <w:pPr>
        <w:spacing w:line="400" w:lineRule="exact"/>
        <w:ind w:firstLine="420"/>
        <w:jc w:val="center"/>
        <w:rPr>
          <w:rFonts w:ascii="宋体" w:hAnsi="宋体"/>
          <w:b/>
          <w:color w:val="auto"/>
          <w:szCs w:val="21"/>
          <w:highlight w:val="none"/>
        </w:rPr>
      </w:pPr>
    </w:p>
    <w:p w14:paraId="365AC9A2">
      <w:pPr>
        <w:spacing w:line="400" w:lineRule="exact"/>
        <w:jc w:val="center"/>
        <w:rPr>
          <w:rFonts w:ascii="宋体" w:hAnsi="宋体"/>
          <w:color w:val="auto"/>
          <w:sz w:val="32"/>
          <w:szCs w:val="32"/>
          <w:highlight w:val="none"/>
        </w:rPr>
      </w:pPr>
      <w:r>
        <w:rPr>
          <w:rFonts w:hint="eastAsia" w:ascii="宋体" w:hAnsi="宋体"/>
          <w:color w:val="auto"/>
          <w:sz w:val="32"/>
          <w:szCs w:val="32"/>
          <w:highlight w:val="none"/>
        </w:rPr>
        <w:t>授</w:t>
      </w:r>
      <w:r>
        <w:rPr>
          <w:rFonts w:ascii="宋体" w:hAnsi="宋体"/>
          <w:color w:val="auto"/>
          <w:sz w:val="32"/>
          <w:szCs w:val="32"/>
          <w:highlight w:val="none"/>
        </w:rPr>
        <w:t xml:space="preserve">   权   书</w:t>
      </w:r>
    </w:p>
    <w:p w14:paraId="3B91C633">
      <w:pPr>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致：</w:t>
      </w:r>
      <w:r>
        <w:rPr>
          <w:rFonts w:ascii="宋体" w:hAnsi="宋体"/>
          <w:color w:val="auto"/>
          <w:szCs w:val="21"/>
          <w:highlight w:val="none"/>
          <w:u w:val="single"/>
        </w:rPr>
        <w:t xml:space="preserve">                         </w:t>
      </w:r>
      <w:r>
        <w:rPr>
          <w:rFonts w:ascii="宋体" w:hAnsi="宋体"/>
          <w:color w:val="auto"/>
          <w:szCs w:val="21"/>
          <w:highlight w:val="none"/>
        </w:rPr>
        <w:t xml:space="preserve"> </w:t>
      </w:r>
    </w:p>
    <w:p w14:paraId="23637352">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本授权书委托声明：我</w:t>
      </w:r>
      <w:r>
        <w:rPr>
          <w:rFonts w:ascii="宋体" w:hAnsi="宋体"/>
          <w:color w:val="auto"/>
          <w:szCs w:val="21"/>
          <w:highlight w:val="none"/>
          <w:u w:val="single"/>
        </w:rPr>
        <w:t xml:space="preserve">            </w:t>
      </w:r>
      <w:r>
        <w:rPr>
          <w:rFonts w:hint="eastAsia" w:ascii="宋体" w:hAnsi="宋体"/>
          <w:color w:val="auto"/>
          <w:szCs w:val="21"/>
          <w:highlight w:val="none"/>
        </w:rPr>
        <w:t>（姓名）系</w:t>
      </w:r>
      <w:r>
        <w:rPr>
          <w:rFonts w:ascii="宋体" w:hAnsi="宋体"/>
          <w:color w:val="auto"/>
          <w:szCs w:val="21"/>
          <w:highlight w:val="none"/>
          <w:u w:val="single"/>
        </w:rPr>
        <w:t xml:space="preserve">            </w:t>
      </w:r>
      <w:r>
        <w:rPr>
          <w:rFonts w:hint="eastAsia" w:ascii="宋体" w:hAnsi="宋体"/>
          <w:color w:val="auto"/>
          <w:szCs w:val="21"/>
          <w:highlight w:val="none"/>
        </w:rPr>
        <w:t>（投标人名称）的法定代表人，现授权委托</w:t>
      </w:r>
      <w:r>
        <w:rPr>
          <w:rFonts w:ascii="宋体" w:hAnsi="宋体"/>
          <w:color w:val="auto"/>
          <w:szCs w:val="21"/>
          <w:highlight w:val="none"/>
          <w:u w:val="single"/>
        </w:rPr>
        <w:t xml:space="preserve">                        </w:t>
      </w:r>
      <w:r>
        <w:rPr>
          <w:rFonts w:hint="eastAsia" w:ascii="宋体" w:hAnsi="宋体"/>
          <w:color w:val="auto"/>
          <w:szCs w:val="21"/>
          <w:highlight w:val="none"/>
        </w:rPr>
        <w:t>（单位名称）的</w:t>
      </w:r>
      <w:r>
        <w:rPr>
          <w:rFonts w:ascii="宋体" w:hAnsi="宋体"/>
          <w:color w:val="auto"/>
          <w:szCs w:val="21"/>
          <w:highlight w:val="none"/>
          <w:u w:val="single"/>
        </w:rPr>
        <w:t xml:space="preserve">            </w:t>
      </w:r>
      <w:r>
        <w:rPr>
          <w:rFonts w:hint="eastAsia" w:ascii="宋体" w:hAnsi="宋体"/>
          <w:color w:val="auto"/>
          <w:szCs w:val="21"/>
          <w:highlight w:val="none"/>
        </w:rPr>
        <w:t>（姓名）为我公司代理人，以本公司的名义参加</w:t>
      </w:r>
      <w:r>
        <w:rPr>
          <w:rFonts w:ascii="宋体" w:hAnsi="宋体"/>
          <w:color w:val="auto"/>
          <w:szCs w:val="21"/>
          <w:highlight w:val="none"/>
          <w:u w:val="single"/>
        </w:rPr>
        <w:t xml:space="preserve">                           </w:t>
      </w:r>
      <w:r>
        <w:rPr>
          <w:rFonts w:hint="eastAsia" w:ascii="宋体" w:hAnsi="宋体"/>
          <w:color w:val="auto"/>
          <w:szCs w:val="21"/>
          <w:highlight w:val="none"/>
        </w:rPr>
        <w:t>（招标人）的</w:t>
      </w:r>
      <w:r>
        <w:rPr>
          <w:rFonts w:ascii="宋体" w:hAnsi="宋体"/>
          <w:color w:val="auto"/>
          <w:szCs w:val="21"/>
          <w:highlight w:val="none"/>
          <w:u w:val="single"/>
        </w:rPr>
        <w:t xml:space="preserve">         </w:t>
      </w:r>
      <w:r>
        <w:rPr>
          <w:rFonts w:hint="eastAsia" w:ascii="宋体" w:hAnsi="宋体"/>
          <w:color w:val="auto"/>
          <w:szCs w:val="21"/>
          <w:highlight w:val="none"/>
        </w:rPr>
        <w:t>工程的投标活动，代理人在开标、评标、合同谈判过程中所签署的一切文件和处理与之有关的一切事务，我均予以承认。</w:t>
      </w:r>
    </w:p>
    <w:p w14:paraId="632BFA20">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代理人无转委托权。特此委托。</w:t>
      </w:r>
    </w:p>
    <w:p w14:paraId="47F5AD53">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代理人：</w:t>
      </w:r>
      <w:r>
        <w:rPr>
          <w:rFonts w:ascii="宋体" w:hAnsi="宋体"/>
          <w:color w:val="auto"/>
          <w:szCs w:val="21"/>
          <w:highlight w:val="none"/>
        </w:rPr>
        <w:t xml:space="preserve">             性别：                 年龄：</w:t>
      </w:r>
    </w:p>
    <w:p w14:paraId="5C8163F8">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单位：</w:t>
      </w:r>
      <w:r>
        <w:rPr>
          <w:rFonts w:ascii="宋体" w:hAnsi="宋体"/>
          <w:color w:val="auto"/>
          <w:szCs w:val="21"/>
          <w:highlight w:val="none"/>
        </w:rPr>
        <w:t xml:space="preserve">               部门：                 职务：</w:t>
      </w:r>
    </w:p>
    <w:p w14:paraId="06C8E2DF">
      <w:pPr>
        <w:keepNext w:val="0"/>
        <w:keepLines w:val="0"/>
        <w:pageBreakBefore w:val="0"/>
        <w:widowControl w:val="0"/>
        <w:tabs>
          <w:tab w:val="left" w:pos="210"/>
          <w:tab w:val="left" w:pos="7035"/>
        </w:tabs>
        <w:kinsoku/>
        <w:wordWrap/>
        <w:overflowPunct/>
        <w:topLinePunct w:val="0"/>
        <w:autoSpaceDE/>
        <w:autoSpaceDN/>
        <w:bidi w:val="0"/>
        <w:adjustRightInd/>
        <w:snapToGrid/>
        <w:spacing w:line="460" w:lineRule="exact"/>
        <w:ind w:firstLine="420"/>
        <w:textAlignment w:val="auto"/>
        <w:rPr>
          <w:rFonts w:ascii="宋体" w:hAnsi="宋体"/>
          <w:color w:val="auto"/>
          <w:szCs w:val="21"/>
          <w:highlight w:val="none"/>
        </w:rPr>
      </w:pPr>
      <w:r>
        <w:rPr>
          <w:rFonts w:hint="eastAsia" w:ascii="宋体" w:hAnsi="宋体"/>
          <w:color w:val="auto"/>
          <w:szCs w:val="21"/>
          <w:highlight w:val="none"/>
        </w:rPr>
        <w:t>投标人：（盖章）</w:t>
      </w:r>
    </w:p>
    <w:p w14:paraId="35A39BB1">
      <w:pPr>
        <w:pStyle w:val="15"/>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color w:val="auto"/>
          <w:kern w:val="0"/>
          <w:szCs w:val="21"/>
          <w:highlight w:val="none"/>
        </w:rPr>
      </w:pPr>
      <w:r>
        <w:rPr>
          <w:rFonts w:hint="eastAsia" w:ascii="宋体" w:hAnsi="宋体"/>
          <w:color w:val="auto"/>
          <w:kern w:val="0"/>
          <w:szCs w:val="21"/>
          <w:highlight w:val="none"/>
        </w:rPr>
        <w:t>法定代表人：（盖章）</w:t>
      </w:r>
    </w:p>
    <w:p w14:paraId="744C4F3E">
      <w:pPr>
        <w:keepNext w:val="0"/>
        <w:keepLines w:val="0"/>
        <w:pageBreakBefore w:val="0"/>
        <w:widowControl w:val="0"/>
        <w:kinsoku/>
        <w:wordWrap/>
        <w:overflowPunct/>
        <w:topLinePunct w:val="0"/>
        <w:autoSpaceDE/>
        <w:autoSpaceDN/>
        <w:bidi w:val="0"/>
        <w:adjustRightInd/>
        <w:snapToGrid/>
        <w:spacing w:line="460" w:lineRule="exact"/>
        <w:ind w:firstLine="420"/>
        <w:jc w:val="right"/>
        <w:textAlignment w:val="auto"/>
        <w:rPr>
          <w:rFonts w:ascii="楷体_GB2312" w:hAnsi="宋体" w:eastAsia="楷体_GB2312"/>
          <w:color w:val="auto"/>
          <w:szCs w:val="21"/>
          <w:highlight w:val="none"/>
        </w:rPr>
      </w:pPr>
      <w:r>
        <w:rPr>
          <w:rFonts w:ascii="楷体_GB2312" w:hAnsi="宋体" w:eastAsia="楷体_GB2312"/>
          <w:color w:val="auto"/>
          <w:szCs w:val="21"/>
          <w:highlight w:val="none"/>
        </w:rPr>
        <w:t xml:space="preserve">                                </w:t>
      </w:r>
    </w:p>
    <w:p w14:paraId="4F8036F3">
      <w:pPr>
        <w:keepNext w:val="0"/>
        <w:keepLines w:val="0"/>
        <w:pageBreakBefore w:val="0"/>
        <w:widowControl w:val="0"/>
        <w:kinsoku/>
        <w:wordWrap/>
        <w:overflowPunct/>
        <w:topLinePunct w:val="0"/>
        <w:autoSpaceDE/>
        <w:autoSpaceDN/>
        <w:bidi w:val="0"/>
        <w:adjustRightInd/>
        <w:snapToGrid/>
        <w:spacing w:line="460" w:lineRule="exact"/>
        <w:ind w:firstLine="420"/>
        <w:jc w:val="right"/>
        <w:textAlignment w:val="auto"/>
        <w:rPr>
          <w:rFonts w:ascii="楷体_GB2312" w:hAnsi="宋体" w:eastAsia="楷体_GB2312"/>
          <w:color w:val="auto"/>
          <w:szCs w:val="21"/>
          <w:highlight w:val="none"/>
        </w:rPr>
      </w:pPr>
    </w:p>
    <w:p w14:paraId="1B135C1B">
      <w:pPr>
        <w:keepNext w:val="0"/>
        <w:keepLines w:val="0"/>
        <w:pageBreakBefore w:val="0"/>
        <w:widowControl w:val="0"/>
        <w:kinsoku/>
        <w:wordWrap/>
        <w:overflowPunct/>
        <w:topLinePunct w:val="0"/>
        <w:autoSpaceDE/>
        <w:autoSpaceDN/>
        <w:bidi w:val="0"/>
        <w:adjustRightInd/>
        <w:snapToGrid/>
        <w:spacing w:line="460" w:lineRule="exact"/>
        <w:ind w:firstLine="420"/>
        <w:jc w:val="right"/>
        <w:textAlignment w:val="auto"/>
        <w:rPr>
          <w:rFonts w:ascii="宋体" w:hAnsi="宋体"/>
          <w:color w:val="auto"/>
          <w:szCs w:val="21"/>
          <w:highlight w:val="none"/>
        </w:rPr>
      </w:pPr>
      <w:r>
        <w:rPr>
          <w:rFonts w:ascii="楷体_GB2312" w:hAnsi="宋体" w:eastAsia="楷体_GB2312"/>
          <w:color w:val="auto"/>
          <w:szCs w:val="21"/>
          <w:highlight w:val="none"/>
        </w:rPr>
        <w:t xml:space="preserve">   </w:t>
      </w:r>
      <w:r>
        <w:rPr>
          <w:rFonts w:hint="eastAsia" w:ascii="宋体" w:hAnsi="宋体"/>
          <w:color w:val="auto"/>
          <w:szCs w:val="21"/>
          <w:highlight w:val="none"/>
        </w:rPr>
        <w:t xml:space="preserve">  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4686CCA">
      <w:pPr>
        <w:pStyle w:val="24"/>
        <w:adjustRightInd w:val="0"/>
        <w:snapToGrid w:val="0"/>
        <w:spacing w:line="300" w:lineRule="auto"/>
        <w:jc w:val="right"/>
        <w:rPr>
          <w:rFonts w:hAnsi="宋体"/>
          <w:color w:val="auto"/>
          <w:highlight w:val="none"/>
        </w:rPr>
      </w:pPr>
    </w:p>
    <w:p w14:paraId="5B446144">
      <w:pPr>
        <w:spacing w:line="600" w:lineRule="exact"/>
        <w:jc w:val="center"/>
        <w:rPr>
          <w:rFonts w:ascii="宋体" w:hAnsi="宋体"/>
          <w:b/>
          <w:bCs/>
          <w:color w:val="auto"/>
          <w:szCs w:val="21"/>
          <w:highlight w:val="none"/>
        </w:rPr>
      </w:pPr>
    </w:p>
    <w:p w14:paraId="5EB8FE16">
      <w:pPr>
        <w:pageBreakBefore/>
        <w:jc w:val="center"/>
        <w:rPr>
          <w:rFonts w:ascii="宋体" w:hAnsi="宋体"/>
          <w:b/>
          <w:color w:val="auto"/>
          <w:sz w:val="32"/>
          <w:szCs w:val="32"/>
          <w:highlight w:val="none"/>
        </w:rPr>
      </w:pPr>
      <w:r>
        <w:rPr>
          <w:rFonts w:hint="eastAsia" w:ascii="宋体" w:hAnsi="宋体"/>
          <w:b/>
          <w:color w:val="auto"/>
          <w:sz w:val="32"/>
          <w:szCs w:val="32"/>
          <w:highlight w:val="none"/>
        </w:rPr>
        <w:t>建设工地文明施工承诺书</w:t>
      </w:r>
    </w:p>
    <w:p w14:paraId="5FD180A4">
      <w:pPr>
        <w:snapToGrid w:val="0"/>
        <w:rPr>
          <w:color w:val="auto"/>
          <w:szCs w:val="21"/>
          <w:highlight w:val="none"/>
        </w:rPr>
      </w:pPr>
    </w:p>
    <w:p w14:paraId="277D7378">
      <w:pPr>
        <w:keepNext w:val="0"/>
        <w:keepLines w:val="0"/>
        <w:pageBreakBefore w:val="0"/>
        <w:widowControl w:val="0"/>
        <w:kinsoku/>
        <w:wordWrap/>
        <w:overflowPunct/>
        <w:topLinePunct w:val="0"/>
        <w:autoSpaceDE/>
        <w:autoSpaceDN/>
        <w:bidi w:val="0"/>
        <w:adjustRightInd/>
        <w:snapToGrid w:val="0"/>
        <w:spacing w:line="460" w:lineRule="exact"/>
        <w:ind w:firstLine="480"/>
        <w:textAlignment w:val="auto"/>
        <w:rPr>
          <w:rFonts w:ascii="宋体" w:hAnsi="宋体"/>
          <w:color w:val="auto"/>
          <w:szCs w:val="21"/>
          <w:highlight w:val="none"/>
        </w:rPr>
      </w:pPr>
      <w:r>
        <w:rPr>
          <w:rFonts w:hint="eastAsia" w:ascii="宋体" w:hAnsi="宋体"/>
          <w:color w:val="auto"/>
          <w:szCs w:val="21"/>
          <w:highlight w:val="none"/>
        </w:rPr>
        <w:t>为进一步提高建设工地文明施工水平</w:t>
      </w:r>
      <w:r>
        <w:rPr>
          <w:rFonts w:hint="eastAsia" w:ascii="宋体" w:hAnsi="宋体"/>
          <w:color w:val="auto"/>
          <w:szCs w:val="21"/>
          <w:highlight w:val="none"/>
          <w:lang w:eastAsia="zh-CN"/>
        </w:rPr>
        <w:t>，</w:t>
      </w:r>
      <w:r>
        <w:rPr>
          <w:rFonts w:hint="eastAsia" w:ascii="宋体" w:hAnsi="宋体"/>
          <w:color w:val="auto"/>
          <w:szCs w:val="21"/>
          <w:highlight w:val="none"/>
        </w:rPr>
        <w:t>提升常州的城市形象</w:t>
      </w:r>
      <w:r>
        <w:rPr>
          <w:rFonts w:hint="eastAsia" w:ascii="宋体" w:hAnsi="宋体"/>
          <w:color w:val="auto"/>
          <w:szCs w:val="21"/>
          <w:highlight w:val="none"/>
          <w:lang w:eastAsia="zh-CN"/>
        </w:rPr>
        <w:t>，</w:t>
      </w:r>
      <w:r>
        <w:rPr>
          <w:rFonts w:hint="eastAsia" w:ascii="宋体" w:hAnsi="宋体"/>
          <w:color w:val="auto"/>
          <w:szCs w:val="21"/>
          <w:highlight w:val="none"/>
        </w:rPr>
        <w:t>巩固城市长效管理成效。我们就该建设工地的文明施工做出如下承诺：</w:t>
      </w:r>
    </w:p>
    <w:p w14:paraId="09DFBB72">
      <w:pPr>
        <w:keepNext w:val="0"/>
        <w:keepLines w:val="0"/>
        <w:pageBreakBefore w:val="0"/>
        <w:widowControl w:val="0"/>
        <w:kinsoku/>
        <w:wordWrap/>
        <w:overflowPunct/>
        <w:topLinePunct w:val="0"/>
        <w:autoSpaceDE/>
        <w:autoSpaceDN/>
        <w:bidi w:val="0"/>
        <w:adjustRightInd/>
        <w:snapToGrid w:val="0"/>
        <w:spacing w:line="460" w:lineRule="exact"/>
        <w:ind w:firstLine="480"/>
        <w:textAlignment w:val="auto"/>
        <w:rPr>
          <w:rFonts w:ascii="宋体" w:hAnsi="宋体"/>
          <w:color w:val="auto"/>
          <w:szCs w:val="21"/>
          <w:highlight w:val="none"/>
        </w:rPr>
      </w:pPr>
      <w:r>
        <w:rPr>
          <w:rFonts w:hint="eastAsia" w:ascii="宋体" w:hAnsi="宋体"/>
          <w:color w:val="auto"/>
          <w:szCs w:val="21"/>
          <w:highlight w:val="none"/>
        </w:rPr>
        <w:t>1．围墙（围挡）按规定围护，道路硬化，冲洗设备、排水沟、沉淀池设施等到位，并有专人负责；</w:t>
      </w:r>
    </w:p>
    <w:p w14:paraId="07CFA646">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1E78CDC">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3．设置专门的生活垃圾堆场，并与工程所在区环卫部门签订“生活垃圾清运协议”。</w:t>
      </w:r>
    </w:p>
    <w:p w14:paraId="792FE92F">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4．工地物料堆放有序，建筑垃圾及时清运，严格控制施工现场的扬尘和噪音。</w:t>
      </w:r>
    </w:p>
    <w:p w14:paraId="6BAD3A49">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5．业余学校按规定建立，劳务人员进行全面培训，农民工权益受到保障。</w:t>
      </w:r>
    </w:p>
    <w:p w14:paraId="62F78C2D">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6．工程项目部（监理）人员到岗尽职，不挂靠。</w:t>
      </w:r>
    </w:p>
    <w:p w14:paraId="4C4FE0DE">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7．建设单位、施工单位和监理单位各负其责，对建设行政主管部门发出的整改意见，认真落实到位。</w:t>
      </w:r>
    </w:p>
    <w:p w14:paraId="175AFD66">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8．如违反相关规定，自愿接受相关行政主管部门的查处。</w:t>
      </w:r>
    </w:p>
    <w:p w14:paraId="1129524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color w:val="auto"/>
          <w:szCs w:val="21"/>
          <w:highlight w:val="none"/>
        </w:rPr>
      </w:pPr>
    </w:p>
    <w:p w14:paraId="23B1F532">
      <w:pPr>
        <w:keepNext w:val="0"/>
        <w:keepLines w:val="0"/>
        <w:pageBreakBefore w:val="0"/>
        <w:widowControl w:val="0"/>
        <w:kinsoku/>
        <w:wordWrap/>
        <w:overflowPunct/>
        <w:topLinePunct w:val="0"/>
        <w:autoSpaceDE/>
        <w:autoSpaceDN/>
        <w:bidi w:val="0"/>
        <w:adjustRightInd/>
        <w:snapToGrid w:val="0"/>
        <w:spacing w:line="460" w:lineRule="exact"/>
        <w:ind w:firstLine="3570" w:firstLineChars="1700"/>
        <w:textAlignment w:val="auto"/>
        <w:rPr>
          <w:rFonts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施工单位法定代表人（签字）：</w:t>
      </w:r>
    </w:p>
    <w:p w14:paraId="5652D87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施工单位（章）</w:t>
      </w:r>
    </w:p>
    <w:p w14:paraId="228BB98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color w:val="auto"/>
          <w:szCs w:val="21"/>
          <w:highlight w:val="none"/>
        </w:rPr>
      </w:pPr>
    </w:p>
    <w:p w14:paraId="7B6701CB">
      <w:pPr>
        <w:keepNext w:val="0"/>
        <w:keepLines w:val="0"/>
        <w:pageBreakBefore w:val="0"/>
        <w:widowControl w:val="0"/>
        <w:kinsoku/>
        <w:wordWrap/>
        <w:overflowPunct/>
        <w:topLinePunct w:val="0"/>
        <w:autoSpaceDE/>
        <w:autoSpaceDN/>
        <w:bidi w:val="0"/>
        <w:adjustRightInd/>
        <w:snapToGrid w:val="0"/>
        <w:spacing w:line="460" w:lineRule="exact"/>
        <w:ind w:firstLine="660"/>
        <w:textAlignment w:val="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年</w:t>
      </w:r>
      <w:r>
        <w:rPr>
          <w:rFonts w:ascii="宋体" w:hAnsi="宋体"/>
          <w:color w:val="auto"/>
          <w:szCs w:val="21"/>
          <w:highlight w:val="none"/>
        </w:rPr>
        <w:t xml:space="preserve">   </w:t>
      </w:r>
      <w:r>
        <w:rPr>
          <w:rFonts w:hint="eastAsia" w:ascii="宋体" w:hAnsi="宋体"/>
          <w:color w:val="auto"/>
          <w:szCs w:val="21"/>
          <w:highlight w:val="none"/>
        </w:rPr>
        <w:t>月</w:t>
      </w:r>
      <w:r>
        <w:rPr>
          <w:rFonts w:ascii="宋体" w:hAnsi="宋体"/>
          <w:color w:val="auto"/>
          <w:szCs w:val="21"/>
          <w:highlight w:val="none"/>
        </w:rPr>
        <w:t xml:space="preserve">   </w:t>
      </w:r>
      <w:r>
        <w:rPr>
          <w:rFonts w:hint="eastAsia" w:ascii="宋体" w:hAnsi="宋体"/>
          <w:color w:val="auto"/>
          <w:szCs w:val="21"/>
          <w:highlight w:val="none"/>
        </w:rPr>
        <w:t>日</w:t>
      </w:r>
    </w:p>
    <w:p w14:paraId="0DF02091">
      <w:pPr>
        <w:pageBreakBefore/>
        <w:tabs>
          <w:tab w:val="left" w:pos="0"/>
        </w:tabs>
        <w:spacing w:line="420" w:lineRule="auto"/>
        <w:jc w:val="center"/>
        <w:rPr>
          <w:rFonts w:ascii="宋体" w:hAnsi="宋体"/>
          <w:b/>
          <w:color w:val="auto"/>
          <w:sz w:val="36"/>
          <w:szCs w:val="36"/>
          <w:highlight w:val="none"/>
        </w:rPr>
      </w:pPr>
      <w:r>
        <w:rPr>
          <w:rFonts w:hint="eastAsia" w:ascii="宋体" w:hAnsi="宋体"/>
          <w:b/>
          <w:color w:val="auto"/>
          <w:sz w:val="36"/>
          <w:szCs w:val="36"/>
          <w:highlight w:val="none"/>
        </w:rPr>
        <w:t>投 标 报 价 汇 总 表</w:t>
      </w:r>
    </w:p>
    <w:p w14:paraId="533D9B28">
      <w:pPr>
        <w:tabs>
          <w:tab w:val="left" w:pos="0"/>
        </w:tabs>
        <w:spacing w:line="420" w:lineRule="auto"/>
        <w:ind w:firstLine="420" w:firstLineChars="200"/>
        <w:rPr>
          <w:rFonts w:ascii="宋体" w:cs="宋体"/>
          <w:color w:val="auto"/>
          <w:szCs w:val="21"/>
          <w:highlight w:val="none"/>
        </w:rPr>
      </w:pPr>
      <w:r>
        <w:rPr>
          <w:rFonts w:hint="eastAsia" w:ascii="宋体" w:hAnsi="宋体" w:cs="宋体"/>
          <w:color w:val="auto"/>
          <w:szCs w:val="21"/>
          <w:highlight w:val="none"/>
        </w:rPr>
        <w:t>施工单位：                                 注册建造师：</w:t>
      </w:r>
    </w:p>
    <w:p w14:paraId="5AB1DBC7">
      <w:pPr>
        <w:tabs>
          <w:tab w:val="left" w:pos="0"/>
        </w:tabs>
        <w:spacing w:line="420" w:lineRule="auto"/>
        <w:ind w:firstLine="420" w:firstLineChars="200"/>
        <w:rPr>
          <w:rFonts w:ascii="宋体" w:cs="宋体"/>
          <w:color w:val="auto"/>
          <w:szCs w:val="21"/>
          <w:highlight w:val="none"/>
        </w:rPr>
      </w:pPr>
      <w:r>
        <w:rPr>
          <w:rFonts w:hint="eastAsia" w:ascii="宋体" w:hAnsi="宋体" w:cs="宋体"/>
          <w:color w:val="auto"/>
          <w:szCs w:val="21"/>
          <w:highlight w:val="none"/>
        </w:rPr>
        <w:t>工程名称：</w:t>
      </w:r>
    </w:p>
    <w:p w14:paraId="140E81B0">
      <w:pPr>
        <w:tabs>
          <w:tab w:val="left" w:pos="0"/>
        </w:tabs>
        <w:spacing w:line="420" w:lineRule="auto"/>
        <w:ind w:firstLine="420" w:firstLineChars="200"/>
        <w:rPr>
          <w:rFonts w:ascii="宋体" w:cs="宋体"/>
          <w:color w:val="auto"/>
          <w:szCs w:val="21"/>
          <w:highlight w:val="none"/>
        </w:rPr>
      </w:pPr>
      <w:r>
        <w:rPr>
          <w:rFonts w:hint="eastAsia" w:ascii="宋体" w:hAnsi="宋体" w:cs="宋体"/>
          <w:color w:val="auto"/>
          <w:szCs w:val="21"/>
          <w:highlight w:val="none"/>
        </w:rPr>
        <w:t>投标工期：                                工程质量：</w:t>
      </w:r>
    </w:p>
    <w:tbl>
      <w:tblPr>
        <w:tblStyle w:val="42"/>
        <w:tblW w:w="92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6"/>
        <w:gridCol w:w="2970"/>
        <w:gridCol w:w="1923"/>
      </w:tblGrid>
      <w:tr w14:paraId="00E82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18534505">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项目</w:t>
            </w:r>
          </w:p>
        </w:tc>
        <w:tc>
          <w:tcPr>
            <w:tcW w:w="2970" w:type="dxa"/>
          </w:tcPr>
          <w:p w14:paraId="5A975D45">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投标报价（元）</w:t>
            </w:r>
          </w:p>
        </w:tc>
        <w:tc>
          <w:tcPr>
            <w:tcW w:w="1923" w:type="dxa"/>
          </w:tcPr>
          <w:p w14:paraId="72E75D7F">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备注</w:t>
            </w:r>
          </w:p>
        </w:tc>
      </w:tr>
      <w:tr w14:paraId="0690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72449CA8">
            <w:pPr>
              <w:tabs>
                <w:tab w:val="left" w:pos="0"/>
              </w:tabs>
              <w:spacing w:line="420" w:lineRule="auto"/>
              <w:jc w:val="center"/>
              <w:rPr>
                <w:rFonts w:ascii="宋体" w:cs="宋体"/>
                <w:color w:val="auto"/>
                <w:szCs w:val="21"/>
                <w:highlight w:val="none"/>
              </w:rPr>
            </w:pPr>
          </w:p>
        </w:tc>
        <w:tc>
          <w:tcPr>
            <w:tcW w:w="2970" w:type="dxa"/>
          </w:tcPr>
          <w:p w14:paraId="667F407D">
            <w:pPr>
              <w:tabs>
                <w:tab w:val="left" w:pos="0"/>
              </w:tabs>
              <w:spacing w:line="420" w:lineRule="auto"/>
              <w:rPr>
                <w:rFonts w:ascii="宋体" w:cs="宋体"/>
                <w:color w:val="auto"/>
                <w:szCs w:val="21"/>
                <w:highlight w:val="none"/>
              </w:rPr>
            </w:pPr>
          </w:p>
        </w:tc>
        <w:tc>
          <w:tcPr>
            <w:tcW w:w="1923" w:type="dxa"/>
          </w:tcPr>
          <w:p w14:paraId="2448B6A7">
            <w:pPr>
              <w:tabs>
                <w:tab w:val="left" w:pos="0"/>
              </w:tabs>
              <w:spacing w:line="420" w:lineRule="auto"/>
              <w:rPr>
                <w:rFonts w:ascii="宋体" w:cs="宋体"/>
                <w:color w:val="auto"/>
                <w:szCs w:val="21"/>
                <w:highlight w:val="none"/>
              </w:rPr>
            </w:pPr>
          </w:p>
        </w:tc>
      </w:tr>
      <w:tr w14:paraId="61EA6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735192AD">
            <w:pPr>
              <w:tabs>
                <w:tab w:val="left" w:pos="0"/>
              </w:tabs>
              <w:spacing w:line="420" w:lineRule="auto"/>
              <w:jc w:val="center"/>
              <w:rPr>
                <w:rFonts w:ascii="宋体" w:cs="宋体"/>
                <w:color w:val="auto"/>
                <w:szCs w:val="21"/>
                <w:highlight w:val="none"/>
              </w:rPr>
            </w:pPr>
          </w:p>
        </w:tc>
        <w:tc>
          <w:tcPr>
            <w:tcW w:w="2970" w:type="dxa"/>
          </w:tcPr>
          <w:p w14:paraId="51253A3F">
            <w:pPr>
              <w:tabs>
                <w:tab w:val="left" w:pos="0"/>
              </w:tabs>
              <w:spacing w:line="420" w:lineRule="auto"/>
              <w:rPr>
                <w:rFonts w:ascii="宋体" w:cs="宋体"/>
                <w:color w:val="auto"/>
                <w:szCs w:val="21"/>
                <w:highlight w:val="none"/>
              </w:rPr>
            </w:pPr>
          </w:p>
        </w:tc>
        <w:tc>
          <w:tcPr>
            <w:tcW w:w="1923" w:type="dxa"/>
          </w:tcPr>
          <w:p w14:paraId="646C713B">
            <w:pPr>
              <w:tabs>
                <w:tab w:val="left" w:pos="0"/>
              </w:tabs>
              <w:spacing w:line="420" w:lineRule="auto"/>
              <w:rPr>
                <w:rFonts w:ascii="宋体" w:cs="宋体"/>
                <w:color w:val="auto"/>
                <w:szCs w:val="21"/>
                <w:highlight w:val="none"/>
              </w:rPr>
            </w:pPr>
          </w:p>
        </w:tc>
      </w:tr>
      <w:tr w14:paraId="2546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6" w:type="dxa"/>
          </w:tcPr>
          <w:p w14:paraId="2A9D9958">
            <w:pPr>
              <w:tabs>
                <w:tab w:val="left" w:pos="0"/>
              </w:tabs>
              <w:spacing w:line="420" w:lineRule="auto"/>
              <w:jc w:val="center"/>
              <w:rPr>
                <w:rFonts w:ascii="宋体" w:cs="宋体"/>
                <w:color w:val="auto"/>
                <w:szCs w:val="21"/>
                <w:highlight w:val="none"/>
              </w:rPr>
            </w:pPr>
            <w:r>
              <w:rPr>
                <w:rFonts w:hint="eastAsia" w:ascii="宋体" w:hAnsi="宋体" w:cs="宋体"/>
                <w:color w:val="auto"/>
                <w:szCs w:val="21"/>
                <w:highlight w:val="none"/>
              </w:rPr>
              <w:t>合计</w:t>
            </w:r>
          </w:p>
        </w:tc>
        <w:tc>
          <w:tcPr>
            <w:tcW w:w="2970" w:type="dxa"/>
          </w:tcPr>
          <w:p w14:paraId="6996100A">
            <w:pPr>
              <w:tabs>
                <w:tab w:val="left" w:pos="0"/>
              </w:tabs>
              <w:spacing w:line="420" w:lineRule="auto"/>
              <w:rPr>
                <w:rFonts w:ascii="宋体" w:cs="宋体"/>
                <w:color w:val="auto"/>
                <w:szCs w:val="21"/>
                <w:highlight w:val="none"/>
              </w:rPr>
            </w:pPr>
          </w:p>
        </w:tc>
        <w:tc>
          <w:tcPr>
            <w:tcW w:w="1923" w:type="dxa"/>
          </w:tcPr>
          <w:p w14:paraId="30B42ADA">
            <w:pPr>
              <w:tabs>
                <w:tab w:val="left" w:pos="0"/>
              </w:tabs>
              <w:spacing w:line="420" w:lineRule="auto"/>
              <w:rPr>
                <w:rFonts w:ascii="宋体" w:cs="宋体"/>
                <w:color w:val="auto"/>
                <w:szCs w:val="21"/>
                <w:highlight w:val="none"/>
              </w:rPr>
            </w:pPr>
          </w:p>
        </w:tc>
      </w:tr>
    </w:tbl>
    <w:p w14:paraId="69A2A393">
      <w:pPr>
        <w:tabs>
          <w:tab w:val="left" w:pos="0"/>
        </w:tabs>
        <w:spacing w:line="420" w:lineRule="auto"/>
        <w:rPr>
          <w:rFonts w:ascii="宋体" w:cs="宋体"/>
          <w:color w:val="auto"/>
          <w:szCs w:val="21"/>
          <w:highlight w:val="none"/>
        </w:rPr>
      </w:pPr>
    </w:p>
    <w:p w14:paraId="6A6409C7">
      <w:pPr>
        <w:tabs>
          <w:tab w:val="left" w:pos="0"/>
        </w:tabs>
        <w:spacing w:line="420" w:lineRule="auto"/>
        <w:ind w:firstLine="210" w:firstLineChars="100"/>
        <w:rPr>
          <w:rFonts w:ascii="宋体" w:cs="宋体"/>
          <w:color w:val="auto"/>
          <w:szCs w:val="21"/>
          <w:highlight w:val="none"/>
        </w:rPr>
      </w:pPr>
      <w:r>
        <w:rPr>
          <w:rFonts w:hint="eastAsia" w:ascii="宋体" w:hAnsi="宋体" w:cs="宋体"/>
          <w:color w:val="auto"/>
          <w:szCs w:val="21"/>
          <w:highlight w:val="none"/>
        </w:rPr>
        <w:t>投标人（盖章）</w:t>
      </w:r>
    </w:p>
    <w:p w14:paraId="692829F5">
      <w:pPr>
        <w:tabs>
          <w:tab w:val="left" w:pos="0"/>
        </w:tabs>
        <w:spacing w:line="420" w:lineRule="auto"/>
        <w:rPr>
          <w:rFonts w:ascii="宋体" w:cs="宋体"/>
          <w:color w:val="auto"/>
          <w:szCs w:val="21"/>
          <w:highlight w:val="none"/>
        </w:rPr>
      </w:pPr>
    </w:p>
    <w:p w14:paraId="2D60D11F">
      <w:pPr>
        <w:tabs>
          <w:tab w:val="left" w:pos="0"/>
        </w:tabs>
        <w:spacing w:line="420" w:lineRule="auto"/>
        <w:ind w:firstLine="210" w:firstLineChars="100"/>
        <w:rPr>
          <w:rFonts w:ascii="宋体" w:cs="宋体"/>
          <w:color w:val="auto"/>
          <w:szCs w:val="21"/>
          <w:highlight w:val="none"/>
        </w:rPr>
      </w:pPr>
      <w:r>
        <w:rPr>
          <w:rFonts w:hint="eastAsia" w:ascii="宋体" w:hAnsi="宋体" w:cs="宋体"/>
          <w:color w:val="auto"/>
          <w:szCs w:val="21"/>
          <w:highlight w:val="none"/>
        </w:rPr>
        <w:t>法定代表人或授权委托人（签章）：</w:t>
      </w:r>
    </w:p>
    <w:p w14:paraId="4E5C57BC">
      <w:pPr>
        <w:tabs>
          <w:tab w:val="left" w:pos="0"/>
        </w:tabs>
        <w:spacing w:line="420" w:lineRule="auto"/>
        <w:ind w:firstLine="3360" w:firstLineChars="1600"/>
        <w:jc w:val="center"/>
        <w:rPr>
          <w:rFonts w:ascii="宋体" w:hAnsi="宋体" w:cs="宋体"/>
          <w:vanish/>
          <w:color w:val="auto"/>
          <w:szCs w:val="21"/>
          <w:highlight w:val="none"/>
        </w:rPr>
      </w:pPr>
    </w:p>
    <w:p w14:paraId="48395BDA">
      <w:pPr>
        <w:tabs>
          <w:tab w:val="left" w:pos="0"/>
        </w:tabs>
        <w:spacing w:line="420" w:lineRule="auto"/>
        <w:ind w:firstLine="3360" w:firstLineChars="1600"/>
        <w:jc w:val="center"/>
        <w:rPr>
          <w:rFonts w:ascii="宋体" w:cs="宋体"/>
          <w:color w:val="auto"/>
          <w:szCs w:val="21"/>
          <w:highlight w:val="none"/>
        </w:rPr>
      </w:pP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ascii="宋体" w:hAnsi="宋体" w:cs="宋体"/>
          <w:vanish/>
          <w:color w:val="auto"/>
          <w:szCs w:val="21"/>
          <w:highlight w:val="none"/>
        </w:rPr>
        <w:pgNum/>
      </w:r>
      <w:r>
        <w:rPr>
          <w:rFonts w:hint="eastAsia" w:ascii="宋体" w:hAnsi="宋体" w:cs="宋体"/>
          <w:color w:val="auto"/>
          <w:szCs w:val="21"/>
          <w:highlight w:val="none"/>
        </w:rPr>
        <w:t>日期：年 月 日</w:t>
      </w:r>
    </w:p>
    <w:p w14:paraId="318D421C">
      <w:pPr>
        <w:jc w:val="center"/>
        <w:rPr>
          <w:rFonts w:ascii="宋体" w:hAnsi="宋体"/>
          <w:color w:val="auto"/>
          <w:highlight w:val="none"/>
        </w:rPr>
      </w:pPr>
    </w:p>
    <w:p w14:paraId="30EC227A">
      <w:pPr>
        <w:pageBreakBefore/>
        <w:tabs>
          <w:tab w:val="left" w:pos="0"/>
          <w:tab w:val="left" w:pos="360"/>
        </w:tabs>
        <w:spacing w:line="420" w:lineRule="auto"/>
        <w:jc w:val="center"/>
        <w:rPr>
          <w:b/>
          <w:bCs/>
          <w:color w:val="auto"/>
          <w:sz w:val="30"/>
          <w:szCs w:val="30"/>
          <w:highlight w:val="none"/>
        </w:rPr>
      </w:pPr>
      <w:r>
        <w:rPr>
          <w:rFonts w:hint="eastAsia"/>
          <w:b/>
          <w:bCs/>
          <w:color w:val="auto"/>
          <w:sz w:val="30"/>
          <w:szCs w:val="30"/>
          <w:highlight w:val="none"/>
        </w:rPr>
        <w:t>二  工程量清单报价格式</w:t>
      </w:r>
    </w:p>
    <w:tbl>
      <w:tblPr>
        <w:tblStyle w:val="42"/>
        <w:tblW w:w="9688" w:type="dxa"/>
        <w:tblInd w:w="93" w:type="dxa"/>
        <w:tblLayout w:type="fixed"/>
        <w:tblCellMar>
          <w:top w:w="0" w:type="dxa"/>
          <w:left w:w="108" w:type="dxa"/>
          <w:bottom w:w="0" w:type="dxa"/>
          <w:right w:w="108" w:type="dxa"/>
        </w:tblCellMar>
      </w:tblPr>
      <w:tblGrid>
        <w:gridCol w:w="9688"/>
      </w:tblGrid>
      <w:tr w14:paraId="73FB13CF">
        <w:tblPrEx>
          <w:tblCellMar>
            <w:top w:w="0" w:type="dxa"/>
            <w:left w:w="108" w:type="dxa"/>
            <w:bottom w:w="0" w:type="dxa"/>
            <w:right w:w="108" w:type="dxa"/>
          </w:tblCellMar>
        </w:tblPrEx>
        <w:trPr>
          <w:trHeight w:val="650" w:hRule="atLeast"/>
        </w:trPr>
        <w:tc>
          <w:tcPr>
            <w:tcW w:w="9688" w:type="dxa"/>
            <w:tcBorders>
              <w:top w:val="nil"/>
              <w:left w:val="nil"/>
              <w:bottom w:val="nil"/>
              <w:right w:val="nil"/>
            </w:tcBorders>
            <w:vAlign w:val="center"/>
          </w:tcPr>
          <w:p w14:paraId="22792D01">
            <w:pPr>
              <w:widowControl/>
              <w:jc w:val="center"/>
              <w:rPr>
                <w:rFonts w:ascii="宋体" w:hAnsi="宋体" w:cs="Arial"/>
                <w:b/>
                <w:bCs/>
                <w:color w:val="auto"/>
                <w:kern w:val="0"/>
                <w:sz w:val="32"/>
                <w:szCs w:val="32"/>
                <w:highlight w:val="none"/>
              </w:rPr>
            </w:pPr>
            <w:r>
              <w:rPr>
                <w:rFonts w:hint="eastAsia"/>
                <w:bCs/>
                <w:color w:val="auto"/>
                <w:szCs w:val="21"/>
                <w:highlight w:val="none"/>
              </w:rPr>
              <w:t>工程量清单报价格式（按招标文件“三、投标报价”要求或参照工程量清单或招标控制价）</w:t>
            </w:r>
          </w:p>
        </w:tc>
      </w:tr>
      <w:tr w14:paraId="22508FA2">
        <w:tblPrEx>
          <w:tblCellMar>
            <w:top w:w="0" w:type="dxa"/>
            <w:left w:w="108" w:type="dxa"/>
            <w:bottom w:w="0" w:type="dxa"/>
            <w:right w:w="108" w:type="dxa"/>
          </w:tblCellMar>
        </w:tblPrEx>
        <w:trPr>
          <w:trHeight w:val="650" w:hRule="atLeast"/>
        </w:trPr>
        <w:tc>
          <w:tcPr>
            <w:tcW w:w="9688" w:type="dxa"/>
            <w:tcBorders>
              <w:top w:val="nil"/>
              <w:left w:val="nil"/>
              <w:bottom w:val="nil"/>
              <w:right w:val="nil"/>
            </w:tcBorders>
            <w:vAlign w:val="center"/>
          </w:tcPr>
          <w:p w14:paraId="26E963D5">
            <w:pPr>
              <w:widowControl/>
              <w:jc w:val="center"/>
              <w:rPr>
                <w:rFonts w:hint="eastAsia"/>
                <w:bCs/>
                <w:color w:val="auto"/>
                <w:szCs w:val="21"/>
                <w:highlight w:val="none"/>
              </w:rPr>
            </w:pPr>
          </w:p>
        </w:tc>
      </w:tr>
    </w:tbl>
    <w:p w14:paraId="0AA9DC6C">
      <w:pPr>
        <w:pStyle w:val="24"/>
        <w:adjustRightInd w:val="0"/>
        <w:snapToGrid w:val="0"/>
        <w:spacing w:line="300" w:lineRule="auto"/>
        <w:ind w:firstLine="420"/>
        <w:rPr>
          <w:rFonts w:hAnsi="宋体"/>
          <w:color w:val="auto"/>
          <w:highlight w:val="none"/>
        </w:rPr>
      </w:pPr>
    </w:p>
    <w:p w14:paraId="361B0627">
      <w:pPr>
        <w:pStyle w:val="24"/>
        <w:adjustRightInd w:val="0"/>
        <w:snapToGrid w:val="0"/>
        <w:spacing w:line="300" w:lineRule="auto"/>
        <w:jc w:val="center"/>
        <w:rPr>
          <w:rFonts w:hAnsi="宋体"/>
          <w:color w:val="auto"/>
          <w:highlight w:val="none"/>
        </w:rPr>
      </w:pPr>
    </w:p>
    <w:sectPr>
      <w:headerReference r:id="rId3" w:type="default"/>
      <w:footerReference r:id="rId4" w:type="default"/>
      <w:footerReference r:id="rId5" w:type="even"/>
      <w:pgSz w:w="11906" w:h="16838"/>
      <w:pgMar w:top="1247" w:right="1416" w:bottom="1134" w:left="1134" w:header="851" w:footer="992" w:gutter="0"/>
      <w:pgNumType w:fmt="decimalFullWidt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7E30880-B59F-43E0-99EA-F79F3045F89F}"/>
  </w:font>
  <w:font w:name="黑体">
    <w:panose1 w:val="02010609060101010101"/>
    <w:charset w:val="86"/>
    <w:family w:val="auto"/>
    <w:pitch w:val="default"/>
    <w:sig w:usb0="800002BF" w:usb1="38CF7CFA" w:usb2="00000016" w:usb3="00000000" w:csb0="00040001" w:csb1="00000000"/>
    <w:embedRegular r:id="rId2" w:fontKey="{7A023D14-3683-4249-B4EB-22AA6CEA31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C7DC67E0-6BAE-4A28-AE49-0C05159F69BF}"/>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4" w:fontKey="{BFF4E458-65F8-4EEB-9AC8-44761A35695B}"/>
  </w:font>
  <w:font w:name="TimesNewRomanPSMT">
    <w:altName w:val="Times New Roman"/>
    <w:panose1 w:val="00000000000000000000"/>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18793">
    <w:pPr>
      <w:pStyle w:val="29"/>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30F7292">
                <w:pPr>
                  <w:pStyle w:val="29"/>
                </w:pPr>
                <w:r>
                  <w:fldChar w:fldCharType="begin"/>
                </w:r>
                <w:r>
                  <w:instrText xml:space="preserve"> PAGE  \* MERGEFORMAT </w:instrText>
                </w:r>
                <w:r>
                  <w:fldChar w:fldCharType="separate"/>
                </w:r>
                <w:r>
                  <w:t>１</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0AAF0">
    <w:pPr>
      <w:pStyle w:val="29"/>
      <w:framePr w:wrap="around" w:vAnchor="text" w:hAnchor="margin" w:xAlign="center" w:y="1"/>
      <w:rPr>
        <w:rStyle w:val="46"/>
      </w:rPr>
    </w:pPr>
    <w:r>
      <w:fldChar w:fldCharType="begin"/>
    </w:r>
    <w:r>
      <w:rPr>
        <w:rStyle w:val="46"/>
      </w:rPr>
      <w:instrText xml:space="preserve">PAGE  </w:instrText>
    </w:r>
    <w:r>
      <w:fldChar w:fldCharType="separate"/>
    </w:r>
    <w:r>
      <w:rPr>
        <w:rStyle w:val="46"/>
      </w:rPr>
      <w:t>２２</w:t>
    </w:r>
    <w:r>
      <w:fldChar w:fldCharType="end"/>
    </w:r>
  </w:p>
  <w:p w14:paraId="47555A58">
    <w:pPr>
      <w:pStyle w:val="2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98670">
    <w:pPr>
      <w:pStyle w:val="30"/>
      <w:pBdr>
        <w:bottom w:val="none" w:color="auto" w:sz="0" w:space="0"/>
      </w:pBdr>
      <w:tabs>
        <w:tab w:val="left" w:pos="4174"/>
        <w:tab w:val="clear" w:pos="4153"/>
      </w:tabs>
      <w:jc w:val="left"/>
    </w:pPr>
    <w:r>
      <w:rPr>
        <w:rFonts w:hint="eastAsia"/>
      </w:rPr>
      <w:tab/>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8"/>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1">
    <w:nsid w:val="00000005"/>
    <w:multiLevelType w:val="singleLevel"/>
    <w:tmpl w:val="00000005"/>
    <w:lvl w:ilvl="0" w:tentative="0">
      <w:start w:val="2"/>
      <w:numFmt w:val="upperLetter"/>
      <w:pStyle w:val="3"/>
      <w:lvlText w:val="%1、"/>
      <w:lvlJc w:val="left"/>
      <w:pPr>
        <w:tabs>
          <w:tab w:val="left" w:pos="1350"/>
        </w:tabs>
        <w:ind w:left="1350" w:hanging="720"/>
      </w:pPr>
      <w:rPr>
        <w:rFonts w:hint="eastAsia"/>
      </w:rPr>
    </w:lvl>
  </w:abstractNum>
  <w:abstractNum w:abstractNumId="2">
    <w:nsid w:val="00000006"/>
    <w:multiLevelType w:val="singleLevel"/>
    <w:tmpl w:val="00000006"/>
    <w:lvl w:ilvl="0" w:tentative="0">
      <w:start w:val="4"/>
      <w:numFmt w:val="chineseCounting"/>
      <w:suff w:val="space"/>
      <w:lvlText w:val="第%1章"/>
      <w:lvlJc w:val="left"/>
    </w:lvl>
  </w:abstractNum>
  <w:abstractNum w:abstractNumId="3">
    <w:nsid w:val="492F5AFD"/>
    <w:multiLevelType w:val="multilevel"/>
    <w:tmpl w:val="492F5AFD"/>
    <w:lvl w:ilvl="0" w:tentative="0">
      <w:start w:val="1"/>
      <w:numFmt w:val="japaneseCounting"/>
      <w:lvlText w:val="第%1条"/>
      <w:lvlJc w:val="left"/>
      <w:pPr>
        <w:tabs>
          <w:tab w:val="left" w:pos="1800"/>
        </w:tabs>
        <w:ind w:left="1800" w:hanging="1200"/>
      </w:pPr>
      <w:rPr>
        <w:rFonts w:hint="eastAsia"/>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documentProtection w:enforcement="0"/>
  <w:defaultTabStop w:val="420"/>
  <w:drawingGridHorizontalSpacing w:val="2"/>
  <w:drawingGridVerticalSpacing w:val="3"/>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VjMWYwYmQ0ZmZiMDVhNzU1ODZiOGQ2NzczZGJiMzgifQ=="/>
  </w:docVars>
  <w:rsids>
    <w:rsidRoot w:val="00D012EB"/>
    <w:rsid w:val="000A177D"/>
    <w:rsid w:val="001379CC"/>
    <w:rsid w:val="0037449C"/>
    <w:rsid w:val="00780221"/>
    <w:rsid w:val="008968D9"/>
    <w:rsid w:val="00AA03AF"/>
    <w:rsid w:val="00C04AB4"/>
    <w:rsid w:val="00C32DDC"/>
    <w:rsid w:val="00CC0C87"/>
    <w:rsid w:val="00D012EB"/>
    <w:rsid w:val="00D62C4C"/>
    <w:rsid w:val="00EA43B2"/>
    <w:rsid w:val="00F31BA4"/>
    <w:rsid w:val="014034D9"/>
    <w:rsid w:val="02EC7A46"/>
    <w:rsid w:val="03FE78A3"/>
    <w:rsid w:val="064F0651"/>
    <w:rsid w:val="08E327A0"/>
    <w:rsid w:val="09E237EB"/>
    <w:rsid w:val="0C0830F6"/>
    <w:rsid w:val="0C9843CE"/>
    <w:rsid w:val="0DE17D54"/>
    <w:rsid w:val="0EFB5F9B"/>
    <w:rsid w:val="10680785"/>
    <w:rsid w:val="12F2077F"/>
    <w:rsid w:val="17514B2E"/>
    <w:rsid w:val="18AB0D43"/>
    <w:rsid w:val="19597CE8"/>
    <w:rsid w:val="1CB61566"/>
    <w:rsid w:val="1E7D5580"/>
    <w:rsid w:val="1F4257A5"/>
    <w:rsid w:val="20BC4D66"/>
    <w:rsid w:val="22837BE7"/>
    <w:rsid w:val="22855B54"/>
    <w:rsid w:val="26CE77C3"/>
    <w:rsid w:val="270747C2"/>
    <w:rsid w:val="27D86C44"/>
    <w:rsid w:val="27F8442B"/>
    <w:rsid w:val="29553CE0"/>
    <w:rsid w:val="2BB84C5F"/>
    <w:rsid w:val="2D245F1D"/>
    <w:rsid w:val="2EA97096"/>
    <w:rsid w:val="2F9F0BE8"/>
    <w:rsid w:val="36CC5A63"/>
    <w:rsid w:val="3E091C9A"/>
    <w:rsid w:val="3EA43FF5"/>
    <w:rsid w:val="3EB716EB"/>
    <w:rsid w:val="3EF7359B"/>
    <w:rsid w:val="3F924033"/>
    <w:rsid w:val="41145BF7"/>
    <w:rsid w:val="428B4DDE"/>
    <w:rsid w:val="42C240F2"/>
    <w:rsid w:val="44D523E6"/>
    <w:rsid w:val="46A11AF5"/>
    <w:rsid w:val="47293AFB"/>
    <w:rsid w:val="480037BE"/>
    <w:rsid w:val="4BB51AD7"/>
    <w:rsid w:val="4C7016A7"/>
    <w:rsid w:val="4CBC12B4"/>
    <w:rsid w:val="50174F3A"/>
    <w:rsid w:val="55587B01"/>
    <w:rsid w:val="58937D37"/>
    <w:rsid w:val="58D91B76"/>
    <w:rsid w:val="59010376"/>
    <w:rsid w:val="594F1EAF"/>
    <w:rsid w:val="5AEE394A"/>
    <w:rsid w:val="5B7763B9"/>
    <w:rsid w:val="5BE8059A"/>
    <w:rsid w:val="61B526A9"/>
    <w:rsid w:val="61F06AFE"/>
    <w:rsid w:val="647C54E3"/>
    <w:rsid w:val="69F61ED3"/>
    <w:rsid w:val="6A107439"/>
    <w:rsid w:val="6A2004DE"/>
    <w:rsid w:val="6A850A74"/>
    <w:rsid w:val="6BD42453"/>
    <w:rsid w:val="6E9232C3"/>
    <w:rsid w:val="6F043988"/>
    <w:rsid w:val="765147DD"/>
    <w:rsid w:val="7A305AC8"/>
    <w:rsid w:val="7B566002"/>
    <w:rsid w:val="7BB537D5"/>
    <w:rsid w:val="7C5D1AEE"/>
    <w:rsid w:val="7D7D66D2"/>
    <w:rsid w:val="7E6A568D"/>
    <w:rsid w:val="7FB326CF"/>
    <w:rsid w:val="7FF72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link w:val="50"/>
    <w:qFormat/>
    <w:uiPriority w:val="0"/>
    <w:pPr>
      <w:keepNext/>
      <w:widowControl/>
      <w:numPr>
        <w:ilvl w:val="0"/>
        <w:numId w:val="1"/>
      </w:numPr>
      <w:jc w:val="left"/>
      <w:outlineLvl w:val="0"/>
    </w:pPr>
    <w:rPr>
      <w:rFonts w:ascii="仿宋_GB2312" w:eastAsia="仿宋_GB2312"/>
      <w:kern w:val="0"/>
      <w:sz w:val="24"/>
      <w:szCs w:val="20"/>
    </w:rPr>
  </w:style>
  <w:style w:type="paragraph" w:styleId="7">
    <w:name w:val="heading 2"/>
    <w:basedOn w:val="1"/>
    <w:next w:val="1"/>
    <w:link w:val="51"/>
    <w:qFormat/>
    <w:uiPriority w:val="0"/>
    <w:pPr>
      <w:keepNext/>
      <w:keepLines/>
      <w:adjustRightInd w:val="0"/>
      <w:spacing w:line="416" w:lineRule="atLeast"/>
      <w:textAlignment w:val="baseline"/>
      <w:outlineLvl w:val="1"/>
    </w:pPr>
    <w:rPr>
      <w:rFonts w:ascii="Arial" w:hAnsi="Arial" w:eastAsia="黑体"/>
      <w:b/>
      <w:kern w:val="0"/>
      <w:sz w:val="32"/>
    </w:rPr>
  </w:style>
  <w:style w:type="paragraph" w:styleId="2">
    <w:name w:val="heading 3"/>
    <w:basedOn w:val="1"/>
    <w:next w:val="1"/>
    <w:link w:val="52"/>
    <w:qFormat/>
    <w:uiPriority w:val="0"/>
    <w:pPr>
      <w:keepNext/>
      <w:keepLines/>
      <w:adjustRightInd w:val="0"/>
      <w:spacing w:line="416" w:lineRule="atLeast"/>
      <w:textAlignment w:val="baseline"/>
      <w:outlineLvl w:val="2"/>
    </w:pPr>
    <w:rPr>
      <w:rFonts w:ascii="宋体"/>
      <w:kern w:val="0"/>
      <w:sz w:val="32"/>
    </w:rPr>
  </w:style>
  <w:style w:type="paragraph" w:styleId="8">
    <w:name w:val="heading 4"/>
    <w:basedOn w:val="1"/>
    <w:next w:val="1"/>
    <w:link w:val="53"/>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paragraph" w:styleId="9">
    <w:name w:val="heading 5"/>
    <w:basedOn w:val="1"/>
    <w:next w:val="1"/>
    <w:link w:val="54"/>
    <w:qFormat/>
    <w:uiPriority w:val="0"/>
    <w:pPr>
      <w:keepNext/>
      <w:keepLines/>
      <w:adjustRightInd w:val="0"/>
      <w:textAlignment w:val="baseline"/>
      <w:outlineLvl w:val="4"/>
    </w:pPr>
    <w:rPr>
      <w:rFonts w:ascii="仿宋_GB2312" w:eastAsia="仿宋_GB2312"/>
      <w:b/>
      <w:kern w:val="0"/>
      <w:sz w:val="28"/>
    </w:rPr>
  </w:style>
  <w:style w:type="paragraph" w:styleId="10">
    <w:name w:val="heading 6"/>
    <w:basedOn w:val="1"/>
    <w:next w:val="1"/>
    <w:link w:val="55"/>
    <w:qFormat/>
    <w:uiPriority w:val="0"/>
    <w:pPr>
      <w:keepNext/>
      <w:keepLines/>
      <w:adjustRightInd w:val="0"/>
      <w:spacing w:line="320" w:lineRule="atLeast"/>
      <w:textAlignment w:val="baseline"/>
      <w:outlineLvl w:val="5"/>
    </w:pPr>
    <w:rPr>
      <w:rFonts w:ascii="Arial" w:hAnsi="Arial" w:eastAsia="黑体"/>
      <w:b/>
      <w:kern w:val="0"/>
      <w:sz w:val="24"/>
    </w:rPr>
  </w:style>
  <w:style w:type="paragraph" w:styleId="11">
    <w:name w:val="heading 7"/>
    <w:basedOn w:val="1"/>
    <w:next w:val="1"/>
    <w:link w:val="56"/>
    <w:qFormat/>
    <w:uiPriority w:val="0"/>
    <w:pPr>
      <w:keepNext/>
      <w:keepLines/>
      <w:adjustRightInd w:val="0"/>
      <w:spacing w:line="320" w:lineRule="atLeast"/>
      <w:textAlignment w:val="baseline"/>
      <w:outlineLvl w:val="6"/>
    </w:pPr>
    <w:rPr>
      <w:b/>
      <w:kern w:val="0"/>
      <w:sz w:val="24"/>
    </w:rPr>
  </w:style>
  <w:style w:type="paragraph" w:styleId="12">
    <w:name w:val="heading 8"/>
    <w:basedOn w:val="1"/>
    <w:next w:val="1"/>
    <w:link w:val="57"/>
    <w:qFormat/>
    <w:uiPriority w:val="0"/>
    <w:pPr>
      <w:keepNext/>
      <w:keepLines/>
      <w:adjustRightInd w:val="0"/>
      <w:spacing w:line="320" w:lineRule="atLeast"/>
      <w:textAlignment w:val="baseline"/>
      <w:outlineLvl w:val="7"/>
    </w:pPr>
    <w:rPr>
      <w:rFonts w:ascii="Arial" w:hAnsi="Arial" w:eastAsia="黑体"/>
      <w:kern w:val="0"/>
      <w:sz w:val="24"/>
    </w:rPr>
  </w:style>
  <w:style w:type="paragraph" w:styleId="13">
    <w:name w:val="heading 9"/>
    <w:basedOn w:val="1"/>
    <w:next w:val="1"/>
    <w:link w:val="58"/>
    <w:qFormat/>
    <w:uiPriority w:val="0"/>
    <w:pPr>
      <w:keepNext/>
      <w:keepLines/>
      <w:adjustRightInd w:val="0"/>
      <w:spacing w:line="320" w:lineRule="atLeast"/>
      <w:textAlignment w:val="baseline"/>
      <w:outlineLvl w:val="8"/>
    </w:pPr>
    <w:rPr>
      <w:rFonts w:ascii="Arial" w:hAnsi="Arial" w:eastAsia="黑体"/>
      <w:kern w:val="0"/>
      <w:sz w:val="28"/>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4">
    <w:name w:val="样式3"/>
    <w:basedOn w:val="5"/>
    <w:qFormat/>
    <w:uiPriority w:val="0"/>
  </w:style>
  <w:style w:type="paragraph" w:customStyle="1" w:styleId="5">
    <w:name w:val="样式6"/>
    <w:basedOn w:val="6"/>
    <w:qFormat/>
    <w:uiPriority w:val="0"/>
    <w:pPr>
      <w:ind w:firstLine="600"/>
      <w:jc w:val="left"/>
    </w:pPr>
    <w:rPr>
      <w:rFonts w:ascii="黑体" w:hAnsi="黑体" w:eastAsia="黑体"/>
      <w:sz w:val="30"/>
      <w:szCs w:val="30"/>
    </w:rPr>
  </w:style>
  <w:style w:type="paragraph" w:customStyle="1" w:styleId="6">
    <w:name w:val="样式5"/>
    <w:basedOn w:val="1"/>
    <w:qFormat/>
    <w:uiPriority w:val="0"/>
    <w:pPr>
      <w:spacing w:line="560" w:lineRule="exact"/>
      <w:ind w:firstLine="560" w:firstLineChars="200"/>
    </w:pPr>
    <w:rPr>
      <w:rFonts w:ascii="仿宋_GB2312" w:hAnsi="宋体" w:eastAsia="仿宋_GB2312" w:cs="宋体"/>
      <w:sz w:val="28"/>
      <w:szCs w:val="28"/>
    </w:rPr>
  </w:style>
  <w:style w:type="paragraph" w:styleId="14">
    <w:name w:val="toc 7"/>
    <w:basedOn w:val="1"/>
    <w:next w:val="1"/>
    <w:qFormat/>
    <w:uiPriority w:val="0"/>
    <w:pPr>
      <w:ind w:left="2520" w:leftChars="1200"/>
    </w:pPr>
    <w:rPr>
      <w:rFonts w:ascii="Calibri" w:hAnsi="Calibri"/>
      <w:szCs w:val="22"/>
    </w:rPr>
  </w:style>
  <w:style w:type="paragraph" w:styleId="15">
    <w:name w:val="Normal Indent"/>
    <w:basedOn w:val="1"/>
    <w:qFormat/>
    <w:uiPriority w:val="0"/>
    <w:pPr>
      <w:ind w:firstLine="420"/>
    </w:pPr>
    <w:rPr>
      <w:szCs w:val="20"/>
    </w:rPr>
  </w:style>
  <w:style w:type="paragraph" w:styleId="16">
    <w:name w:val="caption"/>
    <w:basedOn w:val="1"/>
    <w:next w:val="1"/>
    <w:qFormat/>
    <w:uiPriority w:val="0"/>
    <w:rPr>
      <w:rFonts w:ascii="Cambria" w:hAnsi="Cambria" w:eastAsia="黑体"/>
      <w:sz w:val="20"/>
      <w:szCs w:val="20"/>
    </w:rPr>
  </w:style>
  <w:style w:type="paragraph" w:styleId="17">
    <w:name w:val="Document Map"/>
    <w:basedOn w:val="1"/>
    <w:next w:val="1"/>
    <w:link w:val="59"/>
    <w:qFormat/>
    <w:uiPriority w:val="0"/>
    <w:pPr>
      <w:shd w:val="clear" w:color="auto" w:fill="000080"/>
    </w:pPr>
    <w:rPr>
      <w:kern w:val="0"/>
      <w:sz w:val="20"/>
      <w:shd w:val="clear" w:color="auto" w:fill="000080"/>
    </w:rPr>
  </w:style>
  <w:style w:type="paragraph" w:styleId="18">
    <w:name w:val="annotation text"/>
    <w:basedOn w:val="1"/>
    <w:link w:val="60"/>
    <w:qFormat/>
    <w:uiPriority w:val="0"/>
    <w:pPr>
      <w:jc w:val="left"/>
    </w:pPr>
  </w:style>
  <w:style w:type="paragraph" w:styleId="19">
    <w:name w:val="Body Text"/>
    <w:basedOn w:val="1"/>
    <w:next w:val="1"/>
    <w:link w:val="61"/>
    <w:qFormat/>
    <w:uiPriority w:val="0"/>
    <w:pPr>
      <w:spacing w:line="440" w:lineRule="exact"/>
      <w:ind w:right="-2" w:rightChars="-1"/>
    </w:pPr>
    <w:rPr>
      <w:rFonts w:ascii="宋体" w:hAnsi="宋体"/>
      <w:sz w:val="28"/>
      <w:szCs w:val="20"/>
    </w:rPr>
  </w:style>
  <w:style w:type="paragraph" w:styleId="20">
    <w:name w:val="Body Text Indent"/>
    <w:basedOn w:val="1"/>
    <w:next w:val="1"/>
    <w:link w:val="62"/>
    <w:qFormat/>
    <w:uiPriority w:val="0"/>
    <w:pPr>
      <w:spacing w:line="360" w:lineRule="exact"/>
      <w:ind w:firstLine="560" w:firstLineChars="200"/>
    </w:pPr>
    <w:rPr>
      <w:color w:val="000000"/>
      <w:sz w:val="28"/>
    </w:rPr>
  </w:style>
  <w:style w:type="paragraph" w:styleId="21">
    <w:name w:val="index 4"/>
    <w:basedOn w:val="1"/>
    <w:next w:val="1"/>
    <w:qFormat/>
    <w:uiPriority w:val="0"/>
    <w:pPr>
      <w:ind w:left="600" w:leftChars="600"/>
    </w:pPr>
  </w:style>
  <w:style w:type="paragraph" w:styleId="22">
    <w:name w:val="toc 5"/>
    <w:basedOn w:val="1"/>
    <w:next w:val="1"/>
    <w:qFormat/>
    <w:uiPriority w:val="0"/>
    <w:pPr>
      <w:tabs>
        <w:tab w:val="right" w:leader="dot" w:pos="8296"/>
      </w:tabs>
      <w:ind w:left="1050" w:leftChars="500"/>
    </w:pPr>
    <w:rPr>
      <w:rFonts w:ascii="Calibri" w:hAnsi="Calibri"/>
      <w:szCs w:val="22"/>
    </w:rPr>
  </w:style>
  <w:style w:type="paragraph" w:styleId="23">
    <w:name w:val="toc 3"/>
    <w:basedOn w:val="1"/>
    <w:next w:val="1"/>
    <w:qFormat/>
    <w:uiPriority w:val="0"/>
    <w:pPr>
      <w:ind w:left="840" w:leftChars="400"/>
    </w:pPr>
    <w:rPr>
      <w:rFonts w:ascii="Calibri" w:hAnsi="Calibri"/>
      <w:szCs w:val="22"/>
    </w:rPr>
  </w:style>
  <w:style w:type="paragraph" w:styleId="24">
    <w:name w:val="Plain Text"/>
    <w:basedOn w:val="1"/>
    <w:link w:val="63"/>
    <w:qFormat/>
    <w:uiPriority w:val="0"/>
    <w:rPr>
      <w:rFonts w:ascii="宋体" w:hAnsi="Courier New"/>
      <w:szCs w:val="21"/>
    </w:rPr>
  </w:style>
  <w:style w:type="paragraph" w:styleId="25">
    <w:name w:val="toc 8"/>
    <w:basedOn w:val="1"/>
    <w:next w:val="1"/>
    <w:qFormat/>
    <w:uiPriority w:val="0"/>
    <w:pPr>
      <w:ind w:left="2940" w:leftChars="1400"/>
    </w:pPr>
    <w:rPr>
      <w:rFonts w:ascii="Calibri" w:hAnsi="Calibri"/>
      <w:szCs w:val="22"/>
    </w:rPr>
  </w:style>
  <w:style w:type="paragraph" w:styleId="26">
    <w:name w:val="Date"/>
    <w:basedOn w:val="1"/>
    <w:next w:val="1"/>
    <w:link w:val="64"/>
    <w:qFormat/>
    <w:uiPriority w:val="0"/>
    <w:pPr>
      <w:ind w:left="100" w:leftChars="2500"/>
    </w:pPr>
    <w:rPr>
      <w:rFonts w:ascii="宋体" w:hAnsi="宋体"/>
      <w:sz w:val="28"/>
    </w:rPr>
  </w:style>
  <w:style w:type="paragraph" w:styleId="27">
    <w:name w:val="Body Text Indent 2"/>
    <w:basedOn w:val="1"/>
    <w:link w:val="65"/>
    <w:qFormat/>
    <w:uiPriority w:val="0"/>
    <w:pPr>
      <w:ind w:firstLine="567"/>
    </w:pPr>
  </w:style>
  <w:style w:type="paragraph" w:styleId="28">
    <w:name w:val="Balloon Text"/>
    <w:basedOn w:val="1"/>
    <w:link w:val="66"/>
    <w:qFormat/>
    <w:uiPriority w:val="0"/>
    <w:rPr>
      <w:sz w:val="18"/>
      <w:szCs w:val="18"/>
    </w:rPr>
  </w:style>
  <w:style w:type="paragraph" w:styleId="29">
    <w:name w:val="footer"/>
    <w:basedOn w:val="1"/>
    <w:link w:val="67"/>
    <w:qFormat/>
    <w:uiPriority w:val="99"/>
    <w:pPr>
      <w:tabs>
        <w:tab w:val="center" w:pos="4153"/>
        <w:tab w:val="right" w:pos="8306"/>
      </w:tabs>
      <w:snapToGrid w:val="0"/>
      <w:jc w:val="left"/>
    </w:pPr>
    <w:rPr>
      <w:sz w:val="18"/>
      <w:szCs w:val="18"/>
    </w:rPr>
  </w:style>
  <w:style w:type="paragraph" w:styleId="30">
    <w:name w:val="header"/>
    <w:basedOn w:val="1"/>
    <w:link w:val="68"/>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0"/>
    <w:pPr>
      <w:tabs>
        <w:tab w:val="right" w:leader="dot" w:pos="8296"/>
      </w:tabs>
    </w:pPr>
    <w:rPr>
      <w:rFonts w:ascii="宋体" w:eastAsia="楷体_GB2312" w:cs="TimesNewRomanPSMT"/>
      <w:b/>
      <w:kern w:val="0"/>
      <w:sz w:val="28"/>
      <w:szCs w:val="20"/>
    </w:rPr>
  </w:style>
  <w:style w:type="paragraph" w:styleId="32">
    <w:name w:val="toc 4"/>
    <w:basedOn w:val="1"/>
    <w:next w:val="1"/>
    <w:qFormat/>
    <w:uiPriority w:val="0"/>
    <w:pPr>
      <w:tabs>
        <w:tab w:val="left" w:pos="1890"/>
        <w:tab w:val="right" w:leader="dot" w:pos="8296"/>
      </w:tabs>
      <w:ind w:left="630" w:leftChars="300"/>
    </w:pPr>
    <w:rPr>
      <w:rFonts w:ascii="Calibri" w:hAnsi="Calibri"/>
      <w:szCs w:val="22"/>
    </w:rPr>
  </w:style>
  <w:style w:type="paragraph" w:styleId="33">
    <w:name w:val="Subtitle"/>
    <w:basedOn w:val="1"/>
    <w:next w:val="1"/>
    <w:link w:val="69"/>
    <w:qFormat/>
    <w:uiPriority w:val="0"/>
    <w:pPr>
      <w:spacing w:before="240" w:after="60" w:line="312" w:lineRule="auto"/>
      <w:jc w:val="center"/>
      <w:outlineLvl w:val="1"/>
    </w:pPr>
    <w:rPr>
      <w:rFonts w:ascii="Cambria" w:hAnsi="Cambria"/>
      <w:b/>
      <w:bCs/>
      <w:kern w:val="28"/>
      <w:sz w:val="32"/>
      <w:szCs w:val="32"/>
    </w:rPr>
  </w:style>
  <w:style w:type="paragraph" w:styleId="34">
    <w:name w:val="toc 6"/>
    <w:basedOn w:val="1"/>
    <w:next w:val="1"/>
    <w:qFormat/>
    <w:uiPriority w:val="0"/>
    <w:pPr>
      <w:ind w:left="2100" w:leftChars="1000"/>
    </w:pPr>
    <w:rPr>
      <w:rFonts w:ascii="Calibri" w:hAnsi="Calibri"/>
      <w:szCs w:val="22"/>
    </w:rPr>
  </w:style>
  <w:style w:type="paragraph" w:styleId="35">
    <w:name w:val="Body Text Indent 3"/>
    <w:basedOn w:val="1"/>
    <w:link w:val="70"/>
    <w:qFormat/>
    <w:uiPriority w:val="0"/>
    <w:pPr>
      <w:tabs>
        <w:tab w:val="left" w:pos="0"/>
        <w:tab w:val="left" w:pos="993"/>
        <w:tab w:val="left" w:pos="1134"/>
      </w:tabs>
      <w:adjustRightInd w:val="0"/>
      <w:snapToGrid w:val="0"/>
      <w:spacing w:line="300" w:lineRule="auto"/>
      <w:ind w:left="870" w:leftChars="300" w:hanging="240" w:hangingChars="100"/>
    </w:pPr>
    <w:rPr>
      <w:rFonts w:ascii="仿宋_GB2312" w:eastAsia="仿宋_GB2312"/>
      <w:snapToGrid w:val="0"/>
      <w:sz w:val="24"/>
    </w:rPr>
  </w:style>
  <w:style w:type="paragraph" w:styleId="36">
    <w:name w:val="toc 2"/>
    <w:basedOn w:val="1"/>
    <w:next w:val="1"/>
    <w:qFormat/>
    <w:uiPriority w:val="0"/>
    <w:pPr>
      <w:ind w:left="420" w:leftChars="200"/>
    </w:pPr>
    <w:rPr>
      <w:rFonts w:ascii="宋体"/>
      <w:b/>
      <w:sz w:val="28"/>
      <w:szCs w:val="20"/>
    </w:rPr>
  </w:style>
  <w:style w:type="paragraph" w:styleId="37">
    <w:name w:val="toc 9"/>
    <w:basedOn w:val="1"/>
    <w:next w:val="1"/>
    <w:qFormat/>
    <w:uiPriority w:val="0"/>
    <w:pPr>
      <w:ind w:left="3360" w:leftChars="1600"/>
    </w:pPr>
    <w:rPr>
      <w:rFonts w:ascii="Calibri" w:hAnsi="Calibri"/>
      <w:szCs w:val="22"/>
    </w:rPr>
  </w:style>
  <w:style w:type="paragraph" w:styleId="38">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9">
    <w:name w:val="Title"/>
    <w:basedOn w:val="1"/>
    <w:next w:val="1"/>
    <w:link w:val="71"/>
    <w:qFormat/>
    <w:uiPriority w:val="0"/>
    <w:pPr>
      <w:spacing w:before="240" w:after="60"/>
      <w:jc w:val="center"/>
      <w:outlineLvl w:val="0"/>
    </w:pPr>
    <w:rPr>
      <w:rFonts w:ascii="Cambria" w:hAnsi="Cambria"/>
      <w:b/>
      <w:bCs/>
      <w:kern w:val="0"/>
      <w:sz w:val="32"/>
      <w:szCs w:val="32"/>
    </w:rPr>
  </w:style>
  <w:style w:type="paragraph" w:styleId="40">
    <w:name w:val="annotation subject"/>
    <w:basedOn w:val="18"/>
    <w:next w:val="18"/>
    <w:link w:val="73"/>
    <w:qFormat/>
    <w:uiPriority w:val="0"/>
    <w:rPr>
      <w:rFonts w:ascii="宋体"/>
      <w:b/>
      <w:bCs/>
      <w:kern w:val="0"/>
      <w:sz w:val="28"/>
      <w:szCs w:val="20"/>
    </w:rPr>
  </w:style>
  <w:style w:type="paragraph" w:styleId="41">
    <w:name w:val="Body Text First Indent 2"/>
    <w:basedOn w:val="20"/>
    <w:next w:val="1"/>
    <w:unhideWhenUsed/>
    <w:qFormat/>
    <w:uiPriority w:val="0"/>
    <w:pPr>
      <w:adjustRightInd w:val="0"/>
      <w:spacing w:after="120" w:line="312" w:lineRule="atLeast"/>
      <w:ind w:firstLine="210"/>
      <w:textAlignment w:val="baseline"/>
    </w:pPr>
    <w:rPr>
      <w:kern w:val="0"/>
      <w:sz w:val="21"/>
      <w:szCs w:val="21"/>
    </w:rPr>
  </w:style>
  <w:style w:type="table" w:styleId="43">
    <w:name w:val="Table Grid"/>
    <w:basedOn w:val="4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basedOn w:val="44"/>
    <w:qFormat/>
    <w:uiPriority w:val="0"/>
  </w:style>
  <w:style w:type="character" w:styleId="47">
    <w:name w:val="Emphasis"/>
    <w:qFormat/>
    <w:uiPriority w:val="0"/>
    <w:rPr>
      <w:i/>
      <w:iCs/>
    </w:rPr>
  </w:style>
  <w:style w:type="character" w:styleId="48">
    <w:name w:val="Hyperlink"/>
    <w:qFormat/>
    <w:uiPriority w:val="0"/>
    <w:rPr>
      <w:rFonts w:cs="Times New Roman"/>
      <w:color w:val="0000FF"/>
      <w:u w:val="single"/>
    </w:rPr>
  </w:style>
  <w:style w:type="character" w:styleId="49">
    <w:name w:val="annotation reference"/>
    <w:qFormat/>
    <w:uiPriority w:val="0"/>
    <w:rPr>
      <w:rFonts w:cs="Times New Roman"/>
      <w:sz w:val="21"/>
      <w:szCs w:val="21"/>
    </w:rPr>
  </w:style>
  <w:style w:type="character" w:customStyle="1" w:styleId="50">
    <w:name w:val="标题 1 字符"/>
    <w:link w:val="3"/>
    <w:qFormat/>
    <w:uiPriority w:val="0"/>
    <w:rPr>
      <w:rFonts w:ascii="仿宋_GB2312" w:eastAsia="仿宋_GB2312"/>
      <w:sz w:val="24"/>
    </w:rPr>
  </w:style>
  <w:style w:type="character" w:customStyle="1" w:styleId="51">
    <w:name w:val="标题 2 字符"/>
    <w:link w:val="7"/>
    <w:qFormat/>
    <w:uiPriority w:val="0"/>
    <w:rPr>
      <w:rFonts w:ascii="Arial" w:hAnsi="Arial" w:eastAsia="黑体"/>
      <w:b/>
      <w:sz w:val="32"/>
      <w:szCs w:val="24"/>
    </w:rPr>
  </w:style>
  <w:style w:type="character" w:customStyle="1" w:styleId="52">
    <w:name w:val="标题 3 字符"/>
    <w:link w:val="2"/>
    <w:qFormat/>
    <w:uiPriority w:val="0"/>
    <w:rPr>
      <w:rFonts w:ascii="宋体"/>
      <w:b/>
      <w:sz w:val="32"/>
      <w:szCs w:val="24"/>
    </w:rPr>
  </w:style>
  <w:style w:type="character" w:customStyle="1" w:styleId="53">
    <w:name w:val="标题 4 字符"/>
    <w:link w:val="8"/>
    <w:qFormat/>
    <w:uiPriority w:val="0"/>
    <w:rPr>
      <w:rFonts w:ascii="Arial" w:hAnsi="Arial" w:eastAsia="黑体"/>
      <w:b/>
      <w:sz w:val="28"/>
      <w:szCs w:val="24"/>
    </w:rPr>
  </w:style>
  <w:style w:type="character" w:customStyle="1" w:styleId="54">
    <w:name w:val="标题 5 字符"/>
    <w:link w:val="9"/>
    <w:qFormat/>
    <w:uiPriority w:val="0"/>
    <w:rPr>
      <w:rFonts w:ascii="仿宋_GB2312" w:eastAsia="仿宋_GB2312"/>
      <w:b/>
      <w:sz w:val="28"/>
      <w:szCs w:val="24"/>
    </w:rPr>
  </w:style>
  <w:style w:type="character" w:customStyle="1" w:styleId="55">
    <w:name w:val="标题 6 字符"/>
    <w:link w:val="10"/>
    <w:qFormat/>
    <w:uiPriority w:val="0"/>
    <w:rPr>
      <w:rFonts w:ascii="Arial" w:hAnsi="Arial" w:eastAsia="黑体"/>
      <w:b/>
      <w:sz w:val="24"/>
      <w:szCs w:val="24"/>
    </w:rPr>
  </w:style>
  <w:style w:type="character" w:customStyle="1" w:styleId="56">
    <w:name w:val="标题 7 字符"/>
    <w:link w:val="11"/>
    <w:qFormat/>
    <w:uiPriority w:val="0"/>
    <w:rPr>
      <w:b/>
      <w:sz w:val="24"/>
      <w:szCs w:val="24"/>
    </w:rPr>
  </w:style>
  <w:style w:type="character" w:customStyle="1" w:styleId="57">
    <w:name w:val="标题 8 字符"/>
    <w:link w:val="12"/>
    <w:qFormat/>
    <w:uiPriority w:val="0"/>
    <w:rPr>
      <w:rFonts w:ascii="Arial" w:hAnsi="Arial" w:eastAsia="黑体"/>
      <w:sz w:val="24"/>
      <w:szCs w:val="24"/>
    </w:rPr>
  </w:style>
  <w:style w:type="character" w:customStyle="1" w:styleId="58">
    <w:name w:val="标题 9 字符"/>
    <w:link w:val="13"/>
    <w:qFormat/>
    <w:uiPriority w:val="0"/>
    <w:rPr>
      <w:rFonts w:ascii="Arial" w:hAnsi="Arial" w:eastAsia="黑体"/>
      <w:sz w:val="28"/>
      <w:szCs w:val="24"/>
    </w:rPr>
  </w:style>
  <w:style w:type="character" w:customStyle="1" w:styleId="59">
    <w:name w:val="文档结构图 字符"/>
    <w:link w:val="17"/>
    <w:qFormat/>
    <w:uiPriority w:val="0"/>
    <w:rPr>
      <w:szCs w:val="24"/>
      <w:shd w:val="clear" w:color="auto" w:fill="000080"/>
    </w:rPr>
  </w:style>
  <w:style w:type="character" w:customStyle="1" w:styleId="60">
    <w:name w:val="批注文字 字符"/>
    <w:link w:val="18"/>
    <w:qFormat/>
    <w:uiPriority w:val="0"/>
    <w:rPr>
      <w:kern w:val="2"/>
      <w:sz w:val="21"/>
      <w:szCs w:val="24"/>
    </w:rPr>
  </w:style>
  <w:style w:type="character" w:customStyle="1" w:styleId="61">
    <w:name w:val="正文文本 字符"/>
    <w:link w:val="19"/>
    <w:qFormat/>
    <w:uiPriority w:val="0"/>
    <w:rPr>
      <w:rFonts w:ascii="宋体" w:hAnsi="宋体"/>
      <w:kern w:val="2"/>
      <w:sz w:val="28"/>
    </w:rPr>
  </w:style>
  <w:style w:type="character" w:customStyle="1" w:styleId="62">
    <w:name w:val="正文文本缩进 字符"/>
    <w:link w:val="20"/>
    <w:qFormat/>
    <w:uiPriority w:val="0"/>
    <w:rPr>
      <w:color w:val="000000"/>
      <w:kern w:val="2"/>
      <w:sz w:val="28"/>
      <w:szCs w:val="24"/>
    </w:rPr>
  </w:style>
  <w:style w:type="character" w:customStyle="1" w:styleId="63">
    <w:name w:val="纯文本 字符"/>
    <w:link w:val="24"/>
    <w:qFormat/>
    <w:uiPriority w:val="0"/>
    <w:rPr>
      <w:rFonts w:ascii="宋体" w:hAnsi="Courier New" w:eastAsia="宋体"/>
      <w:kern w:val="2"/>
      <w:sz w:val="21"/>
      <w:szCs w:val="21"/>
      <w:lang w:val="en-US" w:eastAsia="zh-CN" w:bidi="ar-SA"/>
    </w:rPr>
  </w:style>
  <w:style w:type="character" w:customStyle="1" w:styleId="64">
    <w:name w:val="日期 字符"/>
    <w:link w:val="26"/>
    <w:qFormat/>
    <w:uiPriority w:val="0"/>
    <w:rPr>
      <w:rFonts w:ascii="宋体" w:hAnsi="宋体"/>
      <w:kern w:val="2"/>
      <w:sz w:val="28"/>
      <w:szCs w:val="24"/>
    </w:rPr>
  </w:style>
  <w:style w:type="character" w:customStyle="1" w:styleId="65">
    <w:name w:val="正文文本缩进 2 字符"/>
    <w:link w:val="27"/>
    <w:qFormat/>
    <w:uiPriority w:val="0"/>
    <w:rPr>
      <w:kern w:val="2"/>
      <w:sz w:val="21"/>
      <w:szCs w:val="24"/>
    </w:rPr>
  </w:style>
  <w:style w:type="character" w:customStyle="1" w:styleId="66">
    <w:name w:val="批注框文本 字符"/>
    <w:link w:val="28"/>
    <w:qFormat/>
    <w:uiPriority w:val="0"/>
    <w:rPr>
      <w:kern w:val="2"/>
      <w:sz w:val="18"/>
      <w:szCs w:val="18"/>
    </w:rPr>
  </w:style>
  <w:style w:type="character" w:customStyle="1" w:styleId="67">
    <w:name w:val="页脚 字符"/>
    <w:link w:val="29"/>
    <w:qFormat/>
    <w:uiPriority w:val="99"/>
    <w:rPr>
      <w:kern w:val="2"/>
      <w:sz w:val="18"/>
      <w:szCs w:val="18"/>
    </w:rPr>
  </w:style>
  <w:style w:type="character" w:customStyle="1" w:styleId="68">
    <w:name w:val="页眉 字符"/>
    <w:link w:val="30"/>
    <w:qFormat/>
    <w:uiPriority w:val="0"/>
    <w:rPr>
      <w:kern w:val="2"/>
      <w:sz w:val="18"/>
      <w:szCs w:val="18"/>
    </w:rPr>
  </w:style>
  <w:style w:type="character" w:customStyle="1" w:styleId="69">
    <w:name w:val="副标题 字符"/>
    <w:link w:val="33"/>
    <w:qFormat/>
    <w:uiPriority w:val="0"/>
    <w:rPr>
      <w:rFonts w:ascii="Cambria" w:hAnsi="Cambria"/>
      <w:b/>
      <w:bCs/>
      <w:kern w:val="28"/>
      <w:sz w:val="32"/>
      <w:szCs w:val="32"/>
    </w:rPr>
  </w:style>
  <w:style w:type="character" w:customStyle="1" w:styleId="70">
    <w:name w:val="正文文本缩进 3 字符"/>
    <w:link w:val="35"/>
    <w:qFormat/>
    <w:uiPriority w:val="0"/>
    <w:rPr>
      <w:rFonts w:ascii="仿宋_GB2312" w:eastAsia="仿宋_GB2312"/>
      <w:snapToGrid w:val="0"/>
      <w:kern w:val="2"/>
      <w:sz w:val="24"/>
      <w:szCs w:val="24"/>
    </w:rPr>
  </w:style>
  <w:style w:type="character" w:customStyle="1" w:styleId="71">
    <w:name w:val="标题 字符"/>
    <w:link w:val="39"/>
    <w:qFormat/>
    <w:uiPriority w:val="0"/>
    <w:rPr>
      <w:rFonts w:ascii="Cambria" w:hAnsi="Cambria"/>
      <w:b/>
      <w:bCs/>
      <w:sz w:val="32"/>
      <w:szCs w:val="32"/>
    </w:rPr>
  </w:style>
  <w:style w:type="character" w:customStyle="1" w:styleId="72">
    <w:name w:val="批注主题 Char"/>
    <w:qFormat/>
    <w:uiPriority w:val="0"/>
    <w:rPr>
      <w:rFonts w:ascii="宋体"/>
      <w:b/>
      <w:bCs/>
      <w:sz w:val="28"/>
    </w:rPr>
  </w:style>
  <w:style w:type="character" w:customStyle="1" w:styleId="73">
    <w:name w:val="批注主题 字符"/>
    <w:link w:val="40"/>
    <w:qFormat/>
    <w:uiPriority w:val="0"/>
    <w:rPr>
      <w:kern w:val="2"/>
      <w:sz w:val="21"/>
      <w:szCs w:val="24"/>
    </w:rPr>
  </w:style>
  <w:style w:type="paragraph" w:customStyle="1" w:styleId="74">
    <w:name w:val="列出段落1"/>
    <w:qFormat/>
    <w:uiPriority w:val="0"/>
    <w:pPr>
      <w:ind w:firstLine="420" w:firstLineChars="200"/>
    </w:pPr>
    <w:rPr>
      <w:rFonts w:ascii="Times New Roman" w:hAnsi="Times New Roman" w:eastAsia="宋体" w:cs="Times New Roman"/>
      <w:lang w:val="en-US" w:eastAsia="zh-CN" w:bidi="ar-SA"/>
    </w:rPr>
  </w:style>
  <w:style w:type="paragraph" w:customStyle="1" w:styleId="75">
    <w:name w:val="Char"/>
    <w:basedOn w:val="1"/>
    <w:qFormat/>
    <w:uiPriority w:val="0"/>
    <w:pPr>
      <w:widowControl/>
      <w:spacing w:line="360" w:lineRule="auto"/>
      <w:jc w:val="left"/>
    </w:pPr>
  </w:style>
  <w:style w:type="paragraph" w:customStyle="1" w:styleId="76">
    <w:name w:val="Char Char Char1 Char Char Char Char Char Char Char Char Char Char"/>
    <w:basedOn w:val="1"/>
    <w:qFormat/>
    <w:uiPriority w:val="0"/>
  </w:style>
  <w:style w:type="paragraph" w:customStyle="1" w:styleId="77">
    <w:name w:val="默认段落字体 Para Char Char Char Char"/>
    <w:basedOn w:val="1"/>
    <w:qFormat/>
    <w:uiPriority w:val="0"/>
    <w:pPr>
      <w:spacing w:line="240" w:lineRule="atLeast"/>
      <w:ind w:left="420" w:firstLine="420"/>
    </w:pPr>
    <w:rPr>
      <w:kern w:val="0"/>
      <w:szCs w:val="21"/>
    </w:rPr>
  </w:style>
  <w:style w:type="character" w:customStyle="1" w:styleId="78">
    <w:name w:val="Char Char Char"/>
    <w:qFormat/>
    <w:uiPriority w:val="0"/>
    <w:rPr>
      <w:rFonts w:ascii="宋体" w:hAnsi="Courier New" w:eastAsia="宋体"/>
      <w:kern w:val="2"/>
      <w:sz w:val="21"/>
      <w:szCs w:val="21"/>
      <w:lang w:val="en-US" w:eastAsia="zh-CN" w:bidi="ar-SA"/>
    </w:rPr>
  </w:style>
  <w:style w:type="paragraph" w:customStyle="1" w:styleId="79">
    <w:name w:val="正文_3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80">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81">
    <w:name w:val="正文_0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82">
    <w:name w:val="正文文本 Char1"/>
    <w:qFormat/>
    <w:uiPriority w:val="0"/>
    <w:rPr>
      <w:kern w:val="2"/>
      <w:sz w:val="21"/>
      <w:szCs w:val="22"/>
    </w:rPr>
  </w:style>
  <w:style w:type="character" w:customStyle="1" w:styleId="83">
    <w:name w:val="明显引用 Char"/>
    <w:link w:val="84"/>
    <w:qFormat/>
    <w:uiPriority w:val="0"/>
    <w:rPr>
      <w:b/>
      <w:bCs/>
      <w:i/>
      <w:iCs/>
      <w:color w:val="4F81BD"/>
    </w:rPr>
  </w:style>
  <w:style w:type="paragraph" w:customStyle="1" w:styleId="84">
    <w:name w:val="明显引用1"/>
    <w:basedOn w:val="1"/>
    <w:next w:val="1"/>
    <w:link w:val="83"/>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85">
    <w:name w:val="_Style 79"/>
    <w:qFormat/>
    <w:uiPriority w:val="0"/>
    <w:rPr>
      <w:i/>
      <w:iCs/>
      <w:color w:val="808080"/>
    </w:rPr>
  </w:style>
  <w:style w:type="character" w:customStyle="1" w:styleId="86">
    <w:name w:val="标题4 Char Char"/>
    <w:link w:val="87"/>
    <w:qFormat/>
    <w:uiPriority w:val="0"/>
    <w:rPr>
      <w:rFonts w:ascii="Arial" w:hAnsi="Arial"/>
      <w:b/>
      <w:bCs/>
      <w:sz w:val="24"/>
      <w:szCs w:val="32"/>
    </w:rPr>
  </w:style>
  <w:style w:type="paragraph" w:customStyle="1" w:styleId="87">
    <w:name w:val="标题4"/>
    <w:basedOn w:val="7"/>
    <w:next w:val="21"/>
    <w:link w:val="86"/>
    <w:qFormat/>
    <w:uiPriority w:val="0"/>
    <w:pPr>
      <w:adjustRightInd/>
      <w:spacing w:line="413" w:lineRule="auto"/>
      <w:textAlignment w:val="auto"/>
    </w:pPr>
    <w:rPr>
      <w:rFonts w:eastAsia="宋体"/>
      <w:bCs/>
      <w:sz w:val="24"/>
      <w:szCs w:val="32"/>
    </w:rPr>
  </w:style>
  <w:style w:type="character" w:customStyle="1" w:styleId="88">
    <w:name w:val="标题5 Char Char"/>
    <w:link w:val="89"/>
    <w:qFormat/>
    <w:uiPriority w:val="0"/>
    <w:rPr>
      <w:rFonts w:ascii="Arial" w:hAnsi="Arial"/>
      <w:b/>
      <w:bCs/>
      <w:sz w:val="24"/>
      <w:szCs w:val="32"/>
    </w:rPr>
  </w:style>
  <w:style w:type="paragraph" w:customStyle="1" w:styleId="89">
    <w:name w:val="标题5"/>
    <w:basedOn w:val="2"/>
    <w:link w:val="88"/>
    <w:qFormat/>
    <w:uiPriority w:val="0"/>
    <w:pPr>
      <w:adjustRightInd/>
      <w:spacing w:line="413" w:lineRule="auto"/>
      <w:textAlignment w:val="auto"/>
    </w:pPr>
    <w:rPr>
      <w:rFonts w:ascii="Arial" w:hAnsi="Arial"/>
      <w:sz w:val="24"/>
      <w:szCs w:val="32"/>
    </w:rPr>
  </w:style>
  <w:style w:type="character" w:customStyle="1" w:styleId="90">
    <w:name w:val="_Style 84"/>
    <w:qFormat/>
    <w:uiPriority w:val="0"/>
    <w:rPr>
      <w:b/>
      <w:bCs/>
      <w:smallCaps/>
      <w:color w:val="C0504D"/>
      <w:spacing w:val="5"/>
      <w:u w:val="single"/>
    </w:rPr>
  </w:style>
  <w:style w:type="character" w:customStyle="1" w:styleId="91">
    <w:name w:val="_Style 85"/>
    <w:qFormat/>
    <w:uiPriority w:val="0"/>
    <w:rPr>
      <w:b/>
      <w:bCs/>
      <w:smallCaps/>
      <w:spacing w:val="5"/>
    </w:rPr>
  </w:style>
  <w:style w:type="character" w:customStyle="1" w:styleId="92">
    <w:name w:val="批注框文本 Char1"/>
    <w:qFormat/>
    <w:uiPriority w:val="0"/>
    <w:rPr>
      <w:kern w:val="2"/>
      <w:sz w:val="18"/>
      <w:szCs w:val="18"/>
    </w:rPr>
  </w:style>
  <w:style w:type="character" w:customStyle="1" w:styleId="93">
    <w:name w:val="引用 Char"/>
    <w:link w:val="94"/>
    <w:qFormat/>
    <w:uiPriority w:val="0"/>
    <w:rPr>
      <w:i/>
      <w:iCs/>
      <w:color w:val="000000"/>
    </w:rPr>
  </w:style>
  <w:style w:type="paragraph" w:customStyle="1" w:styleId="94">
    <w:name w:val="引用1"/>
    <w:basedOn w:val="1"/>
    <w:next w:val="1"/>
    <w:link w:val="93"/>
    <w:qFormat/>
    <w:uiPriority w:val="0"/>
    <w:rPr>
      <w:i/>
      <w:iCs/>
      <w:color w:val="000000"/>
      <w:kern w:val="0"/>
      <w:sz w:val="20"/>
      <w:szCs w:val="20"/>
    </w:rPr>
  </w:style>
  <w:style w:type="character" w:customStyle="1" w:styleId="95">
    <w:name w:val="批注主题 Char1"/>
    <w:qFormat/>
    <w:uiPriority w:val="0"/>
    <w:rPr>
      <w:b/>
      <w:bCs/>
      <w:kern w:val="2"/>
      <w:sz w:val="21"/>
      <w:szCs w:val="22"/>
    </w:rPr>
  </w:style>
  <w:style w:type="character" w:customStyle="1" w:styleId="96">
    <w:name w:val="日期 Char1"/>
    <w:qFormat/>
    <w:uiPriority w:val="0"/>
    <w:rPr>
      <w:kern w:val="2"/>
      <w:sz w:val="21"/>
      <w:szCs w:val="22"/>
    </w:rPr>
  </w:style>
  <w:style w:type="character" w:customStyle="1" w:styleId="97">
    <w:name w:val="_Style 91"/>
    <w:qFormat/>
    <w:uiPriority w:val="0"/>
    <w:rPr>
      <w:b/>
      <w:bCs/>
      <w:i/>
      <w:iCs/>
      <w:color w:val="4F81BD"/>
    </w:rPr>
  </w:style>
  <w:style w:type="character" w:customStyle="1" w:styleId="98">
    <w:name w:val="textcontents"/>
    <w:qFormat/>
    <w:uiPriority w:val="0"/>
    <w:rPr>
      <w:rFonts w:cs="Times New Roman"/>
    </w:rPr>
  </w:style>
  <w:style w:type="character" w:customStyle="1" w:styleId="99">
    <w:name w:val="_Style 93"/>
    <w:qFormat/>
    <w:uiPriority w:val="0"/>
    <w:rPr>
      <w:smallCaps/>
      <w:color w:val="C0504D"/>
      <w:u w:val="single"/>
    </w:rPr>
  </w:style>
  <w:style w:type="character" w:customStyle="1" w:styleId="100">
    <w:name w:val="批注文字 Char Char"/>
    <w:qFormat/>
    <w:uiPriority w:val="0"/>
    <w:rPr>
      <w:rFonts w:ascii="宋体" w:hAnsi="Times New Roman" w:eastAsia="宋体" w:cs="Times New Roman"/>
      <w:sz w:val="28"/>
      <w:szCs w:val="20"/>
    </w:rPr>
  </w:style>
  <w:style w:type="character" w:customStyle="1" w:styleId="101">
    <w:name w:val="文档结构图 Char1"/>
    <w:qFormat/>
    <w:uiPriority w:val="0"/>
    <w:rPr>
      <w:rFonts w:ascii="宋体"/>
      <w:kern w:val="2"/>
      <w:sz w:val="18"/>
      <w:szCs w:val="18"/>
    </w:rPr>
  </w:style>
  <w:style w:type="paragraph" w:customStyle="1" w:styleId="102">
    <w:name w:val="_Style 96"/>
    <w:qFormat/>
    <w:uiPriority w:val="0"/>
    <w:rPr>
      <w:rFonts w:ascii="Times New Roman" w:hAnsi="Times New Roman" w:eastAsia="宋体" w:cs="Times New Roman"/>
      <w:kern w:val="2"/>
      <w:sz w:val="21"/>
      <w:szCs w:val="24"/>
      <w:lang w:val="en-US" w:eastAsia="zh-CN" w:bidi="ar-SA"/>
    </w:rPr>
  </w:style>
  <w:style w:type="character" w:customStyle="1" w:styleId="103">
    <w:name w:val="文档结构图 Char2"/>
    <w:qFormat/>
    <w:uiPriority w:val="0"/>
    <w:rPr>
      <w:rFonts w:ascii="宋体"/>
      <w:kern w:val="2"/>
      <w:sz w:val="18"/>
      <w:szCs w:val="18"/>
    </w:rPr>
  </w:style>
  <w:style w:type="character" w:customStyle="1" w:styleId="104">
    <w:name w:val="标题 Char1"/>
    <w:qFormat/>
    <w:uiPriority w:val="0"/>
    <w:rPr>
      <w:rFonts w:ascii="Cambria" w:hAnsi="Cambria" w:cs="Times New Roman"/>
      <w:b/>
      <w:bCs/>
      <w:kern w:val="2"/>
      <w:sz w:val="32"/>
      <w:szCs w:val="32"/>
    </w:rPr>
  </w:style>
  <w:style w:type="paragraph" w:customStyle="1" w:styleId="105">
    <w:name w:val="_Style 99"/>
    <w:basedOn w:val="3"/>
    <w:next w:val="1"/>
    <w:qFormat/>
    <w:uiPriority w:val="0"/>
    <w:pPr>
      <w:keepLines/>
      <w:widowControl w:val="0"/>
      <w:numPr>
        <w:numId w:val="0"/>
      </w:numPr>
      <w:spacing w:before="340" w:after="330" w:line="576" w:lineRule="auto"/>
      <w:jc w:val="both"/>
      <w:outlineLvl w:val="9"/>
    </w:pPr>
    <w:rPr>
      <w:rFonts w:ascii="Calibri" w:hAnsi="Calibri" w:eastAsia="宋体"/>
      <w:b/>
      <w:bCs/>
      <w:kern w:val="44"/>
      <w:sz w:val="44"/>
      <w:szCs w:val="44"/>
    </w:rPr>
  </w:style>
  <w:style w:type="character" w:customStyle="1" w:styleId="106">
    <w:name w:val="副标题 Char1"/>
    <w:qFormat/>
    <w:uiPriority w:val="0"/>
    <w:rPr>
      <w:rFonts w:ascii="Cambria" w:hAnsi="Cambria" w:cs="Times New Roman"/>
      <w:b/>
      <w:bCs/>
      <w:kern w:val="28"/>
      <w:sz w:val="32"/>
      <w:szCs w:val="32"/>
    </w:rPr>
  </w:style>
  <w:style w:type="character" w:customStyle="1" w:styleId="107">
    <w:name w:val="明显引用 Char1"/>
    <w:qFormat/>
    <w:uiPriority w:val="30"/>
    <w:rPr>
      <w:b/>
      <w:bCs/>
      <w:i/>
      <w:iCs/>
      <w:color w:val="4F81BD"/>
      <w:kern w:val="2"/>
      <w:sz w:val="21"/>
      <w:szCs w:val="24"/>
    </w:rPr>
  </w:style>
  <w:style w:type="paragraph" w:customStyle="1" w:styleId="108">
    <w:name w:val="无间隔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9">
    <w:name w:val="引用 Char1"/>
    <w:qFormat/>
    <w:uiPriority w:val="29"/>
    <w:rPr>
      <w:i/>
      <w:iCs/>
      <w:color w:val="000000"/>
      <w:kern w:val="2"/>
      <w:sz w:val="21"/>
      <w:szCs w:val="24"/>
    </w:rPr>
  </w:style>
  <w:style w:type="paragraph" w:customStyle="1" w:styleId="110">
    <w:name w:val="列表段落1"/>
    <w:basedOn w:val="1"/>
    <w:qFormat/>
    <w:uiPriority w:val="0"/>
    <w:pPr>
      <w:ind w:firstLine="420" w:firstLineChars="200"/>
    </w:pPr>
    <w:rPr>
      <w:rFonts w:ascii="Calibri" w:hAnsi="Calibri"/>
      <w:szCs w:val="22"/>
    </w:rPr>
  </w:style>
  <w:style w:type="character" w:customStyle="1" w:styleId="111">
    <w:name w:val="批注文字 Char"/>
    <w:qFormat/>
    <w:uiPriority w:val="0"/>
    <w:rPr>
      <w:kern w:val="2"/>
      <w:sz w:val="21"/>
      <w:szCs w:val="22"/>
    </w:rPr>
  </w:style>
  <w:style w:type="paragraph" w:customStyle="1" w:styleId="112">
    <w:name w:val="样式 标题 2 + Times New Roman 四号 非加粗 段前: 5 磅 段后: 0 磅 行距: 固定值 20..."/>
    <w:basedOn w:val="7"/>
    <w:qFormat/>
    <w:uiPriority w:val="0"/>
    <w:pPr>
      <w:adjustRightInd/>
      <w:spacing w:before="100" w:line="400" w:lineRule="exact"/>
      <w:textAlignment w:val="auto"/>
    </w:pPr>
    <w:rPr>
      <w:rFonts w:ascii="Times New Roman" w:hAnsi="Times New Roman" w:cs="宋体"/>
      <w:b w:val="0"/>
      <w:sz w:val="28"/>
      <w:szCs w:val="20"/>
    </w:rPr>
  </w:style>
  <w:style w:type="paragraph" w:customStyle="1" w:styleId="113">
    <w:name w:val="样式 标题 3 + (中文) 黑体 小四 非加粗 段前: 7.8 磅 段后: 0 磅 行距: 固定值 20 磅"/>
    <w:basedOn w:val="2"/>
    <w:qFormat/>
    <w:uiPriority w:val="0"/>
    <w:pPr>
      <w:adjustRightInd/>
      <w:spacing w:line="400" w:lineRule="exact"/>
      <w:textAlignment w:val="auto"/>
    </w:pPr>
    <w:rPr>
      <w:rFonts w:ascii="Times New Roman" w:eastAsia="黑体" w:cs="宋体"/>
      <w:kern w:val="2"/>
      <w:sz w:val="24"/>
      <w:szCs w:val="20"/>
    </w:rPr>
  </w:style>
  <w:style w:type="paragraph" w:customStyle="1" w:styleId="11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16">
    <w:name w:val="纯文本 Char1"/>
    <w:semiHidden/>
    <w:qFormat/>
    <w:uiPriority w:val="99"/>
    <w:rPr>
      <w:rFonts w:ascii="宋体" w:hAnsi="Courier New" w:cs="Courier New"/>
      <w:kern w:val="2"/>
      <w:sz w:val="21"/>
      <w:szCs w:val="21"/>
    </w:rPr>
  </w:style>
  <w:style w:type="paragraph" w:customStyle="1" w:styleId="117">
    <w:name w:val="正文_42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8">
    <w:name w:val="正文_42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9">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20">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1">
    <w:name w:val="font61"/>
    <w:qFormat/>
    <w:uiPriority w:val="0"/>
    <w:rPr>
      <w:rFonts w:hint="eastAsia" w:ascii="宋体" w:hAnsi="宋体" w:eastAsia="宋体" w:cs="宋体"/>
      <w:color w:val="000000"/>
      <w:sz w:val="21"/>
      <w:szCs w:val="21"/>
      <w:u w:val="none"/>
    </w:rPr>
  </w:style>
  <w:style w:type="paragraph" w:customStyle="1" w:styleId="122">
    <w:name w:val="正文_0_0"/>
    <w:basedOn w:val="1"/>
    <w:qFormat/>
    <w:uiPriority w:val="0"/>
    <w:rPr>
      <w:rFonts w:ascii="Calibri" w:hAnsi="Calibri" w:cs="Calibri"/>
    </w:rPr>
  </w:style>
  <w:style w:type="paragraph" w:customStyle="1" w:styleId="12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正文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5">
    <w:name w:val="Default_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26">
    <w:name w:val="正文_10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7">
    <w:name w:val="正文_209"/>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8">
    <w:name w:val="正文_256"/>
    <w:qFormat/>
    <w:uiPriority w:val="0"/>
    <w:pPr>
      <w:widowControl w:val="0"/>
      <w:jc w:val="both"/>
    </w:pPr>
    <w:rPr>
      <w:rFonts w:ascii="Calibri" w:hAnsi="Calibri" w:eastAsia="宋体" w:cs="Calibri"/>
      <w:kern w:val="2"/>
      <w:sz w:val="21"/>
      <w:szCs w:val="21"/>
      <w:lang w:val="en-US" w:eastAsia="zh-CN" w:bidi="ar-SA"/>
    </w:rPr>
  </w:style>
  <w:style w:type="paragraph" w:customStyle="1" w:styleId="129">
    <w:name w:val="表格文字"/>
    <w:basedOn w:val="1"/>
    <w:next w:val="19"/>
    <w:qFormat/>
    <w:uiPriority w:val="0"/>
    <w:pPr>
      <w:adjustRightInd w:val="0"/>
      <w:spacing w:line="420" w:lineRule="atLeast"/>
      <w:textAlignment w:val="baseline"/>
    </w:pPr>
  </w:style>
  <w:style w:type="paragraph" w:customStyle="1" w:styleId="130">
    <w:name w:val="样式7"/>
    <w:basedOn w:val="1"/>
    <w:qFormat/>
    <w:uiPriority w:val="0"/>
    <w:pPr>
      <w:spacing w:line="560" w:lineRule="exact"/>
    </w:pPr>
    <w:rPr>
      <w:rFonts w:ascii="仿宋_GB2312" w:hAnsi="仿宋" w:eastAsia="仿宋_GB2312" w:cs="宋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43</Pages>
  <Words>20735</Words>
  <Characters>21165</Characters>
  <Lines>247</Lines>
  <Paragraphs>69</Paragraphs>
  <TotalTime>28</TotalTime>
  <ScaleCrop>false</ScaleCrop>
  <LinksUpToDate>false</LinksUpToDate>
  <CharactersWithSpaces>23722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2019-04-16T01:56:00Z</dcterms:created>
  <dc:creator>user</dc:creator>
  <cp:lastModifiedBy>小黄山</cp:lastModifiedBy>
  <cp:lastPrinted>2024-12-31T05:56:00Z</cp:lastPrinted>
  <dcterms:modified xsi:type="dcterms:W3CDTF">2024-12-31T08:08:04Z</dcterms:modified>
  <dc:title>常 州 市 建 设 工 程</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036B030D90EC4BB4BD6BBB21F6598D28</vt:lpwstr>
  </property>
  <property fmtid="{D5CDD505-2E9C-101B-9397-08002B2CF9AE}" pid="4" name="KSOTemplateDocerSaveRecord">
    <vt:lpwstr>eyJoZGlkIjoiMmVjMWYwYmQ0ZmZiMDVhNzU1ODZiOGQ2NzczZGJiMzgiLCJ1c2VySWQiOiIxNjE0MzU5NDE1In0=</vt:lpwstr>
  </property>
</Properties>
</file>