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F9" w:rsidRPr="00E275F9" w:rsidRDefault="00E275F9" w:rsidP="00E275F9">
      <w:pPr>
        <w:spacing w:line="56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E275F9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E275F9" w:rsidRPr="00E275F9" w:rsidRDefault="00E275F9" w:rsidP="00E275F9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_GBK" w:cs="方正小标宋_GBK"/>
          <w:sz w:val="44"/>
          <w:szCs w:val="44"/>
          <w:shd w:val="clear" w:color="auto" w:fill="FFFFFF"/>
        </w:rPr>
      </w:pPr>
      <w:bookmarkStart w:id="0" w:name="_GoBack"/>
      <w:r w:rsidRPr="00E275F9">
        <w:rPr>
          <w:rFonts w:ascii="方正小标宋简体" w:eastAsia="方正小标宋简体" w:hAnsi="方正小标宋_GBK" w:cs="方正小标宋_GBK" w:hint="eastAsia"/>
          <w:sz w:val="44"/>
          <w:szCs w:val="44"/>
          <w:shd w:val="clear" w:color="auto" w:fill="FFFFFF"/>
        </w:rPr>
        <w:t>2024年度镇（街道）政务服务创新亮点举措清单</w:t>
      </w:r>
    </w:p>
    <w:tbl>
      <w:tblPr>
        <w:tblW w:w="15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603"/>
        <w:gridCol w:w="2430"/>
        <w:gridCol w:w="6450"/>
        <w:gridCol w:w="1759"/>
        <w:gridCol w:w="1874"/>
      </w:tblGrid>
      <w:tr w:rsidR="00E275F9" w:rsidRPr="00E275F9" w:rsidTr="00513121">
        <w:trPr>
          <w:tblHeader/>
          <w:jc w:val="center"/>
        </w:trPr>
        <w:tc>
          <w:tcPr>
            <w:tcW w:w="950" w:type="dxa"/>
            <w:shd w:val="clear" w:color="auto" w:fill="auto"/>
            <w:vAlign w:val="center"/>
          </w:tcPr>
          <w:bookmarkEnd w:id="0"/>
          <w:p w:rsidR="00E275F9" w:rsidRPr="00E275F9" w:rsidRDefault="00E275F9" w:rsidP="00E275F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创新亮点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典型经验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主要做法与成效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实施主体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黑体" w:eastAsia="黑体" w:hAnsi="黑体" w:cs="黑体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E275F9" w:rsidRPr="00E275F9" w:rsidTr="00513121">
        <w:trPr>
          <w:trHeight w:val="9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推进综合窗口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改革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奔牛镇社会事务办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通过建立复盘闭环机制、优化考核激励机制、完善日常培训机制，全方位、多层次提升窗口人员综合素质。将原有的17个窗口缩减为14个窗口，原有的22人缩减为18人，实现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除公安、交警、不动产登记事项以外，其余事项均由“全科窗口”无差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别受理。</w:t>
            </w:r>
          </w:p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薛家镇社会事务办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选派窗口骨干人员至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保、数据局、市场监督管理局跟班学习，完成人社、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保、民政与市场准入窗口合并，初步实现两大专窗事项的一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窗通办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，5个综合窗口可完成社保、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保、民政、个体、食品等350个事项的通办。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奔牛镇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薛家镇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有序推进，各镇（街道）结合自身实际积极实施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综窗改革</w:t>
            </w:r>
            <w:proofErr w:type="gramEnd"/>
          </w:p>
        </w:tc>
      </w:tr>
      <w:tr w:rsidR="00E275F9" w:rsidRPr="00E275F9" w:rsidTr="00513121">
        <w:trPr>
          <w:trHeight w:val="9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落实便民服务站（点）标准建设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奔牛镇、龙虎塘街道社会事务办</w:t>
            </w:r>
            <w:r w:rsidRPr="00E275F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充分了解省市内外各地便民服务中心（站、点）建设和管理实际情况，积极参与《便民服务中心（站、点）建设与管理规范》起草，为省标编写提供可靠、详实的数据，并根据标准完成便民服务中心（站）场所提升，推动政务服务规范化、便利化发展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奔牛镇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龙虎塘街道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有序推进，各镇（街道）按照省标优化提升</w:t>
            </w:r>
          </w:p>
        </w:tc>
      </w:tr>
      <w:tr w:rsidR="00E275F9" w:rsidRPr="00E275F9" w:rsidTr="00513121">
        <w:trPr>
          <w:trHeight w:val="206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落实“高效办成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一件事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”</w:t>
            </w:r>
            <w:proofErr w:type="gramEnd"/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春江街道社会事务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设置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扶残助困“一件事”专窗，全新打造“残疾人之家”，升级助残圆梦工作室。以残疾人证办理为基础，优化、简化、集成办理符合政策条件的多项助残服务，制作扶残助困“一件事”办理联系单和办事指南。</w:t>
            </w:r>
          </w:p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shd w:val="clear" w:color="auto" w:fill="FFFFFF"/>
              </w:rPr>
              <w:t>薛家镇</w:t>
            </w: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结合“高效办成一件事”服务清单梳理整合，推出退休人员、失地人员、残疾人、生活困难人员、退役军人、人才等“六类”人员服务套餐，组织村社区畅通办专员分部门、分窗口、分条线进行全面培训，使“套餐办”事项形成镇村联动、多点可办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春江街道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薛家镇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全面推广，加强成熟事项咨询引导、业务办理</w:t>
            </w:r>
          </w:p>
        </w:tc>
      </w:tr>
      <w:tr w:rsidR="00E275F9" w:rsidRPr="00E275F9" w:rsidTr="00513121">
        <w:trPr>
          <w:trHeight w:val="3295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服务提升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落实“基层高频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事项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试点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作为全省首批“基层高频事项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平台办理”试点单位，</w:t>
            </w: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春江街道社会事务办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严格按照上级部署，从“人员到位”“平台对接到位”和“培训到位”三方面开展试点工作。积极做好事项清单梳理、34项高频政务服务事项认领和系统业务操作培训工作。2024年，我区总办件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量全市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第一，三井街道、西夏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墅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镇、春江街道办件量位列全区前三名。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春江街道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三井街道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西夏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墅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镇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全面推广，加强成熟事项平台办理，推进社区试点</w:t>
            </w:r>
          </w:p>
        </w:tc>
      </w:tr>
      <w:tr w:rsidR="00E275F9" w:rsidRPr="00E275F9" w:rsidTr="00513121">
        <w:trPr>
          <w:trHeight w:val="7503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服务增值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设立政银合作</w:t>
            </w:r>
            <w:proofErr w:type="gramEnd"/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服务专窗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widowControl/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三井街道社会事务办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设立“政银合作”服务专窗，为办理营业执照的个体工商户提供咨询、预约等一站式金融服务，实现线下同步办理涉税、社保、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保、公积金、数字人民币等业务。推出上门办理、发放“政银合作服务卡”、特殊群体帮代办等绿色通道服务。</w:t>
            </w:r>
          </w:p>
          <w:p w:rsidR="00E275F9" w:rsidRPr="00E275F9" w:rsidRDefault="00E275F9" w:rsidP="00E275F9">
            <w:pPr>
              <w:widowControl/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罗溪镇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社会事务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探索“政务+金融”综合服务模式，设立全市首个镇级乡村振兴金融服务站，通过“柜台人工+江南农村商业银行新型便民服务设备+农商·苏服办STM+社保卡制卡机”的方式，可办理小额取现及转账、现场更换三代社保卡、水电费缴存及代扣签约等近60项便民利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企金融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功能。</w:t>
            </w:r>
          </w:p>
          <w:p w:rsidR="00E275F9" w:rsidRPr="00E275F9" w:rsidRDefault="00E275F9" w:rsidP="00E275F9">
            <w:pPr>
              <w:widowControl/>
              <w:spacing w:line="40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西夏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墅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镇社会事务办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首创“政银益站”便民服务进网格新方式，每周固定一天时间开展形式多样的免费便民服务活动。10名政务服务办事员进入63个基础网格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微信群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，点对点服务群众12000余人次，定期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分享政银知识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，宣传政策措施，实时解决群众提出的各类便民服务及金融问题。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三井街道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罗溪镇</w:t>
            </w:r>
            <w:proofErr w:type="gramEnd"/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西夏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墅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镇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鼓励支持，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有条件的镇（街道）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建设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政银合作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专窗、网点</w:t>
            </w:r>
          </w:p>
        </w:tc>
      </w:tr>
      <w:tr w:rsidR="00E275F9" w:rsidRPr="00E275F9" w:rsidTr="00513121">
        <w:trPr>
          <w:trHeight w:val="3696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服务增值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打造企业综合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服务专区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罗溪镇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社会事务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设置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企业综合服务专区，为企业提供就业创业、专精特新等多方面服务。安排服务专员，负责惠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企政策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的收集、发布、解读、咨询、受理、转办等工作，解答企业关于惠企政策、项目申报、融资担保等方面的咨询，推动惠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企政策精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准直达。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成功帮助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江苏诚功阀门科技有限公司等一批企业开展政企直通车政策申报、2024年度常州市专精特新中小企业申报、第三届“罗溪工匠”评选申报工作。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罗溪镇</w:t>
            </w:r>
            <w:proofErr w:type="gramEnd"/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鼓励支持，有条件的镇（街道）打造企业服务专区、专窗</w:t>
            </w:r>
          </w:p>
        </w:tc>
      </w:tr>
      <w:tr w:rsidR="00E275F9" w:rsidRPr="00E275F9" w:rsidTr="00513121">
        <w:trPr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服务增值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打造逾期提醒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“政务闹钟”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新桥街道、三井街道、魏村街道社会事务办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立证照到期预警机制，通过对食品经营许可等事项梳理、及时感知、精准识别，根据系统大数据分析在证照到期前30日通过电话、短信等形式对企业商户进行证照到期延续提醒，对食品经营许可、营业执照申请业务提供超期预警服务和帮办代办服务，为企业群众办理证照续期业务设置“政务闹钟”，变“等候服务”为“主动服务”，避免因证照超期影响正常生产经营，有效降低重复办证的时间和经济成本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新桥街道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三井街道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魏村街道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鼓励支持，有条件的镇（街道）开展逾期提醒</w:t>
            </w:r>
          </w:p>
        </w:tc>
      </w:tr>
      <w:tr w:rsidR="00E275F9" w:rsidRPr="00E275F9" w:rsidTr="00513121">
        <w:trPr>
          <w:trHeight w:val="8140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服务延伸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开通政务服务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直通车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龙虎塘街道社会事务办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梳理居住证、社保卡、机动车年审等10项员工需办理的高频事项，开启“企业下单，政府接单”的“订单上门”服务，实现政务服务“零时差”。针对耗时长、业务量大的“热门”事项如驾驶证换证、办理护照等，通过延时服务和周末不打烊服务为企业开设专场，设置“绿色通道”。结合政务服务进企业活动，开展政策宣传、助企服务、联办活动三类延伸服务，将就业招聘、用工需求对接、劳动纠纷调解等企业关注服务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链接进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企业。</w:t>
            </w:r>
          </w:p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三井街道社会事务办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将“直通车”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开进商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圈积极靠前服务，精准对接飞龙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吾悦广场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项目需求，抢抓关键节点，提前介入，为60余家入驻商户提供批前指导。打造汉江路国际街区政务智慧小屋，赋能商圈经济“破圈”发展。</w:t>
            </w:r>
          </w:p>
          <w:p w:rsidR="00E275F9" w:rsidRPr="00E275F9" w:rsidRDefault="00E275F9" w:rsidP="00E275F9">
            <w:pPr>
              <w:spacing w:line="38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罗溪镇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将“直通车”开进“星光城”，集中受理所有入驻市场主体的证照办理和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人社业务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咨询工作，通过事项流程再造精简办事环节，缩短办理时间、优化群众体验，在最短时间内完成了30家个体工商户证照的办理工作。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龙虎塘街道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三井街道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罗溪镇</w:t>
            </w:r>
            <w:proofErr w:type="gramEnd"/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鼓励支持，有条件的镇（街道）集成服务进企业、楼宇、社区、高校、商圈等“五进”服务</w:t>
            </w:r>
          </w:p>
        </w:tc>
      </w:tr>
      <w:tr w:rsidR="00E275F9" w:rsidRPr="00E275F9" w:rsidTr="00513121">
        <w:trPr>
          <w:trHeight w:val="3622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lastRenderedPageBreak/>
              <w:t>9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服务延伸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打造楼宇便民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服务点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新桥街道社会事务办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在高新广场一楼开设“楼宇便民服务点”，该服务点可提供10余项涉及企业、个人工商业务、企业社保医保等事项的业务咨询、材料初审、帮办代办、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指导网办等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措施。新桥街道通过建立“楼宇服务事项清单”、制作“楼宇政务办事通”，向企业、个体工商户详细讲解营业执照办理流程，指导商户全程电子化流程提交设立、变更、注销等申请，进一步提高营业执照申请的便利性和审批效率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新桥街道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鼓励支持，有条件的镇（街道）集成服务进企业、楼宇、社区、高校、商圈等“五进”服务</w:t>
            </w:r>
          </w:p>
        </w:tc>
      </w:tr>
      <w:tr w:rsidR="00E275F9" w:rsidRPr="00E275F9" w:rsidTr="00513121">
        <w:trPr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服务延伸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实行跨域通办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无差别受理</w:t>
            </w:r>
          </w:p>
        </w:tc>
        <w:tc>
          <w:tcPr>
            <w:tcW w:w="6450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39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孟河镇社会事务办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推出“跨域通办”“15分钟便民利企服务圈”等服务，与丹北、界牌镇积极开展跨域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通办服务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，实现同一事项在三地无差别受理、同标准办理，切实解决异地办事“多地跑”“折返跑”问题，全年共受理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跨域通办业务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62件，为群众减少路程574公里。</w:t>
            </w:r>
          </w:p>
          <w:p w:rsidR="00E275F9" w:rsidRPr="00E275F9" w:rsidRDefault="00E275F9" w:rsidP="00E275F9">
            <w:pPr>
              <w:spacing w:line="390" w:lineRule="exact"/>
              <w:ind w:firstLineChars="200" w:firstLine="56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罗溪镇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社会事务办</w:t>
            </w: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打破政务服务地域阻隔和行政壁垒，利用地缘优势和政策优势，联合丹阳市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</w:t>
            </w:r>
            <w:proofErr w:type="gramEnd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城镇以跨域“专窗+综窗”为连接点，设置“跨域通办”服务窗口进行“异地代收代办”“多地联办”。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孟河镇</w:t>
            </w:r>
          </w:p>
          <w:p w:rsidR="00E275F9" w:rsidRPr="00E275F9" w:rsidRDefault="00E275F9" w:rsidP="00E275F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罗溪镇</w:t>
            </w:r>
            <w:proofErr w:type="gramEnd"/>
          </w:p>
        </w:tc>
        <w:tc>
          <w:tcPr>
            <w:tcW w:w="1874" w:type="dxa"/>
            <w:shd w:val="clear" w:color="auto" w:fill="auto"/>
            <w:vAlign w:val="center"/>
          </w:tcPr>
          <w:p w:rsidR="00E275F9" w:rsidRPr="00E275F9" w:rsidRDefault="00E275F9" w:rsidP="00E275F9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  <w:shd w:val="clear" w:color="auto" w:fill="FFFFFF"/>
              </w:rPr>
            </w:pPr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鼓励支持，交界地区镇（街道）开展跨域</w:t>
            </w:r>
            <w:proofErr w:type="gramStart"/>
            <w:r w:rsidRPr="00E275F9"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  <w:t>通办服务</w:t>
            </w:r>
            <w:proofErr w:type="gramEnd"/>
          </w:p>
        </w:tc>
      </w:tr>
    </w:tbl>
    <w:p w:rsidR="001C18C8" w:rsidRPr="00E275F9" w:rsidRDefault="001C18C8" w:rsidP="00E275F9">
      <w:pPr>
        <w:spacing w:line="140" w:lineRule="exact"/>
      </w:pPr>
    </w:p>
    <w:sectPr w:rsidR="001C18C8" w:rsidRPr="00E275F9" w:rsidSect="00E275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F9"/>
    <w:rsid w:val="001C18C8"/>
    <w:rsid w:val="00E2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2025-01-20T02:54:00Z</dcterms:created>
  <dcterms:modified xsi:type="dcterms:W3CDTF">2025-01-20T03:02:00Z</dcterms:modified>
</cp:coreProperties>
</file>