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6C" w:rsidRPr="001224D0" w:rsidRDefault="001E5366" w:rsidP="006873F8">
      <w:pPr>
        <w:autoSpaceDE w:val="0"/>
        <w:autoSpaceDN w:val="0"/>
        <w:adjustRightInd w:val="0"/>
        <w:spacing w:line="600" w:lineRule="exact"/>
        <w:jc w:val="center"/>
        <w:rPr>
          <w:rFonts w:ascii="方正小标宋简体" w:eastAsia="方正小标宋简体" w:hAnsi="宋体"/>
          <w:snapToGrid w:val="0"/>
          <w:color w:val="000000"/>
          <w:kern w:val="0"/>
          <w:sz w:val="44"/>
          <w:szCs w:val="44"/>
        </w:rPr>
      </w:pPr>
      <w:r w:rsidRPr="001224D0">
        <w:rPr>
          <w:rFonts w:ascii="方正小标宋简体" w:eastAsia="方正小标宋简体" w:hAnsi="宋体" w:hint="eastAsia"/>
          <w:snapToGrid w:val="0"/>
          <w:color w:val="000000"/>
          <w:kern w:val="0"/>
          <w:sz w:val="44"/>
          <w:szCs w:val="44"/>
        </w:rPr>
        <w:t>常州市新北区2024年财政预算执行情况</w:t>
      </w:r>
    </w:p>
    <w:p w:rsidR="000D1C6C" w:rsidRPr="001224D0" w:rsidRDefault="001E5366" w:rsidP="006873F8">
      <w:pPr>
        <w:autoSpaceDE w:val="0"/>
        <w:autoSpaceDN w:val="0"/>
        <w:adjustRightInd w:val="0"/>
        <w:spacing w:line="600" w:lineRule="exact"/>
        <w:jc w:val="center"/>
        <w:rPr>
          <w:rFonts w:ascii="方正小标宋简体" w:eastAsia="方正小标宋简体" w:hAnsi="仿宋"/>
          <w:snapToGrid w:val="0"/>
          <w:color w:val="000000"/>
          <w:kern w:val="0"/>
          <w:sz w:val="44"/>
          <w:szCs w:val="44"/>
        </w:rPr>
      </w:pPr>
      <w:r w:rsidRPr="001224D0">
        <w:rPr>
          <w:rFonts w:ascii="方正小标宋简体" w:eastAsia="方正小标宋简体" w:hAnsi="宋体" w:hint="eastAsia"/>
          <w:snapToGrid w:val="0"/>
          <w:color w:val="000000"/>
          <w:kern w:val="0"/>
          <w:sz w:val="44"/>
          <w:szCs w:val="44"/>
        </w:rPr>
        <w:t>与2025年财政预算草案的报告</w:t>
      </w:r>
    </w:p>
    <w:p w:rsidR="001C61D2" w:rsidRPr="009E3202" w:rsidRDefault="009E3202" w:rsidP="006873F8">
      <w:pPr>
        <w:adjustRightInd w:val="0"/>
        <w:snapToGrid w:val="0"/>
        <w:spacing w:line="600" w:lineRule="exact"/>
        <w:jc w:val="center"/>
        <w:rPr>
          <w:rFonts w:ascii="楷体_GB2312" w:eastAsia="楷体_GB2312" w:hAnsi="黑体" w:hint="eastAsia"/>
          <w:color w:val="000000"/>
          <w:sz w:val="32"/>
          <w:szCs w:val="32"/>
        </w:rPr>
      </w:pPr>
      <w:r w:rsidRPr="009E3202">
        <w:rPr>
          <w:rFonts w:asciiTheme="minorEastAsia" w:eastAsiaTheme="minorEastAsia" w:hAnsiTheme="minorEastAsia" w:hint="eastAsia"/>
          <w:color w:val="000000"/>
          <w:sz w:val="32"/>
          <w:szCs w:val="32"/>
        </w:rPr>
        <w:t>——</w:t>
      </w:r>
      <w:r w:rsidR="001C61D2" w:rsidRPr="009E3202">
        <w:rPr>
          <w:rFonts w:ascii="楷体_GB2312" w:eastAsia="楷体_GB2312" w:hAnsi="黑体" w:hint="eastAsia"/>
          <w:color w:val="000000"/>
          <w:sz w:val="32"/>
          <w:szCs w:val="32"/>
        </w:rPr>
        <w:t>2025年1月3日在常州市新北区</w:t>
      </w:r>
    </w:p>
    <w:p w:rsidR="003808A6" w:rsidRPr="009E3202" w:rsidRDefault="001C61D2" w:rsidP="006873F8">
      <w:pPr>
        <w:adjustRightInd w:val="0"/>
        <w:snapToGrid w:val="0"/>
        <w:spacing w:line="600" w:lineRule="exact"/>
        <w:jc w:val="center"/>
        <w:rPr>
          <w:rFonts w:ascii="楷体_GB2312" w:eastAsia="楷体_GB2312" w:hAnsi="黑体" w:hint="eastAsia"/>
          <w:color w:val="000000"/>
          <w:sz w:val="32"/>
          <w:szCs w:val="32"/>
        </w:rPr>
      </w:pPr>
      <w:r w:rsidRPr="009E3202">
        <w:rPr>
          <w:rFonts w:ascii="楷体_GB2312" w:eastAsia="楷体_GB2312" w:hAnsi="黑体" w:hint="eastAsia"/>
          <w:color w:val="000000"/>
          <w:sz w:val="32"/>
          <w:szCs w:val="32"/>
        </w:rPr>
        <w:t>第五届人民代表大会第四次会议上</w:t>
      </w:r>
    </w:p>
    <w:p w:rsidR="001C61D2" w:rsidRPr="001C61D2" w:rsidRDefault="001C61D2" w:rsidP="006873F8">
      <w:pPr>
        <w:autoSpaceDE w:val="0"/>
        <w:autoSpaceDN w:val="0"/>
        <w:adjustRightInd w:val="0"/>
        <w:spacing w:line="600" w:lineRule="exact"/>
        <w:jc w:val="center"/>
        <w:rPr>
          <w:rFonts w:ascii="楷体_GB2312" w:eastAsia="楷体_GB2312" w:hAnsi="仿宋" w:hint="eastAsia"/>
          <w:sz w:val="32"/>
          <w:szCs w:val="32"/>
        </w:rPr>
      </w:pPr>
      <w:r w:rsidRPr="001C61D2">
        <w:rPr>
          <w:rFonts w:ascii="楷体_GB2312" w:eastAsia="楷体_GB2312" w:hAnsi="仿宋" w:hint="eastAsia"/>
          <w:sz w:val="32"/>
          <w:szCs w:val="32"/>
        </w:rPr>
        <w:t>王建军</w:t>
      </w:r>
    </w:p>
    <w:p w:rsidR="009E3202" w:rsidRDefault="009E3202" w:rsidP="006873F8">
      <w:pPr>
        <w:autoSpaceDE w:val="0"/>
        <w:autoSpaceDN w:val="0"/>
        <w:adjustRightInd w:val="0"/>
        <w:spacing w:line="600" w:lineRule="exact"/>
        <w:jc w:val="center"/>
        <w:rPr>
          <w:rFonts w:ascii="仿宋_GB2312" w:eastAsia="仿宋_GB2312" w:hAnsi="仿宋" w:hint="eastAsia"/>
          <w:sz w:val="32"/>
          <w:szCs w:val="32"/>
        </w:rPr>
      </w:pPr>
    </w:p>
    <w:p w:rsidR="001C61D2" w:rsidRDefault="001C61D2" w:rsidP="006873F8">
      <w:pPr>
        <w:autoSpaceDE w:val="0"/>
        <w:autoSpaceDN w:val="0"/>
        <w:adjustRightInd w:val="0"/>
        <w:spacing w:line="560" w:lineRule="exact"/>
        <w:jc w:val="left"/>
        <w:rPr>
          <w:rFonts w:ascii="仿宋_GB2312" w:eastAsia="仿宋_GB2312" w:hAnsi="仿宋" w:hint="eastAsia"/>
          <w:sz w:val="32"/>
          <w:szCs w:val="32"/>
        </w:rPr>
      </w:pPr>
      <w:r>
        <w:rPr>
          <w:rFonts w:ascii="仿宋_GB2312" w:eastAsia="仿宋_GB2312" w:hAnsi="仿宋" w:hint="eastAsia"/>
          <w:sz w:val="32"/>
          <w:szCs w:val="32"/>
        </w:rPr>
        <w:t>各位代表，同志们：</w:t>
      </w:r>
    </w:p>
    <w:p w:rsidR="001C61D2" w:rsidRPr="001C61D2" w:rsidRDefault="001C61D2" w:rsidP="006873F8">
      <w:pPr>
        <w:autoSpaceDE w:val="0"/>
        <w:autoSpaceDN w:val="0"/>
        <w:adjustRightInd w:val="0"/>
        <w:spacing w:line="560" w:lineRule="exact"/>
        <w:ind w:firstLineChars="200" w:firstLine="640"/>
        <w:jc w:val="left"/>
        <w:rPr>
          <w:rFonts w:ascii="仿宋_GB2312" w:eastAsia="仿宋_GB2312" w:hAnsi="仿宋"/>
          <w:sz w:val="32"/>
          <w:szCs w:val="32"/>
        </w:rPr>
      </w:pPr>
      <w:r w:rsidRPr="001C61D2">
        <w:rPr>
          <w:rFonts w:ascii="仿宋_GB2312" w:eastAsia="仿宋_GB2312" w:hAnsi="仿宋" w:hint="eastAsia"/>
          <w:sz w:val="32"/>
          <w:szCs w:val="32"/>
        </w:rPr>
        <w:t>我受区政府委托，向大会书面报告常州市新北区2024年财政预算执行情况与2025</w:t>
      </w:r>
      <w:r>
        <w:rPr>
          <w:rFonts w:ascii="仿宋_GB2312" w:eastAsia="仿宋_GB2312" w:hAnsi="仿宋" w:hint="eastAsia"/>
          <w:sz w:val="32"/>
          <w:szCs w:val="32"/>
        </w:rPr>
        <w:t>年财政预算草案，请予审议，并请各位政协委员和其他列席会议的同志提出意见和建议。</w:t>
      </w:r>
    </w:p>
    <w:p w:rsidR="000D1C6C" w:rsidRDefault="001E5366" w:rsidP="006873F8">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一、2024年财政预算执行情况</w:t>
      </w:r>
    </w:p>
    <w:p w:rsidR="003808A6" w:rsidRDefault="001E5366" w:rsidP="006873F8">
      <w:pPr>
        <w:spacing w:line="560" w:lineRule="exact"/>
        <w:ind w:firstLineChars="200" w:firstLine="640"/>
        <w:rPr>
          <w:rFonts w:ascii="仿宋_GB2312" w:eastAsia="仿宋_GB2312" w:hAnsi="仿宋" w:cs="Tahoma"/>
          <w:sz w:val="32"/>
          <w:szCs w:val="32"/>
        </w:rPr>
      </w:pPr>
      <w:r>
        <w:rPr>
          <w:rFonts w:ascii="仿宋_GB2312" w:eastAsia="仿宋_GB2312" w:hAnsi="仿宋" w:hint="eastAsia"/>
          <w:sz w:val="32"/>
          <w:szCs w:val="32"/>
        </w:rPr>
        <w:t>2024年，全区财政部门在区委、区政府的正确领导下，在区人大、政协的监督支持下，以习近平新时代中国特色社会主义思想为指导，</w:t>
      </w:r>
      <w:r>
        <w:rPr>
          <w:rFonts w:ascii="仿宋_GB2312" w:eastAsia="仿宋_GB2312" w:hAnsi="仿宋" w:cs="Tahoma" w:hint="eastAsia"/>
          <w:sz w:val="32"/>
          <w:szCs w:val="32"/>
        </w:rPr>
        <w:t>坚持稳中求进、以进促稳、先立后破，认真贯彻落实“提质增效、更可持续”的积极财政政策，加强财政资源统筹，优化财政支出结构，兜牢基层“三保”底线，深化财政管理改革，防范化解财政风险，巩固和增强经济回升向好态势，为全区经济社会高质量发展提供稳定的财政保障。</w:t>
      </w:r>
    </w:p>
    <w:p w:rsidR="000D1C6C" w:rsidRDefault="001E5366" w:rsidP="006873F8">
      <w:pPr>
        <w:spacing w:line="560" w:lineRule="exact"/>
        <w:ind w:firstLineChars="200" w:firstLine="640"/>
        <w:rPr>
          <w:rFonts w:ascii="楷体_GB2312" w:eastAsia="楷体_GB2312" w:hAnsi="楷体_GB2312" w:cs="楷体_GB2312"/>
          <w:bCs/>
          <w:color w:val="000000" w:themeColor="text1"/>
          <w:sz w:val="32"/>
          <w:szCs w:val="32"/>
        </w:rPr>
      </w:pPr>
      <w:r>
        <w:rPr>
          <w:rFonts w:ascii="楷体_GB2312" w:eastAsia="楷体_GB2312" w:hAnsi="楷体_GB2312" w:cs="楷体_GB2312" w:hint="eastAsia"/>
          <w:bCs/>
          <w:color w:val="000000" w:themeColor="text1"/>
          <w:sz w:val="32"/>
          <w:szCs w:val="32"/>
        </w:rPr>
        <w:t>（一）全区财政预算执行情况</w:t>
      </w:r>
    </w:p>
    <w:p w:rsidR="000D1C6C" w:rsidRDefault="001E5366" w:rsidP="006873F8">
      <w:pPr>
        <w:adjustRightInd w:val="0"/>
        <w:snapToGrid w:val="0"/>
        <w:spacing w:line="560" w:lineRule="exact"/>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w:t>
      </w:r>
      <w:r w:rsidR="003808A6">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
          <w:color w:val="000000" w:themeColor="text1"/>
          <w:sz w:val="32"/>
          <w:szCs w:val="32"/>
        </w:rPr>
        <w:t>一般公共预算执行情况</w:t>
      </w:r>
    </w:p>
    <w:p w:rsidR="000D1C6C" w:rsidRDefault="001E5366" w:rsidP="006873F8">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2024年全区一般公共预算收入完成150.9亿元，同比增长4.5%。其中税收收入完成133.5亿元，同比增长0.91%。</w:t>
      </w:r>
    </w:p>
    <w:p w:rsidR="000D1C6C" w:rsidRDefault="001E5366" w:rsidP="006873F8">
      <w:pPr>
        <w:adjustRightInd w:val="0"/>
        <w:snapToGrid w:val="0"/>
        <w:spacing w:line="560" w:lineRule="exact"/>
        <w:ind w:firstLineChars="200" w:firstLine="640"/>
        <w:rPr>
          <w:rFonts w:ascii="仿宋_GB2312" w:eastAsia="仿宋_GB2312" w:hAnsi="仿宋"/>
          <w:sz w:val="32"/>
          <w:szCs w:val="32"/>
          <w:highlight w:val="yellow"/>
        </w:rPr>
      </w:pPr>
      <w:r>
        <w:rPr>
          <w:rFonts w:ascii="仿宋_GB2312" w:eastAsia="仿宋_GB2312" w:hAnsi="仿宋" w:hint="eastAsia"/>
          <w:sz w:val="32"/>
          <w:szCs w:val="32"/>
        </w:rPr>
        <w:lastRenderedPageBreak/>
        <w:t>全区一般公共预算支出完成100.98亿元，同比下降1.5%，减支1.54亿元，其中区本级一般公共预算支出完成54亿元，同比下降7.17%，减支4.17亿元。</w:t>
      </w:r>
    </w:p>
    <w:p w:rsidR="000D1C6C" w:rsidRDefault="001E5366" w:rsidP="006873F8">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w:t>
      </w:r>
      <w:r w:rsidR="003808A6">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政府性基金预算执行情况</w:t>
      </w:r>
    </w:p>
    <w:p w:rsidR="000D1C6C" w:rsidRDefault="001E5366" w:rsidP="006873F8">
      <w:pPr>
        <w:adjustRightInd w:val="0"/>
        <w:snapToGrid w:val="0"/>
        <w:spacing w:line="560" w:lineRule="exact"/>
        <w:ind w:firstLineChars="200" w:firstLine="640"/>
        <w:rPr>
          <w:rFonts w:ascii="仿宋_GB2312" w:eastAsia="仿宋_GB2312" w:hAnsi="仿宋"/>
          <w:sz w:val="32"/>
          <w:szCs w:val="32"/>
          <w:highlight w:val="yellow"/>
        </w:rPr>
      </w:pPr>
      <w:r>
        <w:rPr>
          <w:rFonts w:ascii="仿宋_GB2312" w:eastAsia="仿宋_GB2312" w:hAnsi="仿宋" w:hint="eastAsia"/>
          <w:sz w:val="32"/>
          <w:szCs w:val="32"/>
        </w:rPr>
        <w:t>2024年全区政府性基金预算收入完成103亿元，同比下降31.23%，减收46.78亿元。</w:t>
      </w:r>
    </w:p>
    <w:p w:rsidR="000D1C6C" w:rsidRDefault="001E5366" w:rsidP="006873F8">
      <w:pPr>
        <w:adjustRightInd w:val="0"/>
        <w:snapToGrid w:val="0"/>
        <w:spacing w:line="560" w:lineRule="exact"/>
        <w:ind w:firstLineChars="200" w:firstLine="640"/>
        <w:rPr>
          <w:rFonts w:ascii="仿宋_GB2312" w:eastAsia="仿宋_GB2312" w:hAnsi="仿宋"/>
          <w:sz w:val="32"/>
          <w:szCs w:val="32"/>
          <w:highlight w:val="yellow"/>
        </w:rPr>
      </w:pPr>
      <w:r>
        <w:rPr>
          <w:rFonts w:ascii="仿宋_GB2312" w:eastAsia="仿宋_GB2312" w:hAnsi="仿宋" w:hint="eastAsia"/>
          <w:sz w:val="32"/>
          <w:szCs w:val="32"/>
        </w:rPr>
        <w:t>全区政府性基金预算支出完成109.89亿元，同比下降28.74%，减支44.32亿元。其中区本级政府性基金预算支出完成80.44亿元，同比下降27.34%，减支30.27亿元。</w:t>
      </w:r>
    </w:p>
    <w:p w:rsidR="000D1C6C" w:rsidRDefault="001E5366" w:rsidP="006873F8">
      <w:pPr>
        <w:adjustRightInd w:val="0"/>
        <w:snapToGrid w:val="0"/>
        <w:spacing w:line="560" w:lineRule="exact"/>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sidR="003808A6">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国有资本经营预算执行情况</w:t>
      </w:r>
    </w:p>
    <w:p w:rsidR="000D1C6C" w:rsidRDefault="001E5366" w:rsidP="006873F8">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2024年全区国有资本经营预算收入完成0.26亿元，国有资本经营预算支出完成0.26亿元。其中区本级国有资本经营预算收入完成0.26亿元，国有资本经营预算支出完成0.26亿元。</w:t>
      </w:r>
    </w:p>
    <w:p w:rsidR="000D1C6C" w:rsidRDefault="001E5366" w:rsidP="006873F8">
      <w:pPr>
        <w:adjustRightInd w:val="0"/>
        <w:snapToGrid w:val="0"/>
        <w:spacing w:line="560" w:lineRule="exact"/>
        <w:ind w:firstLineChars="200" w:firstLine="640"/>
        <w:rPr>
          <w:rFonts w:ascii="仿宋_GB2312" w:eastAsia="仿宋_GB2312" w:hAnsi="仿宋"/>
          <w:sz w:val="32"/>
          <w:szCs w:val="32"/>
          <w:highlight w:val="yellow"/>
        </w:rPr>
      </w:pPr>
      <w:r>
        <w:rPr>
          <w:rFonts w:ascii="仿宋_GB2312" w:eastAsia="仿宋_GB2312" w:hAnsi="仿宋" w:hint="eastAsia"/>
          <w:sz w:val="32"/>
          <w:szCs w:val="32"/>
        </w:rPr>
        <w:t>以上预算执行情况为预计数，待2024年财政决算正式编制完成后，再报请区人大常委会审查批准。</w:t>
      </w:r>
    </w:p>
    <w:p w:rsidR="000D1C6C" w:rsidRDefault="001E5366" w:rsidP="006873F8">
      <w:pPr>
        <w:adjustRightInd w:val="0"/>
        <w:snapToGrid w:val="0"/>
        <w:spacing w:line="56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（二）滨开区财政预算执行情况</w:t>
      </w:r>
    </w:p>
    <w:p w:rsidR="000D1C6C" w:rsidRDefault="001E5366" w:rsidP="006873F8">
      <w:pPr>
        <w:adjustRightInd w:val="0"/>
        <w:snapToGrid w:val="0"/>
        <w:spacing w:line="560" w:lineRule="exact"/>
        <w:ind w:firstLineChars="200" w:firstLine="643"/>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1</w:t>
      </w:r>
      <w:r w:rsidR="003808A6">
        <w:rPr>
          <w:rFonts w:ascii="仿宋_GB2312" w:eastAsia="仿宋_GB2312" w:hAnsi="仿宋_GB2312" w:cs="仿宋_GB2312" w:hint="eastAsia"/>
          <w:b/>
          <w:color w:val="000000" w:themeColor="text1"/>
          <w:sz w:val="32"/>
          <w:szCs w:val="32"/>
        </w:rPr>
        <w:t>．</w:t>
      </w:r>
      <w:r>
        <w:rPr>
          <w:rFonts w:ascii="仿宋_GB2312" w:eastAsia="仿宋_GB2312" w:hAnsi="仿宋_GB2312" w:cs="仿宋_GB2312" w:hint="eastAsia"/>
          <w:b/>
          <w:color w:val="000000" w:themeColor="text1"/>
          <w:sz w:val="32"/>
          <w:szCs w:val="32"/>
        </w:rPr>
        <w:t>一般公共预算执行情况</w:t>
      </w:r>
    </w:p>
    <w:p w:rsidR="000D1C6C" w:rsidRDefault="001E5366" w:rsidP="006873F8">
      <w:pPr>
        <w:adjustRightInd w:val="0"/>
        <w:snapToGrid w:val="0"/>
        <w:spacing w:line="560" w:lineRule="exact"/>
        <w:ind w:firstLineChars="200" w:firstLine="640"/>
        <w:rPr>
          <w:rFonts w:ascii="仿宋_GB2312" w:eastAsia="仿宋_GB2312" w:hAnsi="仿宋_GB2312" w:cs="仿宋_GB2312"/>
          <w:b/>
          <w:sz w:val="32"/>
          <w:szCs w:val="32"/>
          <w:highlight w:val="yellow"/>
        </w:rPr>
      </w:pPr>
      <w:r>
        <w:rPr>
          <w:rFonts w:ascii="仿宋_GB2312" w:eastAsia="仿宋_GB2312" w:hAnsi="仿宋_GB2312" w:cs="仿宋_GB2312" w:hint="eastAsia"/>
          <w:bCs/>
          <w:sz w:val="32"/>
          <w:szCs w:val="32"/>
        </w:rPr>
        <w:t>2024年滨开区一般公共预算收入预计完成30.67亿元，同比增长3.45%。滨开区一般公共预算支出预计完成11.2亿元，同比增长0.21%，增支232万元。</w:t>
      </w:r>
    </w:p>
    <w:p w:rsidR="000D1C6C" w:rsidRDefault="001E5366" w:rsidP="006873F8">
      <w:pPr>
        <w:adjustRightInd w:val="0"/>
        <w:snapToGrid w:val="0"/>
        <w:spacing w:line="560" w:lineRule="exact"/>
        <w:ind w:firstLineChars="200" w:firstLine="643"/>
        <w:rPr>
          <w:rFonts w:ascii="楷体_GB2312" w:eastAsia="楷体_GB2312" w:hAnsi="楷体_GB2312" w:cs="楷体_GB2312"/>
          <w:bCs/>
          <w:sz w:val="32"/>
          <w:szCs w:val="32"/>
        </w:rPr>
      </w:pPr>
      <w:r>
        <w:rPr>
          <w:rFonts w:ascii="仿宋_GB2312" w:eastAsia="仿宋_GB2312" w:hAnsi="仿宋_GB2312" w:cs="仿宋_GB2312" w:hint="eastAsia"/>
          <w:b/>
          <w:sz w:val="32"/>
          <w:szCs w:val="32"/>
        </w:rPr>
        <w:t>2</w:t>
      </w:r>
      <w:r w:rsidR="003808A6">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政府性基金预算执行情况</w:t>
      </w:r>
    </w:p>
    <w:p w:rsidR="000D1C6C" w:rsidRDefault="001E5366" w:rsidP="006873F8">
      <w:pPr>
        <w:adjustRightInd w:val="0"/>
        <w:snapToGrid w:val="0"/>
        <w:spacing w:line="560" w:lineRule="exact"/>
        <w:ind w:firstLineChars="200" w:firstLine="640"/>
        <w:rPr>
          <w:rFonts w:ascii="楷体_GB2312" w:eastAsia="楷体_GB2312" w:hAnsi="楷体_GB2312" w:cs="楷体_GB2312"/>
          <w:bCs/>
          <w:sz w:val="32"/>
          <w:szCs w:val="32"/>
        </w:rPr>
      </w:pPr>
      <w:r>
        <w:rPr>
          <w:rFonts w:ascii="仿宋_GB2312" w:eastAsia="仿宋_GB2312" w:hAnsi="仿宋_GB2312" w:cs="仿宋_GB2312" w:hint="eastAsia"/>
          <w:bCs/>
          <w:sz w:val="32"/>
          <w:szCs w:val="32"/>
        </w:rPr>
        <w:t>2024年滨开区政府性基金预算收入预计完成9.34亿元，同比</w:t>
      </w:r>
      <w:r>
        <w:rPr>
          <w:rFonts w:ascii="仿宋_GB2312" w:eastAsia="仿宋_GB2312" w:hAnsi="仿宋_GB2312" w:cs="仿宋_GB2312" w:hint="eastAsia"/>
          <w:bCs/>
          <w:sz w:val="32"/>
          <w:szCs w:val="32"/>
        </w:rPr>
        <w:lastRenderedPageBreak/>
        <w:t>下降49.48%，减</w:t>
      </w:r>
      <w:r w:rsidR="00F32F2C">
        <w:rPr>
          <w:rFonts w:ascii="仿宋_GB2312" w:eastAsia="仿宋_GB2312" w:hAnsi="仿宋_GB2312" w:cs="仿宋_GB2312" w:hint="eastAsia"/>
          <w:bCs/>
          <w:sz w:val="32"/>
          <w:szCs w:val="32"/>
        </w:rPr>
        <w:t>收</w:t>
      </w:r>
      <w:r>
        <w:rPr>
          <w:rFonts w:ascii="仿宋_GB2312" w:eastAsia="仿宋_GB2312" w:hAnsi="仿宋_GB2312" w:cs="仿宋_GB2312" w:hint="eastAsia"/>
          <w:bCs/>
          <w:sz w:val="32"/>
          <w:szCs w:val="32"/>
        </w:rPr>
        <w:t>9.15亿元。政府性基金预算支出预计完成9.34亿元，同比下降47.34%，减支8.55亿元。</w:t>
      </w:r>
    </w:p>
    <w:p w:rsidR="000D1C6C" w:rsidRDefault="001E5366" w:rsidP="006873F8">
      <w:pPr>
        <w:adjustRightInd w:val="0"/>
        <w:snapToGrid w:val="0"/>
        <w:spacing w:line="540" w:lineRule="exact"/>
        <w:ind w:firstLineChars="200" w:firstLine="640"/>
        <w:rPr>
          <w:rFonts w:ascii="楷体_GB2312" w:eastAsia="楷体_GB2312" w:hAnsi="楷体_GB2312" w:cs="楷体_GB2312"/>
          <w:bCs/>
          <w:sz w:val="32"/>
          <w:szCs w:val="32"/>
        </w:rPr>
      </w:pPr>
      <w:r>
        <w:rPr>
          <w:rFonts w:ascii="楷体_GB2312" w:eastAsia="楷体_GB2312" w:hAnsi="楷体_GB2312" w:cs="楷体_GB2312" w:hint="eastAsia"/>
          <w:bCs/>
          <w:sz w:val="32"/>
          <w:szCs w:val="32"/>
        </w:rPr>
        <w:t>（三）2024年财政主要工作情况</w:t>
      </w:r>
    </w:p>
    <w:p w:rsidR="000D1C6C" w:rsidRDefault="001E5366" w:rsidP="006873F8">
      <w:pPr>
        <w:spacing w:line="540" w:lineRule="exact"/>
        <w:ind w:firstLineChars="200" w:firstLine="643"/>
        <w:rPr>
          <w:rFonts w:ascii="仿宋_GB2312" w:eastAsia="仿宋_GB2312" w:hAnsi="仿宋" w:cs="Tahoma"/>
          <w:b/>
          <w:bCs/>
          <w:color w:val="000000" w:themeColor="text1"/>
          <w:sz w:val="32"/>
          <w:szCs w:val="32"/>
        </w:rPr>
      </w:pPr>
      <w:r>
        <w:rPr>
          <w:rFonts w:ascii="仿宋_GB2312" w:eastAsia="仿宋_GB2312" w:hAnsi="仿宋" w:cs="Tahoma" w:hint="eastAsia"/>
          <w:b/>
          <w:bCs/>
          <w:color w:val="000000" w:themeColor="text1"/>
          <w:sz w:val="32"/>
          <w:szCs w:val="32"/>
        </w:rPr>
        <w:t>1</w:t>
      </w:r>
      <w:r w:rsidR="003808A6">
        <w:rPr>
          <w:rFonts w:ascii="仿宋_GB2312" w:eastAsia="仿宋_GB2312" w:hAnsi="仿宋" w:cs="Tahoma" w:hint="eastAsia"/>
          <w:b/>
          <w:bCs/>
          <w:color w:val="000000" w:themeColor="text1"/>
          <w:sz w:val="32"/>
          <w:szCs w:val="32"/>
        </w:rPr>
        <w:t>．</w:t>
      </w:r>
      <w:r>
        <w:rPr>
          <w:rFonts w:ascii="仿宋_GB2312" w:eastAsia="仿宋_GB2312" w:hAnsi="仿宋" w:cs="Tahoma" w:hint="eastAsia"/>
          <w:b/>
          <w:bCs/>
          <w:color w:val="000000" w:themeColor="text1"/>
          <w:sz w:val="32"/>
          <w:szCs w:val="32"/>
        </w:rPr>
        <w:t>以开源节流为切入点，谱写财政工作新篇章</w:t>
      </w:r>
    </w:p>
    <w:p w:rsidR="000D1C6C" w:rsidRPr="001031B4" w:rsidRDefault="001E5366" w:rsidP="006873F8">
      <w:pPr>
        <w:spacing w:line="540" w:lineRule="exact"/>
        <w:ind w:firstLineChars="200" w:firstLine="640"/>
      </w:pPr>
      <w:r w:rsidRPr="001031B4">
        <w:rPr>
          <w:rFonts w:ascii="仿宋_GB2312" w:eastAsia="仿宋_GB2312" w:hAnsi="仿宋" w:cs="Tahoma" w:hint="eastAsia"/>
          <w:bCs/>
          <w:color w:val="000000" w:themeColor="text1"/>
          <w:sz w:val="32"/>
          <w:szCs w:val="32"/>
        </w:rPr>
        <w:t>一是多措并举狠抓收入组织。</w:t>
      </w:r>
      <w:r w:rsidRPr="001031B4">
        <w:rPr>
          <w:rFonts w:ascii="仿宋_GB2312" w:eastAsia="仿宋_GB2312" w:hAnsi="仿宋" w:cs="Tahoma" w:hint="eastAsia"/>
          <w:color w:val="000000" w:themeColor="text1"/>
          <w:sz w:val="32"/>
          <w:szCs w:val="32"/>
        </w:rPr>
        <w:t>围绕全年收入预期目标，有效克服经济下行、同期税收高基数效应、房地产业税收减收等因素影响，加强收入分析研判，强化税收协同共治，跟踪分析重点行业、重点税源情况，全面排摸、深入挖掘潜在税源，确保应收尽收。</w:t>
      </w:r>
      <w:r w:rsidRPr="001031B4">
        <w:rPr>
          <w:rFonts w:ascii="仿宋_GB2312" w:eastAsia="仿宋_GB2312" w:hAnsi="仿宋" w:cs="Tahoma" w:hint="eastAsia"/>
          <w:bCs/>
          <w:color w:val="000000" w:themeColor="text1"/>
          <w:sz w:val="32"/>
          <w:szCs w:val="32"/>
        </w:rPr>
        <w:t>二是精准发力向上争取资金。</w:t>
      </w:r>
      <w:r w:rsidRPr="001031B4">
        <w:rPr>
          <w:rFonts w:ascii="仿宋_GB2312" w:eastAsia="仿宋_GB2312" w:hAnsi="仿宋" w:cs="Tahoma" w:hint="eastAsia"/>
          <w:color w:val="000000" w:themeColor="text1"/>
          <w:sz w:val="32"/>
          <w:szCs w:val="32"/>
        </w:rPr>
        <w:t>紧盯上级转移支付资金和专项资金政策投向，准确把握政策要求，强化部门联动，积极向上争取</w:t>
      </w:r>
      <w:r w:rsidRPr="001031B4">
        <w:rPr>
          <w:rFonts w:ascii="仿宋_GB2312" w:eastAsia="仿宋_GB2312" w:hAnsi="仿宋" w:cs="Tahoma" w:hint="eastAsia"/>
          <w:color w:val="000000" w:themeColor="text1"/>
          <w:spacing w:val="-2"/>
          <w:sz w:val="32"/>
          <w:szCs w:val="32"/>
        </w:rPr>
        <w:t>。全年累计争取上级专项资金15亿元，主要涉及教育支出、科学技术、节能环保、农业农村、社会保障、卫生健康等方面。</w:t>
      </w:r>
      <w:r w:rsidRPr="001031B4">
        <w:rPr>
          <w:rFonts w:ascii="仿宋_GB2312" w:eastAsia="仿宋_GB2312" w:hAnsi="仿宋" w:cs="Tahoma" w:hint="eastAsia"/>
          <w:bCs/>
          <w:color w:val="000000" w:themeColor="text1"/>
          <w:spacing w:val="-2"/>
          <w:sz w:val="32"/>
          <w:szCs w:val="32"/>
        </w:rPr>
        <w:t>三是有保有压优化财政支出。</w:t>
      </w:r>
      <w:r w:rsidRPr="001031B4">
        <w:rPr>
          <w:rFonts w:ascii="仿宋_GB2312" w:eastAsia="仿宋_GB2312" w:hAnsi="仿宋" w:cs="Tahoma" w:hint="eastAsia"/>
          <w:color w:val="000000" w:themeColor="text1"/>
          <w:spacing w:val="-2"/>
          <w:sz w:val="32"/>
          <w:szCs w:val="32"/>
        </w:rPr>
        <w:t>坚持党政机关过“紧日子”思想，</w:t>
      </w:r>
      <w:r w:rsidRPr="001031B4">
        <w:rPr>
          <w:rFonts w:ascii="仿宋_GB2312" w:eastAsia="仿宋_GB2312" w:hAnsi="黑体" w:hint="eastAsia"/>
          <w:color w:val="000000"/>
          <w:spacing w:val="-2"/>
          <w:kern w:val="0"/>
          <w:sz w:val="32"/>
        </w:rPr>
        <w:t>把牢预</w:t>
      </w:r>
      <w:r w:rsidRPr="001031B4">
        <w:rPr>
          <w:rFonts w:ascii="仿宋_GB2312" w:eastAsia="仿宋_GB2312" w:hAnsi="黑体" w:hint="eastAsia"/>
          <w:color w:val="000000"/>
          <w:kern w:val="0"/>
          <w:sz w:val="32"/>
        </w:rPr>
        <w:t>算支出、资产配置、政府采购等关口，严控“三公两费”开支，</w:t>
      </w:r>
      <w:r w:rsidRPr="001031B4">
        <w:rPr>
          <w:rFonts w:ascii="仿宋_GB2312" w:eastAsia="仿宋_GB2312" w:hAnsi="仿宋" w:cs="Tahoma" w:hint="eastAsia"/>
          <w:color w:val="000000" w:themeColor="text1"/>
          <w:sz w:val="32"/>
          <w:szCs w:val="32"/>
        </w:rPr>
        <w:t>通过压减一般性支出、统筹整合专项、优化支出结构等措施收回资金1.25亿元，腾挪更多财政资源用于民生紧要处、发展关键处。</w:t>
      </w:r>
    </w:p>
    <w:p w:rsidR="000D1C6C" w:rsidRDefault="001E5366" w:rsidP="006873F8">
      <w:pPr>
        <w:spacing w:line="540" w:lineRule="exact"/>
        <w:ind w:firstLineChars="200" w:firstLine="643"/>
        <w:rPr>
          <w:rFonts w:ascii="仿宋_GB2312" w:eastAsia="仿宋_GB2312" w:hAnsi="仿宋" w:cs="Tahoma"/>
          <w:b/>
          <w:bCs/>
          <w:color w:val="000000" w:themeColor="text1"/>
          <w:sz w:val="32"/>
          <w:szCs w:val="32"/>
        </w:rPr>
      </w:pPr>
      <w:r>
        <w:rPr>
          <w:rFonts w:ascii="仿宋_GB2312" w:eastAsia="仿宋_GB2312" w:hAnsi="仿宋" w:cs="Tahoma" w:hint="eastAsia"/>
          <w:b/>
          <w:bCs/>
          <w:color w:val="000000" w:themeColor="text1"/>
          <w:sz w:val="32"/>
          <w:szCs w:val="32"/>
        </w:rPr>
        <w:t>2</w:t>
      </w:r>
      <w:r w:rsidR="003808A6">
        <w:rPr>
          <w:rFonts w:ascii="仿宋_GB2312" w:eastAsia="仿宋_GB2312" w:hAnsi="仿宋" w:cs="Tahoma" w:hint="eastAsia"/>
          <w:b/>
          <w:bCs/>
          <w:color w:val="000000" w:themeColor="text1"/>
          <w:sz w:val="32"/>
          <w:szCs w:val="32"/>
        </w:rPr>
        <w:t>．</w:t>
      </w:r>
      <w:r>
        <w:rPr>
          <w:rFonts w:ascii="仿宋_GB2312" w:eastAsia="仿宋_GB2312" w:hAnsi="仿宋" w:cs="Tahoma" w:hint="eastAsia"/>
          <w:b/>
          <w:bCs/>
          <w:color w:val="000000" w:themeColor="text1"/>
          <w:sz w:val="32"/>
          <w:szCs w:val="32"/>
        </w:rPr>
        <w:t>以拉动经济为出发点，激发财政工作新动能</w:t>
      </w:r>
    </w:p>
    <w:p w:rsidR="000D1C6C" w:rsidRPr="001031B4" w:rsidRDefault="001E5366" w:rsidP="006873F8">
      <w:pPr>
        <w:spacing w:line="540" w:lineRule="exact"/>
        <w:ind w:firstLineChars="200" w:firstLine="640"/>
        <w:rPr>
          <w:rFonts w:ascii="仿宋_GB2312" w:eastAsia="仿宋_GB2312" w:hAnsi="仿宋" w:cs="Tahoma"/>
          <w:color w:val="000000" w:themeColor="text1"/>
          <w:sz w:val="32"/>
          <w:szCs w:val="32"/>
        </w:rPr>
      </w:pPr>
      <w:r w:rsidRPr="001031B4">
        <w:rPr>
          <w:rFonts w:ascii="仿宋_GB2312" w:eastAsia="仿宋_GB2312" w:hAnsi="仿宋" w:cs="Tahoma" w:hint="eastAsia"/>
          <w:bCs/>
          <w:color w:val="000000" w:themeColor="text1"/>
          <w:sz w:val="32"/>
          <w:szCs w:val="32"/>
        </w:rPr>
        <w:t>一是扶持产业加速发展。</w:t>
      </w:r>
      <w:r w:rsidRPr="001031B4">
        <w:rPr>
          <w:rFonts w:ascii="仿宋_GB2312" w:eastAsia="仿宋_GB2312" w:hAnsi="仿宋" w:cs="Tahoma" w:hint="eastAsia"/>
          <w:color w:val="000000" w:themeColor="text1"/>
          <w:sz w:val="32"/>
          <w:szCs w:val="32"/>
        </w:rPr>
        <w:t>聚焦“532”发展战略和“新能源之都”建设机遇，围绕“1115”大企业、专精特新“小巨人”企业培育目标，联合主管部门修订完善“才聚高新 智汇新北”升级版人才政策、“科创积分贷”担保贷款实施办法等政策，有力促进企业转型升级，提升产业质态。</w:t>
      </w:r>
      <w:r w:rsidRPr="001031B4">
        <w:rPr>
          <w:rFonts w:ascii="仿宋_GB2312" w:eastAsia="仿宋_GB2312" w:hAnsi="仿宋" w:cs="Tahoma" w:hint="eastAsia"/>
          <w:bCs/>
          <w:color w:val="000000" w:themeColor="text1"/>
          <w:sz w:val="32"/>
          <w:szCs w:val="32"/>
        </w:rPr>
        <w:t>二是助力创新科技发展。</w:t>
      </w:r>
      <w:r w:rsidRPr="001031B4">
        <w:rPr>
          <w:rFonts w:ascii="仿宋_GB2312" w:eastAsia="仿宋_GB2312" w:hAnsi="仿宋" w:cs="Tahoma" w:hint="eastAsia"/>
          <w:color w:val="000000" w:themeColor="text1"/>
          <w:sz w:val="32"/>
          <w:szCs w:val="32"/>
        </w:rPr>
        <w:t>用好财政专项资金、政府投资基金等各类政策工具，加大对科技、人才、</w:t>
      </w:r>
      <w:r w:rsidRPr="001031B4">
        <w:rPr>
          <w:rFonts w:ascii="仿宋_GB2312" w:eastAsia="仿宋_GB2312" w:hAnsi="仿宋" w:cs="Tahoma" w:hint="eastAsia"/>
          <w:color w:val="000000" w:themeColor="text1"/>
          <w:sz w:val="32"/>
          <w:szCs w:val="32"/>
        </w:rPr>
        <w:lastRenderedPageBreak/>
        <w:t>产业引导等各级各类专项扶持资金的拨付力度，着力支持创新载体提档升级，推动形成新质生产力。</w:t>
      </w:r>
      <w:r w:rsidRPr="001031B4">
        <w:rPr>
          <w:rFonts w:ascii="仿宋_GB2312" w:eastAsia="仿宋_GB2312" w:hAnsi="仿宋" w:cs="Tahoma" w:hint="eastAsia"/>
          <w:bCs/>
          <w:color w:val="000000" w:themeColor="text1"/>
          <w:sz w:val="32"/>
          <w:szCs w:val="32"/>
        </w:rPr>
        <w:t>三是释放债券发展效能。</w:t>
      </w:r>
      <w:r w:rsidRPr="001031B4">
        <w:rPr>
          <w:rFonts w:ascii="仿宋_GB2312" w:eastAsia="仿宋_GB2312" w:hAnsi="仿宋" w:cs="Tahoma" w:hint="eastAsia"/>
          <w:color w:val="000000" w:themeColor="text1"/>
          <w:sz w:val="32"/>
          <w:szCs w:val="32"/>
        </w:rPr>
        <w:t>提前谋划做好项目储备，用足用好新增地方政府债券，全年新增一般债券0.5亿元、新增专项债券29.09亿元、增发国债0.69亿元、超长期特别国债1.23亿元，支持建设项目36个，为我区重大建设项目提供有力支持。</w:t>
      </w:r>
    </w:p>
    <w:p w:rsidR="000D1C6C" w:rsidRDefault="001E5366" w:rsidP="006873F8">
      <w:pPr>
        <w:spacing w:line="500" w:lineRule="exact"/>
        <w:ind w:firstLineChars="200" w:firstLine="643"/>
        <w:rPr>
          <w:rFonts w:ascii="仿宋_GB2312" w:eastAsia="仿宋_GB2312" w:hAnsi="仿宋" w:cs="Tahoma"/>
          <w:b/>
          <w:bCs/>
          <w:color w:val="000000" w:themeColor="text1"/>
          <w:sz w:val="32"/>
          <w:szCs w:val="32"/>
        </w:rPr>
      </w:pPr>
      <w:r>
        <w:rPr>
          <w:rFonts w:ascii="仿宋_GB2312" w:eastAsia="仿宋_GB2312" w:hAnsi="仿宋" w:cs="Tahoma" w:hint="eastAsia"/>
          <w:b/>
          <w:bCs/>
          <w:color w:val="000000" w:themeColor="text1"/>
          <w:sz w:val="32"/>
          <w:szCs w:val="32"/>
        </w:rPr>
        <w:t>3</w:t>
      </w:r>
      <w:r w:rsidR="003808A6">
        <w:rPr>
          <w:rFonts w:ascii="仿宋_GB2312" w:eastAsia="仿宋_GB2312" w:hAnsi="仿宋" w:cs="Tahoma" w:hint="eastAsia"/>
          <w:b/>
          <w:bCs/>
          <w:color w:val="000000" w:themeColor="text1"/>
          <w:sz w:val="32"/>
          <w:szCs w:val="32"/>
        </w:rPr>
        <w:t>．</w:t>
      </w:r>
      <w:r>
        <w:rPr>
          <w:rFonts w:ascii="仿宋_GB2312" w:eastAsia="仿宋_GB2312" w:hAnsi="仿宋" w:cs="Tahoma" w:hint="eastAsia"/>
          <w:b/>
          <w:bCs/>
          <w:color w:val="000000" w:themeColor="text1"/>
          <w:sz w:val="32"/>
          <w:szCs w:val="32"/>
        </w:rPr>
        <w:t>以改善民生为基本点，彰显财政工作新作为</w:t>
      </w:r>
    </w:p>
    <w:p w:rsidR="000D1C6C" w:rsidRPr="001031B4" w:rsidRDefault="001E5366" w:rsidP="006873F8">
      <w:pPr>
        <w:spacing w:line="530" w:lineRule="exact"/>
        <w:ind w:firstLineChars="200" w:firstLine="640"/>
        <w:rPr>
          <w:rFonts w:ascii="仿宋_GB2312" w:eastAsia="仿宋_GB2312"/>
          <w:sz w:val="32"/>
          <w:szCs w:val="32"/>
        </w:rPr>
      </w:pPr>
      <w:r w:rsidRPr="001031B4">
        <w:rPr>
          <w:rFonts w:ascii="仿宋_GB2312" w:eastAsia="仿宋_GB2312" w:hint="eastAsia"/>
          <w:bCs/>
          <w:sz w:val="32"/>
          <w:szCs w:val="32"/>
        </w:rPr>
        <w:t>一是兜牢社会救助底线。</w:t>
      </w:r>
      <w:r w:rsidRPr="001031B4">
        <w:rPr>
          <w:rFonts w:ascii="仿宋_GB2312" w:eastAsia="仿宋_GB2312" w:hint="eastAsia"/>
          <w:sz w:val="32"/>
          <w:szCs w:val="32"/>
        </w:rPr>
        <w:t>全年累计发放各类困难群体补助7380万元，用于支持社会救助、安置优抚、残疾帮扶等。社保补助标准持续提高，城乡居民基本养老保险基础养老金提高至每人每月490元，城乡低保标准提高至每人每月1040元。</w:t>
      </w:r>
      <w:r w:rsidRPr="001031B4">
        <w:rPr>
          <w:rFonts w:ascii="仿宋_GB2312" w:eastAsia="仿宋_GB2312" w:hint="eastAsia"/>
          <w:bCs/>
          <w:sz w:val="32"/>
          <w:szCs w:val="32"/>
        </w:rPr>
        <w:t>二是落实就业优先政策</w:t>
      </w:r>
      <w:r w:rsidRPr="001031B4">
        <w:rPr>
          <w:rFonts w:ascii="仿宋_GB2312" w:eastAsia="仿宋_GB2312" w:hint="eastAsia"/>
          <w:sz w:val="32"/>
          <w:szCs w:val="32"/>
        </w:rPr>
        <w:t>。强化就业资金保障，全年累计拨付各项就业创业补助资金3300万元，重点用于发放社会保险补贴、就业创业培训补贴、职业培训补贴等，加大重点人群就业帮扶力度，促进财政政策和就业政策同向发力。</w:t>
      </w:r>
      <w:r w:rsidRPr="001031B4">
        <w:rPr>
          <w:rFonts w:ascii="仿宋_GB2312" w:eastAsia="仿宋_GB2312" w:hint="eastAsia"/>
          <w:bCs/>
          <w:sz w:val="32"/>
          <w:szCs w:val="32"/>
        </w:rPr>
        <w:t>三是优化公共服务供给。</w:t>
      </w:r>
      <w:r w:rsidRPr="001031B4">
        <w:rPr>
          <w:rFonts w:ascii="仿宋_GB2312" w:eastAsia="仿宋_GB2312" w:hint="eastAsia"/>
          <w:sz w:val="32"/>
          <w:szCs w:val="32"/>
        </w:rPr>
        <w:t>聚焦“一老一小”问题，促进教育资源优质均衡发展，打造优质高效服务医疗体系。支持文商旅融合发展，推进公共文化服务体系建设，全力支持市一院高新院区、市第二工人文化宫、泰山实验学校等项目建设。</w:t>
      </w:r>
      <w:r w:rsidRPr="001031B4">
        <w:rPr>
          <w:rFonts w:ascii="仿宋_GB2312" w:eastAsia="仿宋_GB2312" w:hint="eastAsia"/>
          <w:bCs/>
          <w:sz w:val="32"/>
          <w:szCs w:val="32"/>
        </w:rPr>
        <w:t>四是全面推进乡村振兴。</w:t>
      </w:r>
      <w:r w:rsidRPr="001031B4">
        <w:rPr>
          <w:rFonts w:ascii="仿宋_GB2312" w:eastAsia="仿宋_GB2312" w:hint="eastAsia"/>
          <w:sz w:val="32"/>
          <w:szCs w:val="32"/>
        </w:rPr>
        <w:t>保持“三农”投入稳定增长，2024年共安排农林水支出3.7亿元，比上年增长28.47%。构建新一轮支农惠农政策体系，落实各项农业补贴政策，全年下达耕地地力保护补贴资金、高标准农田建设资金、规模菜地补贴等2343万元，切实保障粮食安全。完善村级公益事业“一事一议”财政奖补项目管理办法，政策性农业保险工作荣获市级“优”等评定。</w:t>
      </w:r>
    </w:p>
    <w:p w:rsidR="000D1C6C" w:rsidRDefault="001E5366" w:rsidP="009E3202">
      <w:pPr>
        <w:spacing w:line="550" w:lineRule="exact"/>
        <w:ind w:firstLineChars="200" w:firstLine="643"/>
        <w:rPr>
          <w:rFonts w:ascii="仿宋_GB2312" w:eastAsia="仿宋_GB2312" w:hAnsi="仿宋" w:cs="Tahoma"/>
          <w:b/>
          <w:bCs/>
          <w:color w:val="000000" w:themeColor="text1"/>
          <w:sz w:val="32"/>
          <w:szCs w:val="32"/>
        </w:rPr>
      </w:pPr>
      <w:r>
        <w:rPr>
          <w:rFonts w:ascii="仿宋_GB2312" w:eastAsia="仿宋_GB2312" w:hAnsi="仿宋" w:cs="Tahoma" w:hint="eastAsia"/>
          <w:b/>
          <w:bCs/>
          <w:color w:val="000000" w:themeColor="text1"/>
          <w:sz w:val="32"/>
          <w:szCs w:val="32"/>
        </w:rPr>
        <w:lastRenderedPageBreak/>
        <w:t>4</w:t>
      </w:r>
      <w:r w:rsidR="003808A6">
        <w:rPr>
          <w:rFonts w:ascii="仿宋_GB2312" w:eastAsia="仿宋_GB2312" w:hAnsi="仿宋" w:cs="Tahoma" w:hint="eastAsia"/>
          <w:b/>
          <w:bCs/>
          <w:color w:val="000000" w:themeColor="text1"/>
          <w:sz w:val="32"/>
          <w:szCs w:val="32"/>
        </w:rPr>
        <w:t>．</w:t>
      </w:r>
      <w:r>
        <w:rPr>
          <w:rFonts w:ascii="仿宋_GB2312" w:eastAsia="仿宋_GB2312" w:hAnsi="仿宋" w:cs="Tahoma" w:hint="eastAsia"/>
          <w:b/>
          <w:bCs/>
          <w:color w:val="000000" w:themeColor="text1"/>
          <w:sz w:val="32"/>
          <w:szCs w:val="32"/>
        </w:rPr>
        <w:t>以深化改革为着力点，提升财政工作新水平</w:t>
      </w:r>
    </w:p>
    <w:p w:rsidR="000D1C6C" w:rsidRPr="001031B4" w:rsidRDefault="001E5366" w:rsidP="009E3202">
      <w:pPr>
        <w:spacing w:line="550" w:lineRule="exact"/>
        <w:ind w:firstLineChars="200" w:firstLine="640"/>
        <w:rPr>
          <w:rFonts w:ascii="仿宋_GB2312" w:eastAsia="仿宋_GB2312" w:hAnsi="Times New Roman" w:cs="Times New Roman"/>
          <w:sz w:val="32"/>
          <w:szCs w:val="32"/>
        </w:rPr>
      </w:pPr>
      <w:r w:rsidRPr="001031B4">
        <w:rPr>
          <w:rFonts w:ascii="仿宋_GB2312" w:eastAsia="仿宋_GB2312" w:hint="eastAsia"/>
          <w:bCs/>
          <w:sz w:val="32"/>
          <w:szCs w:val="32"/>
        </w:rPr>
        <w:t>一是整合推进数字财政建设。</w:t>
      </w:r>
      <w:r w:rsidRPr="001031B4">
        <w:rPr>
          <w:rFonts w:ascii="仿宋_GB2312" w:eastAsia="仿宋_GB2312" w:hint="eastAsia"/>
          <w:sz w:val="32"/>
          <w:szCs w:val="32"/>
        </w:rPr>
        <w:t>持续优化预算管理一体化系统建设，新上线部门决算、政府财报、新增国债项目、转移支付监控、财政运行监测平台等模块，有效提升数字财政管理水平。在全市率先高质量完成惠民惠农“一卡通”系统上线，累计通过平台发放各类补贴8000万元，惠及群众27万人次。以“政企通”平台“直达快享”服务专区为依托，再造政策兑付“一网通办”业务流程，试点实施区级政策资金“直达快享”。</w:t>
      </w:r>
      <w:r w:rsidRPr="001031B4">
        <w:rPr>
          <w:rFonts w:ascii="仿宋_GB2312" w:eastAsia="仿宋_GB2312" w:hint="eastAsia"/>
          <w:bCs/>
          <w:sz w:val="32"/>
          <w:szCs w:val="32"/>
        </w:rPr>
        <w:t>二是持续优化预算绩效管理。</w:t>
      </w:r>
      <w:r w:rsidRPr="001031B4">
        <w:rPr>
          <w:rFonts w:ascii="仿宋_GB2312" w:eastAsia="仿宋_GB2312" w:hint="eastAsia"/>
          <w:sz w:val="32"/>
          <w:szCs w:val="32"/>
        </w:rPr>
        <w:t>对薛家镇、西夏墅镇、新桥街道开展基层政府财政运行综合绩效评价，选取农村环境长效管理、治安防控体系建设等16个项目开展财政重点绩效评价，开展新龙生态林物业管理及绿化养护全成本预算绩效管理试点，注重结果导向，硬化责任约束。</w:t>
      </w:r>
      <w:r w:rsidRPr="001031B4">
        <w:rPr>
          <w:rFonts w:ascii="仿宋_GB2312" w:eastAsia="仿宋_GB2312" w:hint="eastAsia"/>
          <w:bCs/>
          <w:sz w:val="32"/>
          <w:szCs w:val="32"/>
        </w:rPr>
        <w:t>三是健全基层财政管理标准。</w:t>
      </w:r>
      <w:r w:rsidRPr="001031B4">
        <w:rPr>
          <w:rFonts w:ascii="仿宋_GB2312" w:eastAsia="仿宋_GB2312" w:hint="eastAsia"/>
          <w:sz w:val="32"/>
          <w:szCs w:val="32"/>
        </w:rPr>
        <w:t>持续推进基层财政管理标准化国家级试点创建，编制标准规范、开展宣贯培训、加强推广运用，试点建设经验在《中国财经报》和《中国高新网》上宣传推广。</w:t>
      </w:r>
      <w:r w:rsidRPr="001031B4">
        <w:rPr>
          <w:rFonts w:ascii="仿宋_GB2312" w:eastAsia="仿宋_GB2312" w:hint="eastAsia"/>
          <w:bCs/>
          <w:sz w:val="32"/>
          <w:szCs w:val="32"/>
        </w:rPr>
        <w:t>四是严谨开展政府投资评审。</w:t>
      </w:r>
      <w:r w:rsidRPr="001031B4">
        <w:rPr>
          <w:rFonts w:ascii="仿宋_GB2312" w:eastAsia="仿宋_GB2312" w:hint="eastAsia"/>
          <w:sz w:val="32"/>
          <w:szCs w:val="32"/>
        </w:rPr>
        <w:t>从严从紧把好政府投资项目决策和审批关，修订政府投资项目评审管理办法。完成市一院高新院区、薛冶路（嫩江路-浏阳河路）等9个项目投资估算评审，核减投资额1.83亿元，核减率6.4%。</w:t>
      </w:r>
      <w:r w:rsidRPr="001031B4">
        <w:rPr>
          <w:rFonts w:ascii="仿宋_GB2312" w:eastAsia="仿宋_GB2312" w:hint="eastAsia"/>
          <w:bCs/>
          <w:sz w:val="32"/>
          <w:szCs w:val="32"/>
        </w:rPr>
        <w:t>五是全面深化国资国企改革。</w:t>
      </w:r>
      <w:r w:rsidRPr="001031B4">
        <w:rPr>
          <w:rFonts w:ascii="仿宋_GB2312" w:eastAsia="仿宋_GB2312" w:hint="eastAsia"/>
          <w:sz w:val="32"/>
          <w:szCs w:val="32"/>
        </w:rPr>
        <w:t>研究制定国有企业改革深化提升行动实施方案和工作清单，细化落实目标任务。统筹优化国有企业布局，全年共完成11家一级企业主业梳理，指导6家重点企业完成战略规划修编。在常高新集团和龙控集团本部实施工资总额试点改革工作。</w:t>
      </w:r>
    </w:p>
    <w:p w:rsidR="000D1C6C" w:rsidRDefault="001E5366" w:rsidP="009E3202">
      <w:pPr>
        <w:spacing w:line="550" w:lineRule="exact"/>
        <w:ind w:firstLineChars="200" w:firstLine="643"/>
        <w:rPr>
          <w:rFonts w:ascii="仿宋_GB2312" w:eastAsia="仿宋_GB2312" w:hAnsi="仿宋" w:cs="Tahoma"/>
          <w:b/>
          <w:bCs/>
          <w:color w:val="000000" w:themeColor="text1"/>
          <w:sz w:val="32"/>
          <w:szCs w:val="32"/>
        </w:rPr>
      </w:pPr>
      <w:r>
        <w:rPr>
          <w:rFonts w:ascii="仿宋_GB2312" w:eastAsia="仿宋_GB2312" w:hAnsi="仿宋" w:cs="Tahoma" w:hint="eastAsia"/>
          <w:b/>
          <w:bCs/>
          <w:color w:val="000000" w:themeColor="text1"/>
          <w:sz w:val="32"/>
          <w:szCs w:val="32"/>
        </w:rPr>
        <w:lastRenderedPageBreak/>
        <w:t>5</w:t>
      </w:r>
      <w:r w:rsidR="003808A6">
        <w:rPr>
          <w:rFonts w:ascii="仿宋_GB2312" w:eastAsia="仿宋_GB2312" w:hAnsi="仿宋" w:cs="Tahoma" w:hint="eastAsia"/>
          <w:b/>
          <w:bCs/>
          <w:color w:val="000000" w:themeColor="text1"/>
          <w:sz w:val="32"/>
          <w:szCs w:val="32"/>
        </w:rPr>
        <w:t>．</w:t>
      </w:r>
      <w:r>
        <w:rPr>
          <w:rFonts w:ascii="仿宋_GB2312" w:eastAsia="仿宋_GB2312" w:hAnsi="仿宋" w:cs="Tahoma" w:hint="eastAsia"/>
          <w:b/>
          <w:bCs/>
          <w:color w:val="000000" w:themeColor="text1"/>
          <w:sz w:val="32"/>
          <w:szCs w:val="32"/>
        </w:rPr>
        <w:t>以防范风险为落脚点，打开财政工作新局面</w:t>
      </w:r>
    </w:p>
    <w:p w:rsidR="000D1C6C" w:rsidRPr="001031B4" w:rsidRDefault="001E5366" w:rsidP="009E3202">
      <w:pPr>
        <w:spacing w:line="550" w:lineRule="exact"/>
        <w:ind w:firstLineChars="200" w:firstLine="640"/>
        <w:rPr>
          <w:rFonts w:ascii="仿宋_GB2312" w:eastAsia="仿宋_GB2312" w:hAnsi="仿宋_GB2312" w:cs="仿宋_GB2312"/>
          <w:sz w:val="32"/>
          <w:szCs w:val="32"/>
          <w:highlight w:val="yellow"/>
        </w:rPr>
      </w:pPr>
      <w:r w:rsidRPr="001031B4">
        <w:rPr>
          <w:rFonts w:ascii="仿宋_GB2312" w:eastAsia="仿宋_GB2312" w:hAnsi="仿宋_GB2312" w:cs="仿宋_GB2312" w:hint="eastAsia"/>
          <w:bCs/>
          <w:sz w:val="32"/>
          <w:szCs w:val="32"/>
        </w:rPr>
        <w:t>一是兜牢基层“三保”底线。</w:t>
      </w:r>
      <w:r w:rsidRPr="001031B4">
        <w:rPr>
          <w:rFonts w:ascii="仿宋_GB2312" w:eastAsia="仿宋_GB2312" w:hAnsi="仿宋_GB2312" w:cs="仿宋_GB2312" w:hint="eastAsia"/>
          <w:sz w:val="32"/>
          <w:szCs w:val="32"/>
        </w:rPr>
        <w:t>坚持“三保”在财政支出中的优先地位，足额统筹“三保”预算不留缺口，全面加强“三保”资金管理，加快分配和拨付上级转移支付资金，动态监测“三保”支出、库款保障水平等关键指标，全年“三保”预算执行率均达标。</w:t>
      </w:r>
      <w:r w:rsidRPr="001031B4">
        <w:rPr>
          <w:rFonts w:ascii="仿宋_GB2312" w:eastAsia="仿宋_GB2312" w:hAnsi="仿宋_GB2312" w:cs="仿宋_GB2312" w:hint="eastAsia"/>
          <w:bCs/>
          <w:sz w:val="32"/>
          <w:szCs w:val="32"/>
        </w:rPr>
        <w:t>二是守好债务风险红线。</w:t>
      </w:r>
      <w:r w:rsidRPr="001031B4">
        <w:rPr>
          <w:rFonts w:ascii="仿宋_GB2312" w:eastAsia="仿宋_GB2312" w:hAnsi="仿宋_GB2312" w:cs="仿宋_GB2312" w:hint="eastAsia"/>
          <w:sz w:val="32"/>
          <w:szCs w:val="32"/>
        </w:rPr>
        <w:t>制定防范化解地方债务风险工作方案，根据隐性债务年度化解任务，采取多种措施，细化落实偿债资金来源，规范用好40亿元再融资债券置换政府存量债务。持续强化融资平台管控，分季度出台融资成本管控上限文件，融资成本6%以上项目全部清零，稳妥推进融资平台公司整合撤并和市场化转型。</w:t>
      </w:r>
      <w:r w:rsidRPr="001031B4">
        <w:rPr>
          <w:rFonts w:ascii="仿宋_GB2312" w:eastAsia="仿宋_GB2312" w:hAnsi="仿宋_GB2312" w:cs="仿宋_GB2312" w:hint="eastAsia"/>
          <w:bCs/>
          <w:sz w:val="32"/>
          <w:szCs w:val="32"/>
        </w:rPr>
        <w:t>三是强化政府投资基金管理。</w:t>
      </w:r>
      <w:r w:rsidRPr="001031B4">
        <w:rPr>
          <w:rFonts w:ascii="仿宋_GB2312" w:eastAsia="仿宋_GB2312" w:hAnsi="仿宋_GB2312" w:cs="仿宋_GB2312" w:hint="eastAsia"/>
          <w:sz w:val="32"/>
          <w:szCs w:val="32"/>
        </w:rPr>
        <w:t>研究出台全区政府投资基金管理实施意见，健全基金预算管理、基金管理人选择、绩效评价和政府出资退出等配套制度。加强政府投资基金全过程绩效管理，组织开展3支母基金绩效评价工作。</w:t>
      </w:r>
      <w:r w:rsidRPr="001031B4">
        <w:rPr>
          <w:rFonts w:ascii="仿宋_GB2312" w:eastAsia="仿宋_GB2312" w:hAnsi="仿宋_GB2312" w:cs="仿宋_GB2312" w:hint="eastAsia"/>
          <w:bCs/>
          <w:sz w:val="32"/>
          <w:szCs w:val="32"/>
        </w:rPr>
        <w:t>四是提升财会监督质效。</w:t>
      </w:r>
      <w:r w:rsidRPr="001031B4">
        <w:rPr>
          <w:rFonts w:ascii="仿宋_GB2312" w:eastAsia="仿宋_GB2312" w:hAnsi="仿宋_GB2312" w:cs="仿宋_GB2312" w:hint="eastAsia"/>
          <w:sz w:val="32"/>
          <w:szCs w:val="32"/>
        </w:rPr>
        <w:t>聚焦党政机关过“紧日子”、重大专项资金使用、防范化解风险等重点领域，科学制定年度监督检查计划15项，坚持问题导向，精准实施监督。根据上级财政部门要求，扎实开展财经纪律重点问题专项检查、政府采购四类违法违规问题专项整治、政府投资基金专项治理、财政资金安全内控建设和执行情况核查等工作。</w:t>
      </w:r>
    </w:p>
    <w:p w:rsidR="000D1C6C" w:rsidRPr="001031B4" w:rsidRDefault="001E5366" w:rsidP="009E3202">
      <w:pPr>
        <w:spacing w:line="550" w:lineRule="exact"/>
        <w:ind w:firstLineChars="200" w:firstLine="640"/>
        <w:rPr>
          <w:rFonts w:ascii="仿宋_GB2312" w:eastAsia="仿宋_GB2312" w:hAnsi="Times New Roman" w:cs="Times New Roman"/>
          <w:sz w:val="32"/>
          <w:szCs w:val="32"/>
        </w:rPr>
      </w:pPr>
      <w:r w:rsidRPr="001031B4">
        <w:rPr>
          <w:rFonts w:ascii="仿宋_GB2312" w:eastAsia="仿宋_GB2312" w:hAnsi="Times New Roman" w:cs="Times New Roman" w:hint="eastAsia"/>
          <w:sz w:val="32"/>
          <w:szCs w:val="32"/>
        </w:rPr>
        <w:t>各位代表，一年来，全区财政部门深入贯彻落实中央、省、市、区决策部署，准确把握财政工作方向，努力提升公共财政保障水平，各项重大政策得到有效落实</w:t>
      </w:r>
      <w:r w:rsidRPr="001031B4">
        <w:rPr>
          <w:rFonts w:ascii="仿宋_GB2312" w:eastAsia="仿宋_GB2312" w:hAnsi="仿宋_GB2312" w:cs="仿宋_GB2312" w:hint="eastAsia"/>
          <w:snapToGrid w:val="0"/>
          <w:sz w:val="32"/>
          <w:szCs w:val="32"/>
        </w:rPr>
        <w:t>。但深入分析，当前财政工作仍然面临一些不容忽视的困难和问题</w:t>
      </w:r>
      <w:r w:rsidRPr="001031B4">
        <w:rPr>
          <w:rFonts w:ascii="仿宋_GB2312" w:eastAsia="仿宋_GB2312" w:hAnsi="Times New Roman" w:cs="Times New Roman" w:hint="eastAsia"/>
          <w:sz w:val="32"/>
          <w:szCs w:val="32"/>
        </w:rPr>
        <w:t>：一是受政策因素和房土</w:t>
      </w:r>
      <w:r w:rsidRPr="001031B4">
        <w:rPr>
          <w:rFonts w:ascii="仿宋_GB2312" w:eastAsia="仿宋_GB2312" w:hAnsi="Times New Roman" w:cs="Times New Roman" w:hint="eastAsia"/>
          <w:sz w:val="32"/>
          <w:szCs w:val="32"/>
        </w:rPr>
        <w:lastRenderedPageBreak/>
        <w:t>市场萎靡等影响，财政</w:t>
      </w:r>
      <w:r w:rsidRPr="001031B4">
        <w:rPr>
          <w:rFonts w:ascii="Times New Roman" w:eastAsia="仿宋_GB2312" w:hAnsi="Times New Roman" w:cs="Times New Roman" w:hint="eastAsia"/>
          <w:sz w:val="32"/>
          <w:szCs w:val="32"/>
        </w:rPr>
        <w:t>收入增长有限，可用财力捉襟见肘</w:t>
      </w:r>
      <w:r w:rsidRPr="001031B4">
        <w:rPr>
          <w:rFonts w:ascii="仿宋_GB2312" w:eastAsia="仿宋_GB2312" w:hAnsi="Times New Roman" w:cs="Times New Roman" w:hint="eastAsia"/>
          <w:sz w:val="32"/>
          <w:szCs w:val="32"/>
        </w:rPr>
        <w:t>，</w:t>
      </w:r>
      <w:r w:rsidRPr="001031B4">
        <w:rPr>
          <w:rFonts w:ascii="仿宋_GB2312" w:eastAsia="仿宋_GB2312" w:hint="eastAsia"/>
          <w:sz w:val="32"/>
          <w:szCs w:val="32"/>
        </w:rPr>
        <w:t>与此同时，“三保”支出、民生领域、科技发展等</w:t>
      </w:r>
      <w:r w:rsidRPr="001031B4">
        <w:rPr>
          <w:rFonts w:ascii="Times New Roman" w:eastAsia="仿宋_GB2312" w:hAnsi="Times New Roman" w:cs="Times New Roman" w:hint="eastAsia"/>
          <w:sz w:val="32"/>
          <w:szCs w:val="32"/>
        </w:rPr>
        <w:t>刚性支出持续增长，财政收支矛盾短期内难以缓解。二是尽管隐债置换缓解了短期的债务压力，但是债务的总体规模并未下降，长期的债务风险并未消除，加之</w:t>
      </w:r>
      <w:r w:rsidRPr="001031B4">
        <w:rPr>
          <w:rFonts w:ascii="仿宋_GB2312" w:eastAsia="仿宋_GB2312" w:hint="eastAsia"/>
          <w:sz w:val="32"/>
          <w:szCs w:val="32"/>
        </w:rPr>
        <w:t>还本付息压力的客观存在，</w:t>
      </w:r>
      <w:r w:rsidRPr="001031B4">
        <w:rPr>
          <w:rFonts w:ascii="仿宋_GB2312" w:eastAsia="仿宋_GB2312" w:hAnsi="华文仿宋" w:cs="Times New Roman" w:hint="eastAsia"/>
          <w:sz w:val="32"/>
          <w:szCs w:val="32"/>
        </w:rPr>
        <w:t>政府债务风险管控形势依然严峻</w:t>
      </w:r>
      <w:r w:rsidRPr="001031B4">
        <w:rPr>
          <w:rFonts w:ascii="仿宋_GB2312" w:eastAsia="仿宋_GB2312" w:hint="eastAsia"/>
          <w:sz w:val="32"/>
          <w:szCs w:val="32"/>
        </w:rPr>
        <w:t>。三是部分预算单位绩效意识和向上争取资金意识不强，财政预算执行及绩效管理还有待进一步加强。针对这些问题</w:t>
      </w:r>
      <w:r w:rsidRPr="001031B4">
        <w:rPr>
          <w:rFonts w:ascii="仿宋_GB2312" w:eastAsia="仿宋_GB2312" w:hAnsi="Times New Roman" w:cs="Times New Roman" w:hint="eastAsia"/>
          <w:sz w:val="32"/>
          <w:szCs w:val="32"/>
        </w:rPr>
        <w:t>，我们将认真分析研究，在今后工作中采取有力措施，努力加以解决。</w:t>
      </w:r>
    </w:p>
    <w:p w:rsidR="000D1C6C" w:rsidRDefault="001E5366" w:rsidP="006873F8">
      <w:pPr>
        <w:adjustRightInd w:val="0"/>
        <w:snapToGrid w:val="0"/>
        <w:spacing w:line="55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二、2025年财政预算草案</w:t>
      </w:r>
    </w:p>
    <w:p w:rsidR="000D1C6C" w:rsidRDefault="001E5366" w:rsidP="006873F8">
      <w:pPr>
        <w:autoSpaceDE w:val="0"/>
        <w:autoSpaceDN w:val="0"/>
        <w:adjustRightInd w:val="0"/>
        <w:spacing w:line="55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（一）指导思想</w:t>
      </w:r>
    </w:p>
    <w:p w:rsidR="000D1C6C" w:rsidRDefault="001E5366" w:rsidP="006873F8">
      <w:pPr>
        <w:autoSpaceDE w:val="0"/>
        <w:autoSpaceDN w:val="0"/>
        <w:adjustRightInd w:val="0"/>
        <w:spacing w:line="55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以习近平新时代中国特色社会主义思想为指导，全面贯彻党的二</w:t>
      </w:r>
      <w:r>
        <w:rPr>
          <w:rFonts w:ascii="Times New Roman" w:eastAsia="仿宋_GB2312" w:hAnsi="Times New Roman" w:cs="Times New Roman" w:hint="eastAsia"/>
          <w:sz w:val="32"/>
          <w:szCs w:val="32"/>
        </w:rPr>
        <w:t>十届三中全会和习近平总书记对江苏工作重要讲话精神，按照区委、区政府决策部署，全力优化财政支出结构，坚持“三保”支出在财政支出中的优先顺序，强化重大战略和基本民生财力保障，严格落实党政机关过</w:t>
      </w:r>
      <w:bookmarkStart w:id="0" w:name="_GoBack"/>
      <w:r>
        <w:rPr>
          <w:rFonts w:ascii="Times New Roman" w:eastAsia="仿宋_GB2312" w:hAnsi="Times New Roman" w:cs="Times New Roman" w:hint="eastAsia"/>
          <w:sz w:val="32"/>
          <w:szCs w:val="32"/>
        </w:rPr>
        <w:t>“紧日子”</w:t>
      </w:r>
      <w:bookmarkEnd w:id="0"/>
      <w:r>
        <w:rPr>
          <w:rFonts w:ascii="Times New Roman" w:eastAsia="仿宋_GB2312" w:hAnsi="Times New Roman" w:cs="Times New Roman" w:hint="eastAsia"/>
          <w:sz w:val="32"/>
          <w:szCs w:val="32"/>
        </w:rPr>
        <w:t>要求，</w:t>
      </w:r>
      <w:r>
        <w:rPr>
          <w:rFonts w:ascii="仿宋_GB2312" w:eastAsia="仿宋_GB2312" w:hAnsi="仿宋_GB2312" w:cs="仿宋_GB2312" w:hint="eastAsia"/>
          <w:color w:val="000000" w:themeColor="text1"/>
          <w:kern w:val="0"/>
          <w:sz w:val="32"/>
          <w:szCs w:val="32"/>
        </w:rPr>
        <w:t>深化零基预算改革，加强预算收支管理，强化财政资源统筹，提升预算绩效管理效能，推动部门预算管理规范透明、约束有力、讲求绩效。</w:t>
      </w:r>
    </w:p>
    <w:p w:rsidR="000D1C6C" w:rsidRDefault="001E5366" w:rsidP="006873F8">
      <w:pPr>
        <w:autoSpaceDE w:val="0"/>
        <w:autoSpaceDN w:val="0"/>
        <w:adjustRightInd w:val="0"/>
        <w:spacing w:line="55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（二）基本原则</w:t>
      </w:r>
    </w:p>
    <w:p w:rsidR="000D1C6C" w:rsidRDefault="001E5366" w:rsidP="006873F8">
      <w:pPr>
        <w:autoSpaceDE w:val="0"/>
        <w:autoSpaceDN w:val="0"/>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b/>
          <w:bCs/>
          <w:color w:val="000000" w:themeColor="text1"/>
          <w:kern w:val="0"/>
          <w:sz w:val="32"/>
          <w:szCs w:val="32"/>
        </w:rPr>
        <w:t>一是坚持稳中求进的总基调。</w:t>
      </w:r>
      <w:r>
        <w:rPr>
          <w:rFonts w:ascii="仿宋_GB2312" w:eastAsia="仿宋_GB2312" w:hAnsi="仿宋_GB2312" w:cs="仿宋_GB2312" w:hint="eastAsia"/>
          <w:color w:val="000000" w:themeColor="text1"/>
          <w:kern w:val="0"/>
          <w:sz w:val="32"/>
          <w:szCs w:val="32"/>
        </w:rPr>
        <w:t>准确把握经济和财政形势，坚持稳中求进、以进促稳、更加积极的财政政策。深化对重点税源、新经济增长点、非税收入来源分析研判，科学预期财政收入增长目标。</w:t>
      </w:r>
      <w:r>
        <w:rPr>
          <w:rFonts w:ascii="仿宋_GB2312" w:eastAsia="仿宋_GB2312" w:hAnsi="仿宋_GB2312" w:cs="仿宋_GB2312" w:hint="eastAsia"/>
          <w:b/>
          <w:bCs/>
          <w:color w:val="000000" w:themeColor="text1"/>
          <w:kern w:val="0"/>
          <w:sz w:val="32"/>
          <w:szCs w:val="32"/>
        </w:rPr>
        <w:t>二是积极推进“零基预算”改革。</w:t>
      </w:r>
      <w:r>
        <w:rPr>
          <w:rFonts w:ascii="仿宋_GB2312" w:eastAsia="仿宋_GB2312" w:hAnsi="仿宋_GB2312" w:cs="仿宋_GB2312" w:hint="eastAsia"/>
          <w:color w:val="000000" w:themeColor="text1"/>
          <w:kern w:val="0"/>
          <w:sz w:val="32"/>
          <w:szCs w:val="32"/>
        </w:rPr>
        <w:t>落实《中共中央关于进一步全面深化改革 推进中国式现代化的决定》精神，深化“零基</w:t>
      </w:r>
      <w:r>
        <w:rPr>
          <w:rFonts w:ascii="仿宋_GB2312" w:eastAsia="仿宋_GB2312" w:hAnsi="仿宋_GB2312" w:cs="仿宋_GB2312" w:hint="eastAsia"/>
          <w:color w:val="000000" w:themeColor="text1"/>
          <w:kern w:val="0"/>
          <w:sz w:val="32"/>
          <w:szCs w:val="32"/>
        </w:rPr>
        <w:lastRenderedPageBreak/>
        <w:t>预算”改革，打破预算支出固化格局，全力构建以中央、省、市、区决策部署为依据，以预算绩效为导向，以当年财力为基础，应保必保、应压尽压、讲求绩效的资金分配机制，努力降低行政运行成本。</w:t>
      </w:r>
      <w:r>
        <w:rPr>
          <w:rFonts w:ascii="仿宋_GB2312" w:eastAsia="仿宋_GB2312" w:hAnsi="仿宋_GB2312" w:cs="仿宋_GB2312" w:hint="eastAsia"/>
          <w:b/>
          <w:bCs/>
          <w:color w:val="000000" w:themeColor="text1"/>
          <w:kern w:val="0"/>
          <w:sz w:val="32"/>
          <w:szCs w:val="32"/>
        </w:rPr>
        <w:t>三是加强财政资源资金统筹。</w:t>
      </w:r>
      <w:r>
        <w:rPr>
          <w:rFonts w:ascii="仿宋_GB2312" w:eastAsia="仿宋_GB2312" w:hAnsi="仿宋_GB2312" w:cs="仿宋_GB2312" w:hint="eastAsia"/>
          <w:color w:val="000000" w:themeColor="text1"/>
          <w:kern w:val="0"/>
          <w:sz w:val="32"/>
          <w:szCs w:val="32"/>
        </w:rPr>
        <w:t>树立全局理念，深入推进全口径预算管理，加强三本预算的统筹安排，加大部门年度预算安排与结转资金、非财政拨款以及其他资金的统筹力度，加强区级财政资金与上级资金财政统筹。持续优化支出结构，按照统筹兼顾原则，在保障基本公共服务合理需要前提下，坚决兜住“三保”底线，优先安排重点支出，集中财力办大事，坚决保障重大项目和民生政策落实。</w:t>
      </w:r>
      <w:r>
        <w:rPr>
          <w:rFonts w:ascii="仿宋_GB2312" w:eastAsia="仿宋_GB2312" w:hAnsi="仿宋_GB2312" w:cs="仿宋_GB2312" w:hint="eastAsia"/>
          <w:b/>
          <w:bCs/>
          <w:color w:val="000000" w:themeColor="text1"/>
          <w:kern w:val="0"/>
          <w:sz w:val="32"/>
          <w:szCs w:val="32"/>
        </w:rPr>
        <w:t>四是坚持防范化解债务风险。</w:t>
      </w:r>
      <w:r>
        <w:rPr>
          <w:rFonts w:ascii="仿宋_GB2312" w:eastAsia="仿宋_GB2312" w:hAnsi="仿宋_GB2312" w:cs="仿宋_GB2312" w:hint="eastAsia"/>
          <w:color w:val="000000" w:themeColor="text1"/>
          <w:kern w:val="0"/>
          <w:sz w:val="32"/>
          <w:szCs w:val="32"/>
        </w:rPr>
        <w:t>一着不让抓好债务风险防范，坚决落实一揽子化债工作方案，进一步加大过“紧日子”力度，严格落实新增一般公共预算收入与国有土地使用权出让收入一定比例用于化解地方债务风险刚性需求，合规落实化债资金，加快隐性债务化解进度。</w:t>
      </w:r>
      <w:r>
        <w:rPr>
          <w:rFonts w:ascii="仿宋_GB2312" w:eastAsia="仿宋_GB2312" w:hAnsi="仿宋_GB2312" w:cs="仿宋_GB2312" w:hint="eastAsia"/>
          <w:b/>
          <w:bCs/>
          <w:color w:val="000000" w:themeColor="text1"/>
          <w:kern w:val="0"/>
          <w:sz w:val="32"/>
          <w:szCs w:val="32"/>
        </w:rPr>
        <w:t>五是严格预算管理刚性约束。</w:t>
      </w:r>
      <w:r>
        <w:rPr>
          <w:rFonts w:ascii="仿宋_GB2312" w:eastAsia="仿宋_GB2312" w:hAnsi="仿宋_GB2312" w:cs="仿宋_GB2312" w:hint="eastAsia"/>
          <w:color w:val="000000" w:themeColor="text1"/>
          <w:kern w:val="0"/>
          <w:sz w:val="32"/>
          <w:szCs w:val="32"/>
        </w:rPr>
        <w:t>严肃财经纪律，严格落实巡视巡察、审计、财政监督检查和绩效评价结果运用，作为预算安排重要依据，加大部门管理专项资金清理、规范和整合力度。严格执行支出标准运用，推进支出标准与预算编制和管理有机结合。</w:t>
      </w:r>
      <w:r>
        <w:rPr>
          <w:rFonts w:ascii="仿宋_GB2312" w:eastAsia="仿宋_GB2312" w:hAnsi="仿宋_GB2312" w:cs="仿宋_GB2312" w:hint="eastAsia"/>
          <w:b/>
          <w:bCs/>
          <w:color w:val="000000" w:themeColor="text1"/>
          <w:kern w:val="0"/>
          <w:sz w:val="32"/>
          <w:szCs w:val="32"/>
        </w:rPr>
        <w:t>六是提升绩效成本管理效能。</w:t>
      </w:r>
      <w:r>
        <w:rPr>
          <w:rFonts w:ascii="仿宋_GB2312" w:eastAsia="仿宋_GB2312" w:hAnsi="仿宋_GB2312" w:cs="仿宋_GB2312" w:hint="eastAsia"/>
          <w:color w:val="000000" w:themeColor="text1"/>
          <w:kern w:val="0"/>
          <w:sz w:val="32"/>
          <w:szCs w:val="32"/>
        </w:rPr>
        <w:t>牢固树立“花钱必问效、无效必问责”的绩效管理理念，将绩效管理要求和成本效益理念融入预算编制、执行管理全过程，促进预算和绩效成本管理深入融合，提高财政资源配置效率和资金使用效益。</w:t>
      </w:r>
    </w:p>
    <w:p w:rsidR="000D1C6C" w:rsidRDefault="001E5366" w:rsidP="009E3202">
      <w:pPr>
        <w:adjustRightInd w:val="0"/>
        <w:snapToGrid w:val="0"/>
        <w:spacing w:line="550" w:lineRule="exact"/>
        <w:ind w:firstLineChars="200" w:firstLine="640"/>
        <w:rPr>
          <w:rFonts w:ascii="楷体_GB2312" w:eastAsia="楷体_GB2312" w:hAnsi="楷体_GB2312" w:cs="楷体_GB2312"/>
          <w:color w:val="000000" w:themeColor="text1"/>
          <w:sz w:val="32"/>
          <w:szCs w:val="32"/>
        </w:rPr>
      </w:pPr>
      <w:r>
        <w:rPr>
          <w:rFonts w:ascii="楷体_GB2312" w:eastAsia="楷体_GB2312" w:hAnsi="楷体_GB2312" w:cs="楷体_GB2312" w:hint="eastAsia"/>
          <w:sz w:val="32"/>
          <w:szCs w:val="32"/>
        </w:rPr>
        <w:lastRenderedPageBreak/>
        <w:t>（三）全区财政预算草案</w:t>
      </w:r>
    </w:p>
    <w:p w:rsidR="000D1C6C" w:rsidRDefault="001E5366" w:rsidP="009E3202">
      <w:pPr>
        <w:adjustRightInd w:val="0"/>
        <w:snapToGrid w:val="0"/>
        <w:spacing w:line="55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1</w:t>
      </w:r>
      <w:r w:rsidR="003808A6">
        <w:rPr>
          <w:rFonts w:ascii="仿宋_GB2312" w:eastAsia="仿宋_GB2312" w:hAnsi="仿宋" w:hint="eastAsia"/>
          <w:b/>
          <w:bCs/>
          <w:sz w:val="32"/>
          <w:szCs w:val="32"/>
        </w:rPr>
        <w:t>．</w:t>
      </w:r>
      <w:r>
        <w:rPr>
          <w:rFonts w:ascii="仿宋_GB2312" w:eastAsia="仿宋_GB2312" w:hAnsi="仿宋" w:hint="eastAsia"/>
          <w:b/>
          <w:bCs/>
          <w:sz w:val="32"/>
          <w:szCs w:val="32"/>
        </w:rPr>
        <w:t>一般公共预算草案</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2025年全区一般公共预算收入预算在上年实绩基础上增长3%左右。</w:t>
      </w:r>
    </w:p>
    <w:p w:rsidR="000D1C6C" w:rsidRPr="00C264D0"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2</w:t>
      </w:r>
      <w:r w:rsidRPr="00C264D0">
        <w:rPr>
          <w:rFonts w:ascii="仿宋_GB2312" w:eastAsia="仿宋_GB2312" w:hAnsi="仿宋" w:cs="Tahoma" w:hint="eastAsia"/>
          <w:spacing w:val="-10"/>
          <w:sz w:val="32"/>
          <w:szCs w:val="32"/>
        </w:rPr>
        <w:t>025年全区一般公共预算支出预算为93.21亿元，同比增长1.66%。</w:t>
      </w:r>
      <w:r w:rsidRPr="00C264D0">
        <w:rPr>
          <w:rFonts w:ascii="仿宋_GB2312" w:eastAsia="仿宋_GB2312" w:hAnsi="仿宋" w:cs="Tahoma" w:hint="eastAsia"/>
          <w:sz w:val="32"/>
          <w:szCs w:val="32"/>
        </w:rPr>
        <w:t>其中区本级一般公共预算支出预算54.91亿元，同比下降0.89%。</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区本级主要重点专项支出安排情况如下：</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（1）安排教育方面支出100302万元，主要包括直属学校人员经费及绩效工资72362万元、校舍基建维修和改造经费11000万元、直属学校公用经费2496万元等；</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（2）安排医疗卫生方面支出27308万元，主要包括基层医疗卫生机构经常性运行补助经费14358万元、计生专项补助经费4192万元、基本公卫专项经费4051万元、基层医疗卫生机构修缮装备补助经费1300万元等；</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（3）安排社会保障和就业方面支出29832万元，主要包括城镇居民养老保险经费18000万元、社会化养老补贴1368万元、残联经费1850万元、退役军人经费1023万元、就业补助经费1210万元等；</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（4）安排科技创新、转型升级、智改数转、人才引进等促进经济高质量发展方面支出113069万元，主要包括苏南自主示范区建设专项资金100000万元、知识产权经费2400万元等；</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（5）安排城市长效管理方面支出50713万元，主要包括环卫经费21508万元、市政绿化管理经费19405万元等；</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lastRenderedPageBreak/>
        <w:t>（6）安</w:t>
      </w:r>
      <w:r w:rsidRPr="003808A6">
        <w:rPr>
          <w:rFonts w:ascii="仿宋_GB2312" w:eastAsia="仿宋_GB2312" w:hAnsi="仿宋" w:cs="Tahoma" w:hint="eastAsia"/>
          <w:spacing w:val="-4"/>
          <w:sz w:val="32"/>
          <w:szCs w:val="32"/>
        </w:rPr>
        <w:t>排环境保护等生态建设方面支出3944万元，主要包括日常监测监理经费1300万元、重点污染源整治经费1175万元等</w:t>
      </w:r>
      <w:r>
        <w:rPr>
          <w:rFonts w:ascii="仿宋_GB2312" w:eastAsia="仿宋_GB2312" w:hAnsi="仿宋" w:cs="Tahoma" w:hint="eastAsia"/>
          <w:sz w:val="32"/>
          <w:szCs w:val="32"/>
        </w:rPr>
        <w:t>；</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（7）安排乡村振兴方面支出20210万元，主要包括乡村振兴专项经费8384万元、农机专项经费3799万元、水利专项经费3738万元、农经专项经费1631万元等；</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（8）安排为民办实事项目支出4200万元；</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（9）安排对外援助方面支出5115万元，主要包括援疆援藏援青等援助经费；</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（10）安排政府性债务还本付息支出61011万元，其中安排5亿元用于化解政府隐性债务。</w:t>
      </w:r>
    </w:p>
    <w:p w:rsidR="000D1C6C" w:rsidRDefault="001E5366" w:rsidP="009E3202">
      <w:pPr>
        <w:adjustRightInd w:val="0"/>
        <w:snapToGrid w:val="0"/>
        <w:spacing w:line="55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sidR="003808A6">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政府性基金预算草案</w:t>
      </w:r>
    </w:p>
    <w:p w:rsidR="000D1C6C" w:rsidRDefault="001E5366" w:rsidP="009E3202">
      <w:pPr>
        <w:adjustRightInd w:val="0"/>
        <w:snapToGrid w:val="0"/>
        <w:spacing w:line="550" w:lineRule="exact"/>
        <w:ind w:firstLineChars="200" w:firstLine="640"/>
        <w:rPr>
          <w:rFonts w:ascii="仿宋_GB2312" w:eastAsia="仿宋_GB2312" w:cs="仿宋_GB2312"/>
          <w:snapToGrid w:val="0"/>
          <w:kern w:val="0"/>
          <w:sz w:val="32"/>
          <w:szCs w:val="32"/>
        </w:rPr>
      </w:pPr>
      <w:r>
        <w:rPr>
          <w:rFonts w:ascii="仿宋_GB2312" w:eastAsia="仿宋_GB2312" w:cs="仿宋_GB2312" w:hint="eastAsia"/>
          <w:snapToGrid w:val="0"/>
          <w:kern w:val="0"/>
          <w:sz w:val="32"/>
          <w:szCs w:val="32"/>
        </w:rPr>
        <w:t>2025年全区政府性基金预算收入预算为100亿元（其中土地出让金收入为98亿元）；全区</w:t>
      </w:r>
      <w:r>
        <w:rPr>
          <w:rFonts w:ascii="仿宋_GB2312" w:eastAsia="仿宋_GB2312" w:hAnsi="仿宋" w:hint="eastAsia"/>
          <w:sz w:val="32"/>
          <w:szCs w:val="32"/>
        </w:rPr>
        <w:t>政府性基金支出预算为100亿元，</w:t>
      </w:r>
      <w:r>
        <w:rPr>
          <w:rFonts w:ascii="仿宋_GB2312" w:eastAsia="仿宋_GB2312" w:cs="仿宋_GB2312" w:hint="eastAsia"/>
          <w:snapToGrid w:val="0"/>
          <w:kern w:val="0"/>
          <w:sz w:val="32"/>
          <w:szCs w:val="32"/>
        </w:rPr>
        <w:t>其中区本级</w:t>
      </w:r>
      <w:r>
        <w:rPr>
          <w:rFonts w:ascii="仿宋_GB2312" w:eastAsia="仿宋_GB2312" w:hAnsi="仿宋" w:hint="eastAsia"/>
          <w:sz w:val="32"/>
          <w:szCs w:val="32"/>
        </w:rPr>
        <w:t>政府性基金支出预算为82亿元。</w:t>
      </w:r>
    </w:p>
    <w:p w:rsidR="000D1C6C" w:rsidRDefault="001E5366" w:rsidP="009E3202">
      <w:pPr>
        <w:adjustRightInd w:val="0"/>
        <w:snapToGrid w:val="0"/>
        <w:spacing w:line="55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w:t>
      </w:r>
      <w:r w:rsidR="003808A6">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国有资本经营预算草案</w:t>
      </w:r>
    </w:p>
    <w:p w:rsidR="000D1C6C" w:rsidRDefault="001E5366" w:rsidP="009E3202">
      <w:pPr>
        <w:adjustRightInd w:val="0"/>
        <w:snapToGrid w:val="0"/>
        <w:spacing w:line="550" w:lineRule="exact"/>
        <w:ind w:firstLineChars="200" w:firstLine="640"/>
        <w:rPr>
          <w:rFonts w:ascii="仿宋_GB2312" w:eastAsia="仿宋_GB2312" w:hAnsi="仿宋" w:cs="Tahoma"/>
          <w:sz w:val="32"/>
          <w:szCs w:val="32"/>
        </w:rPr>
      </w:pPr>
      <w:r>
        <w:rPr>
          <w:rFonts w:ascii="仿宋_GB2312" w:eastAsia="仿宋_GB2312" w:hAnsi="仿宋" w:cs="Tahoma" w:hint="eastAsia"/>
          <w:sz w:val="32"/>
          <w:szCs w:val="32"/>
        </w:rPr>
        <w:t>2025年全区国有资本经营收入预算为3500万元，按规定40%部分即1400万元调出至一般公共预算统筹使用，其余用于区属国有企业改革性支出、政策性补贴等。</w:t>
      </w:r>
    </w:p>
    <w:p w:rsidR="000D1C6C" w:rsidRDefault="001E5366" w:rsidP="009E3202">
      <w:pPr>
        <w:adjustRightInd w:val="0"/>
        <w:snapToGrid w:val="0"/>
        <w:spacing w:line="550" w:lineRule="exact"/>
        <w:ind w:firstLineChars="200" w:firstLine="640"/>
        <w:rPr>
          <w:rFonts w:ascii="楷体_GB2312" w:eastAsia="楷体_GB2312" w:hAnsi="楷体_GB2312" w:cs="楷体_GB2312"/>
          <w:bCs/>
          <w:kern w:val="0"/>
          <w:sz w:val="32"/>
          <w:szCs w:val="32"/>
        </w:rPr>
      </w:pPr>
      <w:r>
        <w:rPr>
          <w:rFonts w:ascii="楷体_GB2312" w:eastAsia="楷体_GB2312" w:hAnsi="楷体_GB2312" w:cs="楷体_GB2312" w:hint="eastAsia"/>
          <w:bCs/>
          <w:kern w:val="0"/>
          <w:sz w:val="32"/>
          <w:szCs w:val="32"/>
        </w:rPr>
        <w:t>（四）滨开区财政预算草案</w:t>
      </w:r>
    </w:p>
    <w:p w:rsidR="00880CDE" w:rsidRPr="00C264D0" w:rsidRDefault="00880CDE" w:rsidP="009E3202">
      <w:pPr>
        <w:adjustRightInd w:val="0"/>
        <w:snapToGrid w:val="0"/>
        <w:spacing w:line="550" w:lineRule="exact"/>
        <w:ind w:firstLineChars="200" w:firstLine="643"/>
        <w:rPr>
          <w:rFonts w:ascii="仿宋_GB2312" w:eastAsia="仿宋_GB2312" w:hAnsi="仿宋_GB2312" w:cs="仿宋_GB2312"/>
          <w:b/>
          <w:bCs/>
          <w:kern w:val="0"/>
          <w:sz w:val="32"/>
          <w:szCs w:val="32"/>
        </w:rPr>
      </w:pPr>
      <w:r w:rsidRPr="00C264D0">
        <w:rPr>
          <w:rFonts w:ascii="仿宋_GB2312" w:eastAsia="仿宋_GB2312" w:hAnsi="仿宋_GB2312" w:cs="仿宋_GB2312" w:hint="eastAsia"/>
          <w:b/>
          <w:bCs/>
          <w:kern w:val="0"/>
          <w:sz w:val="32"/>
          <w:szCs w:val="32"/>
        </w:rPr>
        <w:t>1</w:t>
      </w:r>
      <w:r w:rsidR="00C264D0" w:rsidRPr="00C264D0">
        <w:rPr>
          <w:rFonts w:ascii="仿宋_GB2312" w:eastAsia="仿宋_GB2312" w:hAnsi="仿宋_GB2312" w:cs="仿宋_GB2312" w:hint="eastAsia"/>
          <w:b/>
          <w:bCs/>
          <w:kern w:val="0"/>
          <w:sz w:val="32"/>
          <w:szCs w:val="32"/>
        </w:rPr>
        <w:t>．</w:t>
      </w:r>
      <w:r w:rsidRPr="00C264D0">
        <w:rPr>
          <w:rFonts w:ascii="仿宋_GB2312" w:eastAsia="仿宋_GB2312" w:hAnsi="仿宋_GB2312" w:cs="仿宋_GB2312" w:hint="eastAsia"/>
          <w:b/>
          <w:bCs/>
          <w:kern w:val="0"/>
          <w:sz w:val="32"/>
          <w:szCs w:val="32"/>
        </w:rPr>
        <w:t>一般公共预算草案</w:t>
      </w:r>
    </w:p>
    <w:p w:rsidR="000D1C6C" w:rsidRDefault="001E5366" w:rsidP="009E3202">
      <w:pPr>
        <w:adjustRightInd w:val="0"/>
        <w:snapToGrid w:val="0"/>
        <w:spacing w:line="55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2025年滨</w:t>
      </w:r>
      <w:r w:rsidRPr="003808A6">
        <w:rPr>
          <w:rFonts w:ascii="仿宋_GB2312" w:eastAsia="仿宋_GB2312" w:hAnsi="仿宋_GB2312" w:cs="仿宋_GB2312" w:hint="eastAsia"/>
          <w:bCs/>
          <w:spacing w:val="-6"/>
          <w:kern w:val="0"/>
          <w:sz w:val="32"/>
          <w:szCs w:val="32"/>
        </w:rPr>
        <w:t>开区一般公共预算收入预算为31</w:t>
      </w:r>
      <w:r w:rsidR="004A7938">
        <w:rPr>
          <w:rFonts w:ascii="仿宋_GB2312" w:eastAsia="仿宋_GB2312" w:hAnsi="仿宋_GB2312" w:cs="仿宋_GB2312" w:hint="eastAsia"/>
          <w:bCs/>
          <w:spacing w:val="-6"/>
          <w:kern w:val="0"/>
          <w:sz w:val="32"/>
          <w:szCs w:val="32"/>
        </w:rPr>
        <w:t>.7</w:t>
      </w:r>
      <w:r w:rsidRPr="003808A6">
        <w:rPr>
          <w:rFonts w:ascii="仿宋_GB2312" w:eastAsia="仿宋_GB2312" w:hAnsi="仿宋_GB2312" w:cs="仿宋_GB2312" w:hint="eastAsia"/>
          <w:bCs/>
          <w:spacing w:val="-6"/>
          <w:kern w:val="0"/>
          <w:sz w:val="32"/>
          <w:szCs w:val="32"/>
        </w:rPr>
        <w:t>亿元。全年可用财力预计为9.48亿元，一般公共预算支出预算为9.48亿元，其中：人员及事业经费32485万元；农业农村发展专项经费12281万元；</w:t>
      </w:r>
      <w:r w:rsidRPr="003808A6">
        <w:rPr>
          <w:rFonts w:ascii="仿宋_GB2312" w:eastAsia="仿宋_GB2312" w:hAnsi="仿宋_GB2312" w:cs="仿宋_GB2312" w:hint="eastAsia"/>
          <w:bCs/>
          <w:spacing w:val="-6"/>
          <w:kern w:val="0"/>
          <w:sz w:val="32"/>
          <w:szCs w:val="32"/>
        </w:rPr>
        <w:lastRenderedPageBreak/>
        <w:t>教育卫生事业专项经费13316万元；产业转型升级专项资金3610万元；城乡社区事务经费18417万元；社会保障专项经费13141万元</w:t>
      </w:r>
      <w:r>
        <w:rPr>
          <w:rFonts w:ascii="仿宋_GB2312" w:eastAsia="仿宋_GB2312" w:hAnsi="仿宋_GB2312" w:cs="仿宋_GB2312" w:hint="eastAsia"/>
          <w:bCs/>
          <w:kern w:val="0"/>
          <w:sz w:val="32"/>
          <w:szCs w:val="32"/>
        </w:rPr>
        <w:t>。</w:t>
      </w:r>
    </w:p>
    <w:p w:rsidR="00880CDE" w:rsidRPr="00C264D0" w:rsidRDefault="00880CDE" w:rsidP="009E3202">
      <w:pPr>
        <w:adjustRightInd w:val="0"/>
        <w:snapToGrid w:val="0"/>
        <w:spacing w:line="550" w:lineRule="exact"/>
        <w:ind w:firstLineChars="200" w:firstLine="643"/>
        <w:rPr>
          <w:rFonts w:ascii="仿宋_GB2312" w:eastAsia="仿宋_GB2312" w:hAnsi="仿宋_GB2312" w:cs="仿宋_GB2312"/>
          <w:b/>
          <w:bCs/>
          <w:kern w:val="0"/>
          <w:sz w:val="32"/>
          <w:szCs w:val="32"/>
        </w:rPr>
      </w:pPr>
      <w:r w:rsidRPr="00C264D0">
        <w:rPr>
          <w:rFonts w:ascii="仿宋_GB2312" w:eastAsia="仿宋_GB2312" w:hAnsi="仿宋_GB2312" w:cs="仿宋_GB2312" w:hint="eastAsia"/>
          <w:b/>
          <w:bCs/>
          <w:kern w:val="0"/>
          <w:sz w:val="32"/>
          <w:szCs w:val="32"/>
        </w:rPr>
        <w:t>2</w:t>
      </w:r>
      <w:r w:rsidR="00C264D0" w:rsidRPr="00C264D0">
        <w:rPr>
          <w:rFonts w:ascii="仿宋_GB2312" w:eastAsia="仿宋_GB2312" w:hAnsi="仿宋_GB2312" w:cs="仿宋_GB2312" w:hint="eastAsia"/>
          <w:b/>
          <w:bCs/>
          <w:kern w:val="0"/>
          <w:sz w:val="32"/>
          <w:szCs w:val="32"/>
        </w:rPr>
        <w:t>．</w:t>
      </w:r>
      <w:r w:rsidRPr="00C264D0">
        <w:rPr>
          <w:rFonts w:ascii="仿宋_GB2312" w:eastAsia="仿宋_GB2312" w:hAnsi="仿宋_GB2312" w:cs="仿宋_GB2312" w:hint="eastAsia"/>
          <w:b/>
          <w:bCs/>
          <w:kern w:val="0"/>
          <w:sz w:val="32"/>
          <w:szCs w:val="32"/>
        </w:rPr>
        <w:t>政府性基金预算草案</w:t>
      </w:r>
    </w:p>
    <w:p w:rsidR="000D1C6C" w:rsidRDefault="001E5366" w:rsidP="009E3202">
      <w:pPr>
        <w:adjustRightInd w:val="0"/>
        <w:snapToGrid w:val="0"/>
        <w:spacing w:line="55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2025年滨开区政府性基金预算收入预算为12.29亿元，政府性基金支出预算为12.29亿元。</w:t>
      </w:r>
    </w:p>
    <w:p w:rsidR="000D1C6C" w:rsidRDefault="001E5366" w:rsidP="009E3202">
      <w:pPr>
        <w:adjustRightInd w:val="0"/>
        <w:snapToGrid w:val="0"/>
        <w:spacing w:line="550" w:lineRule="exact"/>
        <w:ind w:firstLineChars="200" w:firstLine="640"/>
        <w:rPr>
          <w:rFonts w:ascii="黑体" w:eastAsia="黑体" w:hAnsi="黑体"/>
          <w:bCs/>
          <w:sz w:val="32"/>
          <w:szCs w:val="32"/>
        </w:rPr>
      </w:pPr>
      <w:r>
        <w:rPr>
          <w:rFonts w:ascii="黑体" w:eastAsia="黑体" w:hAnsi="黑体" w:hint="eastAsia"/>
          <w:bCs/>
          <w:kern w:val="0"/>
          <w:sz w:val="32"/>
          <w:szCs w:val="32"/>
        </w:rPr>
        <w:t>三</w:t>
      </w:r>
      <w:r>
        <w:rPr>
          <w:rFonts w:ascii="黑体" w:eastAsia="黑体" w:hAnsi="黑体" w:hint="eastAsia"/>
          <w:bCs/>
          <w:sz w:val="32"/>
          <w:szCs w:val="32"/>
        </w:rPr>
        <w:t>、完成2025年财政预算的主要措施</w:t>
      </w:r>
    </w:p>
    <w:p w:rsidR="000D1C6C" w:rsidRDefault="001E5366" w:rsidP="009E3202">
      <w:pPr>
        <w:spacing w:line="550" w:lineRule="exact"/>
        <w:ind w:firstLineChars="200" w:firstLine="640"/>
        <w:rPr>
          <w:rFonts w:ascii="楷体_GB2312" w:eastAsia="楷体_GB2312"/>
          <w:sz w:val="32"/>
          <w:szCs w:val="32"/>
        </w:rPr>
      </w:pPr>
      <w:r>
        <w:rPr>
          <w:rFonts w:ascii="楷体_GB2312" w:eastAsia="楷体_GB2312" w:hAnsi="楷体_GB2312" w:cs="楷体_GB2312" w:hint="eastAsia"/>
          <w:color w:val="212121"/>
          <w:sz w:val="32"/>
          <w:szCs w:val="32"/>
          <w:shd w:val="clear" w:color="auto" w:fill="FFFFFF"/>
        </w:rPr>
        <w:t>（一）坚持科学统筹、多措并举，做好开源生财文章</w:t>
      </w:r>
    </w:p>
    <w:p w:rsidR="000D1C6C" w:rsidRDefault="001E5366" w:rsidP="009E3202">
      <w:pPr>
        <w:spacing w:line="550" w:lineRule="exact"/>
        <w:ind w:firstLineChars="200" w:firstLine="643"/>
        <w:rPr>
          <w:rFonts w:ascii="Times New Roman" w:eastAsia="仿宋_GB2312" w:hAnsi="Times New Roman" w:cs="Times New Roman"/>
          <w:sz w:val="32"/>
          <w:szCs w:val="32"/>
        </w:rPr>
      </w:pPr>
      <w:r>
        <w:rPr>
          <w:rFonts w:ascii="仿宋_GB2312" w:eastAsia="仿宋_GB2312" w:hAnsi="Times New Roman" w:cs="Times New Roman" w:hint="eastAsia"/>
          <w:b/>
          <w:bCs/>
          <w:sz w:val="32"/>
          <w:szCs w:val="32"/>
        </w:rPr>
        <w:t>一是持续培育壮大财源。</w:t>
      </w:r>
      <w:r>
        <w:rPr>
          <w:rFonts w:ascii="仿宋_GB2312" w:eastAsia="仿宋_GB2312" w:hAnsi="Times New Roman" w:cs="Times New Roman" w:hint="eastAsia"/>
          <w:sz w:val="32"/>
          <w:szCs w:val="32"/>
        </w:rPr>
        <w:t>进一步落实落细减税降费政策，紧抓“新能源之都”核心区建设机遇，充分释放产业发展红利，助力培育更多更稳固的经济增长点和财源贡献点。</w:t>
      </w:r>
      <w:r>
        <w:rPr>
          <w:rFonts w:ascii="仿宋_GB2312" w:eastAsia="仿宋_GB2312" w:hAnsi="Times New Roman" w:cs="Times New Roman" w:hint="eastAsia"/>
          <w:b/>
          <w:bCs/>
          <w:sz w:val="32"/>
          <w:szCs w:val="32"/>
        </w:rPr>
        <w:t>二是加大收入组织力度</w:t>
      </w:r>
      <w:r w:rsidRPr="00B9543E">
        <w:rPr>
          <w:rFonts w:ascii="仿宋_GB2312" w:eastAsia="仿宋_GB2312" w:hAnsi="Times New Roman" w:cs="Times New Roman" w:hint="eastAsia"/>
          <w:b/>
          <w:sz w:val="32"/>
          <w:szCs w:val="32"/>
        </w:rPr>
        <w:t>。</w:t>
      </w:r>
      <w:r>
        <w:rPr>
          <w:rFonts w:ascii="仿宋_GB2312" w:eastAsia="仿宋_GB2312" w:hAnsi="Times New Roman" w:cs="Times New Roman" w:hint="eastAsia"/>
          <w:sz w:val="32"/>
          <w:szCs w:val="32"/>
        </w:rPr>
        <w:t>科学开展收入形势分析研判，动态掌握经济税源底数和结构分布情况，深入挖掘增收潜力点。健全完善上下联动、横向互动、多方协同的税收协同共治机制，全过程、全环节抓好收入组织。加强非税收入征管和国有资本收益收缴，做到规范征收、足额入库。</w:t>
      </w:r>
      <w:r>
        <w:rPr>
          <w:rFonts w:ascii="仿宋_GB2312" w:eastAsia="仿宋_GB2312" w:hAnsi="Times New Roman" w:cs="Times New Roman" w:hint="eastAsia"/>
          <w:b/>
          <w:bCs/>
          <w:sz w:val="32"/>
          <w:szCs w:val="32"/>
        </w:rPr>
        <w:t>三是全力争取上级支持</w:t>
      </w:r>
      <w:r w:rsidRPr="00B9543E">
        <w:rPr>
          <w:rFonts w:ascii="仿宋_GB2312" w:eastAsia="仿宋_GB2312" w:hAnsi="Times New Roman" w:cs="Times New Roman" w:hint="eastAsia"/>
          <w:b/>
          <w:sz w:val="32"/>
          <w:szCs w:val="32"/>
        </w:rPr>
        <w:t>。</w:t>
      </w:r>
      <w:r>
        <w:rPr>
          <w:rFonts w:ascii="仿宋_GB2312" w:eastAsia="仿宋_GB2312" w:hAnsi="等线" w:hint="eastAsia"/>
          <w:sz w:val="32"/>
          <w:szCs w:val="32"/>
        </w:rPr>
        <w:t>准确把握政策要求，聚焦国家政策支持投向和领域，围绕区委、区政府中心工作，全面分析我区项目储备短板，不断提升项目策划水平，以项目成熟度提高资金争取成功率</w:t>
      </w:r>
      <w:r>
        <w:rPr>
          <w:rFonts w:ascii="仿宋_GB2312" w:eastAsia="仿宋_GB2312" w:hAnsi="Times New Roman" w:cs="Times New Roman" w:hint="eastAsia"/>
          <w:sz w:val="32"/>
          <w:szCs w:val="32"/>
        </w:rPr>
        <w:t>。</w:t>
      </w:r>
    </w:p>
    <w:p w:rsidR="000D1C6C" w:rsidRDefault="001E5366" w:rsidP="009E3202">
      <w:pPr>
        <w:widowControl/>
        <w:spacing w:line="55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（二）坚持加力提效、激发活力，做好发展聚财文章</w:t>
      </w:r>
    </w:p>
    <w:p w:rsidR="000D1C6C" w:rsidRDefault="001E5366" w:rsidP="009E3202">
      <w:pPr>
        <w:spacing w:line="550" w:lineRule="exact"/>
        <w:ind w:firstLineChars="200" w:firstLine="643"/>
        <w:rPr>
          <w:rFonts w:ascii="仿宋_GB2312" w:eastAsia="仿宋_GB2312" w:hAnsi="仿宋"/>
          <w:sz w:val="32"/>
          <w:szCs w:val="32"/>
        </w:rPr>
      </w:pPr>
      <w:r>
        <w:rPr>
          <w:rFonts w:ascii="仿宋_GB2312" w:eastAsia="仿宋_GB2312" w:hAnsi="Times New Roman" w:cs="Times New Roman" w:hint="eastAsia"/>
          <w:b/>
          <w:bCs/>
          <w:sz w:val="32"/>
          <w:szCs w:val="32"/>
        </w:rPr>
        <w:t>一是支持构建现代化产业体系。</w:t>
      </w:r>
      <w:r w:rsidR="00786B60">
        <w:rPr>
          <w:rFonts w:ascii="仿宋_GB2312" w:eastAsia="仿宋_GB2312" w:hAnsi="仿宋_GB2312" w:cs="仿宋_GB2312" w:hint="eastAsia"/>
          <w:sz w:val="32"/>
          <w:szCs w:val="32"/>
        </w:rPr>
        <w:t>抢抓我区新能源汽车、智慧能源</w:t>
      </w:r>
      <w:r>
        <w:rPr>
          <w:rFonts w:ascii="仿宋_GB2312" w:eastAsia="仿宋_GB2312" w:hAnsi="仿宋_GB2312" w:cs="仿宋_GB2312" w:hint="eastAsia"/>
          <w:sz w:val="32"/>
          <w:szCs w:val="32"/>
        </w:rPr>
        <w:t>等</w:t>
      </w:r>
      <w:r w:rsidR="00786B60">
        <w:rPr>
          <w:rFonts w:ascii="仿宋_GB2312" w:eastAsia="仿宋_GB2312" w:hAnsi="仿宋_GB2312" w:cs="仿宋_GB2312" w:hint="eastAsia"/>
          <w:sz w:val="32"/>
          <w:szCs w:val="32"/>
        </w:rPr>
        <w:t>主导产业和龙头企业</w:t>
      </w:r>
      <w:r>
        <w:rPr>
          <w:rFonts w:ascii="仿宋_GB2312" w:eastAsia="仿宋_GB2312" w:hAnsi="仿宋_GB2312" w:cs="仿宋_GB2312" w:hint="eastAsia"/>
          <w:sz w:val="32"/>
          <w:szCs w:val="32"/>
        </w:rPr>
        <w:t>扩张期，积极抢占产业新赛道，前瞻谋划布局合成生物等未来产业，支持推动引进一批高成长性、技术含量高、市场前景好的项目，</w:t>
      </w:r>
      <w:r>
        <w:rPr>
          <w:rFonts w:ascii="仿宋_GB2312" w:eastAsia="仿宋_GB2312" w:hAnsi="Times New Roman" w:cs="Times New Roman" w:hint="eastAsia"/>
          <w:sz w:val="32"/>
          <w:szCs w:val="32"/>
        </w:rPr>
        <w:t>推动打造战略性新兴产业发展集</w:t>
      </w:r>
      <w:r>
        <w:rPr>
          <w:rFonts w:ascii="仿宋_GB2312" w:eastAsia="仿宋_GB2312" w:hAnsi="Times New Roman" w:cs="Times New Roman" w:hint="eastAsia"/>
          <w:sz w:val="32"/>
          <w:szCs w:val="32"/>
        </w:rPr>
        <w:lastRenderedPageBreak/>
        <w:t>群，支持中小企业走好“专精特新”发展之路。</w:t>
      </w:r>
      <w:r>
        <w:rPr>
          <w:rFonts w:ascii="仿宋_GB2312" w:eastAsia="仿宋_GB2312" w:hAnsi="Times New Roman" w:cs="Times New Roman" w:hint="eastAsia"/>
          <w:b/>
          <w:bCs/>
          <w:sz w:val="32"/>
          <w:szCs w:val="32"/>
        </w:rPr>
        <w:t>二是促进科技创新驱动发展。</w:t>
      </w:r>
      <w:r>
        <w:rPr>
          <w:rFonts w:ascii="仿宋_GB2312" w:eastAsia="仿宋_GB2312" w:hAnsi="Times New Roman" w:cs="Times New Roman" w:hint="eastAsia"/>
          <w:sz w:val="32"/>
          <w:szCs w:val="32"/>
        </w:rPr>
        <w:t>保持财政科技投入力度，加强科技、人才专项资金管理，</w:t>
      </w:r>
      <w:r>
        <w:rPr>
          <w:rFonts w:ascii="仿宋_GB2312" w:eastAsia="仿宋_GB2312" w:hAnsi="仿宋"/>
          <w:sz w:val="32"/>
          <w:szCs w:val="32"/>
        </w:rPr>
        <w:t>增强创新</w:t>
      </w:r>
      <w:r>
        <w:rPr>
          <w:rFonts w:ascii="仿宋_GB2312" w:eastAsia="仿宋_GB2312" w:hAnsi="仿宋" w:hint="eastAsia"/>
          <w:sz w:val="32"/>
          <w:szCs w:val="32"/>
        </w:rPr>
        <w:t>“</w:t>
      </w:r>
      <w:r>
        <w:rPr>
          <w:rFonts w:ascii="仿宋_GB2312" w:eastAsia="仿宋_GB2312" w:hAnsi="仿宋"/>
          <w:sz w:val="32"/>
          <w:szCs w:val="32"/>
        </w:rPr>
        <w:t>第一动力</w:t>
      </w:r>
      <w:r>
        <w:rPr>
          <w:rFonts w:ascii="仿宋_GB2312" w:eastAsia="仿宋_GB2312" w:hAnsi="仿宋" w:hint="eastAsia"/>
          <w:sz w:val="32"/>
          <w:szCs w:val="32"/>
        </w:rPr>
        <w:t>”</w:t>
      </w:r>
      <w:r>
        <w:rPr>
          <w:rFonts w:ascii="仿宋_GB2312" w:eastAsia="仿宋_GB2312" w:hAnsi="仿宋"/>
          <w:sz w:val="32"/>
          <w:szCs w:val="32"/>
        </w:rPr>
        <w:t>，厚植人才</w:t>
      </w:r>
      <w:r>
        <w:rPr>
          <w:rFonts w:ascii="仿宋_GB2312" w:eastAsia="仿宋_GB2312" w:hAnsi="仿宋" w:hint="eastAsia"/>
          <w:sz w:val="32"/>
          <w:szCs w:val="32"/>
        </w:rPr>
        <w:t>“</w:t>
      </w:r>
      <w:r>
        <w:rPr>
          <w:rFonts w:ascii="仿宋_GB2312" w:eastAsia="仿宋_GB2312" w:hAnsi="仿宋"/>
          <w:sz w:val="32"/>
          <w:szCs w:val="32"/>
        </w:rPr>
        <w:t>第一资源</w:t>
      </w:r>
      <w:r>
        <w:rPr>
          <w:rFonts w:ascii="仿宋_GB2312" w:eastAsia="仿宋_GB2312" w:hAnsi="仿宋" w:hint="eastAsia"/>
          <w:sz w:val="32"/>
          <w:szCs w:val="32"/>
        </w:rPr>
        <w:t>”</w:t>
      </w:r>
      <w:r>
        <w:rPr>
          <w:rFonts w:ascii="仿宋_GB2312" w:eastAsia="仿宋_GB2312" w:hAnsi="仿宋"/>
          <w:sz w:val="32"/>
          <w:szCs w:val="32"/>
        </w:rPr>
        <w:t>，不断释放知识</w:t>
      </w:r>
      <w:r>
        <w:rPr>
          <w:rFonts w:ascii="仿宋_GB2312" w:eastAsia="仿宋_GB2312" w:hAnsi="仿宋" w:hint="eastAsia"/>
          <w:sz w:val="32"/>
          <w:szCs w:val="32"/>
        </w:rPr>
        <w:t>、</w:t>
      </w:r>
      <w:r>
        <w:rPr>
          <w:rFonts w:ascii="仿宋_GB2312" w:eastAsia="仿宋_GB2312" w:hAnsi="仿宋"/>
          <w:sz w:val="32"/>
          <w:szCs w:val="32"/>
        </w:rPr>
        <w:t>技术</w:t>
      </w:r>
      <w:r>
        <w:rPr>
          <w:rFonts w:ascii="仿宋_GB2312" w:eastAsia="仿宋_GB2312" w:hAnsi="仿宋" w:hint="eastAsia"/>
          <w:sz w:val="32"/>
          <w:szCs w:val="32"/>
        </w:rPr>
        <w:t>、</w:t>
      </w:r>
      <w:r>
        <w:rPr>
          <w:rFonts w:ascii="仿宋_GB2312" w:eastAsia="仿宋_GB2312" w:hAnsi="仿宋"/>
          <w:sz w:val="32"/>
          <w:szCs w:val="32"/>
        </w:rPr>
        <w:t>劳动等生产要素活力，为加快发展</w:t>
      </w:r>
      <w:r>
        <w:rPr>
          <w:rFonts w:ascii="仿宋_GB2312" w:eastAsia="仿宋_GB2312" w:hAnsi="仿宋" w:hint="eastAsia"/>
          <w:sz w:val="32"/>
          <w:szCs w:val="32"/>
        </w:rPr>
        <w:t>新质</w:t>
      </w:r>
      <w:r>
        <w:rPr>
          <w:rFonts w:ascii="仿宋_GB2312" w:eastAsia="仿宋_GB2312" w:hAnsi="仿宋"/>
          <w:sz w:val="32"/>
          <w:szCs w:val="32"/>
        </w:rPr>
        <w:t>生产力打牢基础。</w:t>
      </w:r>
      <w:r>
        <w:rPr>
          <w:rFonts w:ascii="仿宋_GB2312" w:eastAsia="仿宋_GB2312" w:hAnsi="仿宋" w:cs="Times New Roman" w:hint="eastAsia"/>
          <w:b/>
          <w:bCs/>
          <w:sz w:val="32"/>
          <w:szCs w:val="32"/>
        </w:rPr>
        <w:t>三是提升普惠金融服务效能</w:t>
      </w:r>
      <w:r w:rsidRPr="00B9543E">
        <w:rPr>
          <w:rFonts w:ascii="仿宋_GB2312" w:eastAsia="仿宋_GB2312" w:hAnsi="仿宋" w:cs="Times New Roman" w:hint="eastAsia"/>
          <w:b/>
          <w:sz w:val="32"/>
          <w:szCs w:val="32"/>
        </w:rPr>
        <w:t>。</w:t>
      </w:r>
      <w:r>
        <w:rPr>
          <w:rFonts w:ascii="仿宋_GB2312" w:eastAsia="仿宋_GB2312" w:hAnsi="仿宋" w:cs="Times New Roman" w:hint="eastAsia"/>
          <w:sz w:val="32"/>
          <w:szCs w:val="32"/>
        </w:rPr>
        <w:t>完善建立综合金融服务体系，充分发挥“政银”合力搭建银企融资对接桥梁，帮助小微企业拓宽融资渠道。进一步做优做强“园区保”“科创积分贷”等普惠金融产品体量规模，发挥融资担保、保险机构风险分担作用，满足企业个性化精准融资需求。</w:t>
      </w:r>
    </w:p>
    <w:p w:rsidR="000D1C6C" w:rsidRDefault="001E5366" w:rsidP="009E3202">
      <w:pPr>
        <w:widowControl/>
        <w:spacing w:line="55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（三）坚持以人为本、绿色发展，做好为民用财文章</w:t>
      </w:r>
    </w:p>
    <w:p w:rsidR="000D1C6C" w:rsidRDefault="001E5366" w:rsidP="009E3202">
      <w:pPr>
        <w:spacing w:line="550" w:lineRule="exact"/>
        <w:ind w:firstLineChars="200" w:firstLine="643"/>
        <w:rPr>
          <w:rFonts w:ascii="仿宋_GB2312" w:eastAsia="仿宋_GB2312" w:hAnsi="Times New Roman" w:cs="Times New Roman"/>
          <w:sz w:val="32"/>
          <w:szCs w:val="32"/>
        </w:rPr>
      </w:pPr>
      <w:r>
        <w:rPr>
          <w:rFonts w:ascii="仿宋_GB2312" w:eastAsia="仿宋_GB2312" w:hAnsi="仿宋_GB2312" w:cs="仿宋_GB2312" w:hint="eastAsia"/>
          <w:b/>
          <w:bCs/>
          <w:sz w:val="32"/>
          <w:szCs w:val="32"/>
        </w:rPr>
        <w:t>一是聚力保障改善基本民生。</w:t>
      </w:r>
      <w:r>
        <w:rPr>
          <w:rFonts w:ascii="仿宋_GB2312" w:eastAsia="仿宋_GB2312" w:hAnsi="仿宋_GB2312" w:cs="仿宋_GB2312" w:hint="eastAsia"/>
          <w:sz w:val="32"/>
          <w:szCs w:val="32"/>
        </w:rPr>
        <w:t>加强民生支出统筹管理，实施好就业优先政策，足额保障就业资金，支持企业稳岗扩岗、个人就业创业，做好重点人群就业帮扶。进一步完善社会保障体系，稳步提高城乡居民基础养老金和城乡低保标准，加强困难群众基本生活保障。统筹安排资金支持教育、医疗、养老、住房保障、文化惠民、社会治理等民生事业发展，持续擦亮“幸福高新”名片。</w:t>
      </w:r>
      <w:r>
        <w:rPr>
          <w:rFonts w:ascii="仿宋_GB2312" w:eastAsia="仿宋_GB2312" w:hAnsi="仿宋_GB2312" w:cs="仿宋_GB2312" w:hint="eastAsia"/>
          <w:b/>
          <w:bCs/>
          <w:sz w:val="32"/>
          <w:szCs w:val="32"/>
        </w:rPr>
        <w:t>二是大力推进乡村全面振兴。</w:t>
      </w:r>
      <w:r>
        <w:rPr>
          <w:rFonts w:ascii="仿宋_GB2312" w:eastAsia="仿宋_GB2312" w:hAnsi="仿宋_GB2312" w:cs="仿宋_GB2312" w:hint="eastAsia"/>
          <w:sz w:val="32"/>
          <w:szCs w:val="32"/>
        </w:rPr>
        <w:t>健全财政支农投入稳定增长机制，持续构建完善乡村振兴战略政策体系，着力保障高标准农田建设、农村一二三产融合、农村人居环境整治提升、池塘生态化改造、扶持村集体增收等重点工作开展。做好农业保险机构遴选，推进村级公益事业“一事一议”财政奖补项目实施。落实各项农业补贴政策，夯实粮食安全根基。</w:t>
      </w:r>
      <w:r>
        <w:rPr>
          <w:rFonts w:ascii="仿宋_GB2312" w:eastAsia="仿宋_GB2312" w:hAnsi="仿宋_GB2312" w:cs="仿宋_GB2312" w:hint="eastAsia"/>
          <w:b/>
          <w:bCs/>
          <w:sz w:val="32"/>
          <w:szCs w:val="32"/>
        </w:rPr>
        <w:t>三是推动发展方式绿色转型。</w:t>
      </w:r>
      <w:r>
        <w:rPr>
          <w:rFonts w:ascii="仿宋_GB2312" w:eastAsia="仿宋_GB2312" w:hAnsi="仿宋_GB2312" w:cs="仿宋_GB2312" w:hint="eastAsia"/>
          <w:sz w:val="32"/>
          <w:szCs w:val="32"/>
        </w:rPr>
        <w:t>保持财政投入力度，培育绿色低碳转型内生动力，持续深入打好</w:t>
      </w:r>
      <w:r>
        <w:rPr>
          <w:rFonts w:ascii="仿宋_GB2312" w:eastAsia="仿宋_GB2312" w:hAnsi="仿宋_GB2312" w:cs="仿宋_GB2312" w:hint="eastAsia"/>
          <w:sz w:val="32"/>
          <w:szCs w:val="32"/>
        </w:rPr>
        <w:lastRenderedPageBreak/>
        <w:t>污染防治攻坚战。研究落实绿色采购各项政策要求，加大绿色产品政府采购力度。</w:t>
      </w:r>
      <w:r>
        <w:rPr>
          <w:rFonts w:ascii="仿宋_GB2312" w:eastAsia="仿宋_GB2312" w:hAnsi="仿宋_GB2312" w:cs="仿宋_GB2312" w:hint="eastAsia"/>
          <w:b/>
          <w:bCs/>
          <w:sz w:val="32"/>
          <w:szCs w:val="32"/>
        </w:rPr>
        <w:t>四是助力区域安全水平提升。</w:t>
      </w:r>
      <w:r>
        <w:rPr>
          <w:rFonts w:ascii="仿宋_GB2312" w:eastAsia="仿宋_GB2312" w:hAnsi="仿宋_GB2312" w:cs="仿宋_GB2312" w:hint="eastAsia"/>
          <w:sz w:val="32"/>
          <w:szCs w:val="32"/>
        </w:rPr>
        <w:t>足额保障安全生产经费，支持“危污乱散低”综合治理。支持常态化开展扫黑除恶斗争，为“平安新北”建设提供财政支持</w:t>
      </w:r>
      <w:r>
        <w:rPr>
          <w:rFonts w:ascii="仿宋_GB2312" w:eastAsia="仿宋_GB2312" w:hAnsi="Times New Roman" w:cs="Times New Roman" w:hint="eastAsia"/>
          <w:sz w:val="32"/>
          <w:szCs w:val="32"/>
        </w:rPr>
        <w:t>。</w:t>
      </w:r>
    </w:p>
    <w:p w:rsidR="000D1C6C" w:rsidRDefault="001E5366" w:rsidP="009E3202">
      <w:pPr>
        <w:widowControl/>
        <w:spacing w:line="55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（四）坚持建强机制、提升效能，做好依法管财文章</w:t>
      </w:r>
    </w:p>
    <w:p w:rsidR="000D1C6C" w:rsidRDefault="001E5366" w:rsidP="009E3202">
      <w:pPr>
        <w:pStyle w:val="a3"/>
        <w:spacing w:after="0" w:line="550" w:lineRule="exact"/>
        <w:ind w:firstLineChars="200" w:firstLine="643"/>
        <w:rPr>
          <w:rFonts w:ascii="仿宋_GB2312" w:eastAsia="仿宋_GB2312" w:hAnsi="Times New Roman" w:cs="Times New Roman"/>
          <w:sz w:val="32"/>
          <w:szCs w:val="32"/>
        </w:rPr>
      </w:pPr>
      <w:r>
        <w:rPr>
          <w:rFonts w:ascii="仿宋_GB2312" w:eastAsia="仿宋_GB2312" w:hAnsi="仿宋_GB2312" w:cs="仿宋_GB2312" w:hint="eastAsia"/>
          <w:b/>
          <w:bCs/>
          <w:sz w:val="32"/>
          <w:szCs w:val="32"/>
        </w:rPr>
        <w:t>一是深化预算管理改革。</w:t>
      </w:r>
      <w:r>
        <w:rPr>
          <w:rFonts w:ascii="仿宋_GB2312" w:eastAsia="仿宋_GB2312" w:hAnsi="仿宋_GB2312" w:cs="仿宋_GB2312" w:hint="eastAsia"/>
          <w:sz w:val="32"/>
          <w:szCs w:val="32"/>
        </w:rPr>
        <w:t>积极推进“零基预算”改革，以零为起点，打破支出基数、完善支出标准、整合项目清单，着力支持合理且必要的资金需求。持续推进预算管理一体化系统建设和票据电子化改革，加快区“直达快享”平台建设，以信息化、数字化手段提升财政协同管理能力。</w:t>
      </w:r>
      <w:r>
        <w:rPr>
          <w:rFonts w:ascii="仿宋_GB2312" w:eastAsia="仿宋_GB2312" w:hAnsi="仿宋_GB2312" w:cs="仿宋_GB2312" w:hint="eastAsia"/>
          <w:b/>
          <w:bCs/>
          <w:sz w:val="32"/>
          <w:szCs w:val="32"/>
        </w:rPr>
        <w:t>二是完善预算绩效管理。</w:t>
      </w:r>
      <w:r>
        <w:rPr>
          <w:rFonts w:ascii="仿宋_GB2312" w:eastAsia="仿宋_GB2312" w:hAnsi="仿宋_GB2312" w:cs="仿宋_GB2312" w:hint="eastAsia"/>
          <w:sz w:val="32"/>
          <w:szCs w:val="32"/>
        </w:rPr>
        <w:t>注重结果导向、强调成本效益、硬化责任约束，加强绩效工作各关键环节管理，确保绩效目标设置科学合理、运行监控严密有效、重点评价客观公正。</w:t>
      </w:r>
      <w:r>
        <w:rPr>
          <w:rFonts w:ascii="仿宋_GB2312" w:eastAsia="仿宋_GB2312" w:hAnsi="仿宋_GB2312" w:cs="仿宋_GB2312" w:hint="eastAsia"/>
          <w:b/>
          <w:bCs/>
          <w:sz w:val="32"/>
          <w:szCs w:val="32"/>
        </w:rPr>
        <w:t>三是推动政府投资基金管理转型。</w:t>
      </w:r>
      <w:r>
        <w:rPr>
          <w:rFonts w:ascii="仿宋_GB2312" w:eastAsia="仿宋_GB2312" w:hAnsi="仿宋_GB2312" w:cs="仿宋_GB2312" w:hint="eastAsia"/>
          <w:sz w:val="32"/>
          <w:szCs w:val="32"/>
        </w:rPr>
        <w:t>严格落实政府投资基金“募投管退”全流程管理规定，加强预算管理，规范政府投资基金投资运作，建立健全基金风险控制体系，组织开展全过程绩效管理，依法依规做好信息披露和报告。</w:t>
      </w:r>
      <w:r>
        <w:rPr>
          <w:rFonts w:ascii="仿宋_GB2312" w:eastAsia="仿宋_GB2312" w:hAnsi="仿宋_GB2312" w:cs="仿宋_GB2312" w:hint="eastAsia"/>
          <w:b/>
          <w:bCs/>
          <w:sz w:val="32"/>
          <w:szCs w:val="32"/>
        </w:rPr>
        <w:t>四是持续</w:t>
      </w:r>
      <w:r>
        <w:rPr>
          <w:rFonts w:ascii="仿宋_GB2312" w:eastAsia="仿宋_GB2312" w:cs="Times New Roman" w:hint="eastAsia"/>
          <w:b/>
          <w:bCs/>
          <w:sz w:val="32"/>
          <w:szCs w:val="32"/>
        </w:rPr>
        <w:t>深化国企改革。</w:t>
      </w:r>
      <w:r>
        <w:rPr>
          <w:rFonts w:ascii="仿宋_GB2312" w:eastAsia="仿宋_GB2312" w:cs="Times New Roman" w:hint="eastAsia"/>
          <w:sz w:val="32"/>
          <w:szCs w:val="32"/>
        </w:rPr>
        <w:t>推进国企改革深化提升行动各项任务高效完成，修订国企负责人经营业绩考核办法，制定区属企业重大事项报告工作规则，研究区属企业发展方向，加快国有企业市场化转型。全力推进国企风险事项处置工作，开展亏损企业治理工作。</w:t>
      </w:r>
      <w:r>
        <w:rPr>
          <w:rFonts w:ascii="仿宋_GB2312" w:eastAsia="仿宋_GB2312" w:hAnsi="仿宋_GB2312" w:cs="仿宋_GB2312" w:hint="eastAsia"/>
          <w:b/>
          <w:bCs/>
          <w:sz w:val="32"/>
          <w:szCs w:val="32"/>
        </w:rPr>
        <w:t>五是</w:t>
      </w:r>
      <w:r>
        <w:rPr>
          <w:rFonts w:ascii="仿宋_GB2312" w:eastAsia="仿宋_GB2312" w:cs="Times New Roman" w:hint="eastAsia"/>
          <w:b/>
          <w:bCs/>
          <w:sz w:val="32"/>
          <w:szCs w:val="32"/>
        </w:rPr>
        <w:t>全面加强国有资产管理。</w:t>
      </w:r>
      <w:r>
        <w:rPr>
          <w:rFonts w:ascii="仿宋_GB2312" w:eastAsia="仿宋_GB2312" w:hAnsi="Times New Roman" w:cs="Times New Roman" w:hint="eastAsia"/>
          <w:sz w:val="32"/>
          <w:szCs w:val="32"/>
        </w:rPr>
        <w:t>推进国有资产清查利用，全面摸清“家底”、壮大“家业”、盘活“家产”，积极探索数据资产盘活运用路径，提升国有资产资源管理利用水平。</w:t>
      </w:r>
    </w:p>
    <w:p w:rsidR="000D1C6C" w:rsidRDefault="001E5366" w:rsidP="009E3202">
      <w:pPr>
        <w:widowControl/>
        <w:spacing w:line="550" w:lineRule="exact"/>
        <w:ind w:firstLineChars="200" w:firstLine="640"/>
        <w:rPr>
          <w:rFonts w:ascii="楷体_GB2312" w:eastAsia="楷体_GB2312" w:hAnsi="仿宋_GB2312" w:cs="仿宋_GB2312"/>
          <w:kern w:val="0"/>
          <w:sz w:val="32"/>
          <w:szCs w:val="32"/>
        </w:rPr>
      </w:pPr>
      <w:r>
        <w:rPr>
          <w:rFonts w:ascii="楷体_GB2312" w:eastAsia="楷体_GB2312" w:hAnsi="楷体_GB2312" w:cs="楷体_GB2312" w:hint="eastAsia"/>
          <w:sz w:val="32"/>
          <w:szCs w:val="32"/>
        </w:rPr>
        <w:lastRenderedPageBreak/>
        <w:t>（五）坚持底线思维、深化监督，做好规范理财文章</w:t>
      </w:r>
    </w:p>
    <w:p w:rsidR="000D1C6C" w:rsidRDefault="001E5366" w:rsidP="009E3202">
      <w:pPr>
        <w:spacing w:line="550" w:lineRule="exact"/>
        <w:ind w:firstLineChars="200" w:firstLine="643"/>
        <w:rPr>
          <w:rFonts w:ascii="仿宋_GB2312" w:eastAsia="仿宋_GB2312" w:cs="Times New Roman"/>
          <w:sz w:val="32"/>
          <w:szCs w:val="32"/>
        </w:rPr>
      </w:pPr>
      <w:r>
        <w:rPr>
          <w:rFonts w:ascii="仿宋_GB2312" w:eastAsia="仿宋_GB2312" w:cs="Times New Roman" w:hint="eastAsia"/>
          <w:b/>
          <w:bCs/>
          <w:sz w:val="32"/>
          <w:szCs w:val="32"/>
        </w:rPr>
        <w:t>一是保障基层平稳运行。</w:t>
      </w:r>
      <w:r>
        <w:rPr>
          <w:rFonts w:ascii="仿宋_GB2312" w:eastAsia="仿宋_GB2312" w:cs="Times New Roman" w:hint="eastAsia"/>
          <w:sz w:val="32"/>
          <w:szCs w:val="32"/>
        </w:rPr>
        <w:t>始终把“三保”摆在财政工作最优先位置，强化财力保障、加大财力下沉、科学调度库款，常态化做好运行监测和风险预警，确保“三保”不出问题。</w:t>
      </w:r>
      <w:r>
        <w:rPr>
          <w:rFonts w:ascii="仿宋_GB2312" w:eastAsia="仿宋_GB2312" w:cs="Times New Roman" w:hint="eastAsia"/>
          <w:b/>
          <w:bCs/>
          <w:sz w:val="32"/>
          <w:szCs w:val="32"/>
        </w:rPr>
        <w:t>二是防范化解债务风险。</w:t>
      </w:r>
      <w:r>
        <w:rPr>
          <w:rFonts w:ascii="仿宋_GB2312" w:eastAsia="仿宋_GB2312" w:cs="Times New Roman" w:hint="eastAsia"/>
          <w:sz w:val="32"/>
          <w:szCs w:val="32"/>
        </w:rPr>
        <w:t>持续压降隐性债务规模，加大隐性债务置换力度，缓解政府化债压力。进一步加强融资平台经营性债务管控，做好融资平台数量压降和归并工作，推动平台公司市场化转型，严防融资平台风险、金融风险向财政传导集聚。</w:t>
      </w:r>
      <w:r>
        <w:rPr>
          <w:rFonts w:ascii="仿宋_GB2312" w:eastAsia="仿宋_GB2312" w:cs="Times New Roman" w:hint="eastAsia"/>
          <w:b/>
          <w:bCs/>
          <w:sz w:val="32"/>
          <w:szCs w:val="32"/>
        </w:rPr>
        <w:t>三是健全</w:t>
      </w:r>
      <w:r>
        <w:rPr>
          <w:rFonts w:ascii="仿宋_GB2312" w:eastAsia="仿宋_GB2312" w:hAnsi="仿宋_GB2312" w:cs="仿宋_GB2312" w:hint="eastAsia"/>
          <w:b/>
          <w:bCs/>
          <w:sz w:val="32"/>
          <w:szCs w:val="32"/>
        </w:rPr>
        <w:t>财会监督管理。</w:t>
      </w:r>
      <w:r>
        <w:rPr>
          <w:rFonts w:ascii="仿宋_GB2312" w:eastAsia="仿宋_GB2312" w:hAnsi="仿宋_GB2312" w:cs="仿宋_GB2312" w:hint="eastAsia"/>
          <w:sz w:val="32"/>
          <w:szCs w:val="32"/>
        </w:rPr>
        <w:t>完善财会监督体系和工作机制，推动财会监督计划有序实施，注重财会监督成果运用。紧盯政策制定、项目审批、资金管理等关键事项、关键环节，加强内控体系建设，切实管好用好财政资金，坚决防范业务风险和廉政风险。</w:t>
      </w:r>
    </w:p>
    <w:p w:rsidR="000D1C6C" w:rsidRDefault="001E5366" w:rsidP="009E3202">
      <w:pPr>
        <w:spacing w:line="550" w:lineRule="exact"/>
        <w:ind w:firstLineChars="200" w:firstLine="640"/>
        <w:rPr>
          <w:rFonts w:ascii="仿宋_GB2312" w:eastAsia="仿宋_GB2312" w:hAnsi="Times New Roman" w:cs="Times New Roman"/>
          <w:sz w:val="32"/>
          <w:szCs w:val="32"/>
        </w:rPr>
      </w:pPr>
      <w:r>
        <w:rPr>
          <w:rFonts w:ascii="仿宋_GB2312" w:eastAsia="仿宋_GB2312" w:hAnsi="黑体" w:hint="eastAsia"/>
          <w:kern w:val="0"/>
          <w:sz w:val="32"/>
        </w:rPr>
        <w:t>各位代表，2025年是“十四五”</w:t>
      </w:r>
      <w:r w:rsidR="00786B60">
        <w:rPr>
          <w:rFonts w:ascii="仿宋_GB2312" w:eastAsia="仿宋_GB2312" w:hAnsi="黑体" w:hint="eastAsia"/>
          <w:kern w:val="0"/>
          <w:sz w:val="32"/>
        </w:rPr>
        <w:t>规划收官之年，也是“十五五”谋篇布局</w:t>
      </w:r>
      <w:r>
        <w:rPr>
          <w:rFonts w:ascii="仿宋_GB2312" w:eastAsia="仿宋_GB2312" w:hAnsi="黑体" w:hint="eastAsia"/>
          <w:kern w:val="0"/>
          <w:sz w:val="32"/>
        </w:rPr>
        <w:t>之年，做好全年财政工作任务艰巨，意义重大。</w:t>
      </w:r>
      <w:r>
        <w:rPr>
          <w:rFonts w:ascii="仿宋_GB2312" w:eastAsia="仿宋_GB2312" w:hAnsi="Times New Roman" w:cs="Times New Roman" w:hint="eastAsia"/>
          <w:sz w:val="32"/>
          <w:szCs w:val="32"/>
        </w:rPr>
        <w:t>我们将在区委、区政府的坚强领导下，在区人大、区政协的监督指导下，认真落实本次大会决议，牢固树立以政领财、以财辅政的理念，坚定信心、铆足干劲、勇挑大梁，以成效实绩彰显财政担当，为</w:t>
      </w:r>
      <w:r w:rsidR="00786B60">
        <w:rPr>
          <w:rFonts w:ascii="仿宋_GB2312" w:eastAsia="仿宋_GB2312" w:hAnsi="Times New Roman" w:cs="Times New Roman" w:hint="eastAsia"/>
          <w:sz w:val="32"/>
          <w:szCs w:val="32"/>
        </w:rPr>
        <w:t>全力塑造高质量发展新的竞争优势</w:t>
      </w:r>
      <w:r>
        <w:rPr>
          <w:rFonts w:ascii="仿宋_GB2312" w:eastAsia="仿宋_GB2312" w:hAnsi="Times New Roman" w:cs="Times New Roman" w:hint="eastAsia"/>
          <w:sz w:val="32"/>
          <w:szCs w:val="32"/>
        </w:rPr>
        <w:t>而努力奋斗！</w:t>
      </w:r>
    </w:p>
    <w:sectPr w:rsidR="000D1C6C" w:rsidSect="003808A6">
      <w:footerReference w:type="default" r:id="rId7"/>
      <w:pgSz w:w="11907" w:h="16840" w:code="9"/>
      <w:pgMar w:top="1928" w:right="1418" w:bottom="2155" w:left="1418" w:header="851" w:footer="1701"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CD9" w:rsidRDefault="009F7CD9" w:rsidP="000D1C6C">
      <w:r>
        <w:separator/>
      </w:r>
    </w:p>
  </w:endnote>
  <w:endnote w:type="continuationSeparator" w:id="1">
    <w:p w:rsidR="009F7CD9" w:rsidRDefault="009F7CD9" w:rsidP="000D1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7542"/>
    </w:sdtPr>
    <w:sdtEndPr>
      <w:rPr>
        <w:rFonts w:asciiTheme="minorEastAsia" w:eastAsiaTheme="minorEastAsia" w:hAnsiTheme="minorEastAsia"/>
        <w:sz w:val="28"/>
        <w:szCs w:val="28"/>
      </w:rPr>
    </w:sdtEndPr>
    <w:sdtContent>
      <w:p w:rsidR="000D1C6C" w:rsidRDefault="00DA1FCE">
        <w:pPr>
          <w:pStyle w:val="a6"/>
          <w:jc w:val="center"/>
        </w:pPr>
        <w:r>
          <w:rPr>
            <w:rFonts w:asciiTheme="minorEastAsia" w:eastAsiaTheme="minorEastAsia" w:hAnsiTheme="minorEastAsia"/>
            <w:sz w:val="28"/>
            <w:szCs w:val="28"/>
          </w:rPr>
          <w:fldChar w:fldCharType="begin"/>
        </w:r>
        <w:r w:rsidR="001E5366">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6873F8" w:rsidRPr="006873F8">
          <w:rPr>
            <w:rFonts w:asciiTheme="minorEastAsia" w:eastAsiaTheme="minorEastAsia" w:hAnsiTheme="minorEastAsia"/>
            <w:noProof/>
            <w:sz w:val="28"/>
            <w:szCs w:val="28"/>
            <w:lang w:val="zh-CN"/>
          </w:rPr>
          <w:t>-</w:t>
        </w:r>
        <w:r w:rsidR="006873F8">
          <w:rPr>
            <w:rFonts w:asciiTheme="minorEastAsia" w:eastAsiaTheme="minorEastAsia" w:hAnsiTheme="minorEastAsia"/>
            <w:noProof/>
            <w:sz w:val="28"/>
            <w:szCs w:val="28"/>
          </w:rPr>
          <w:t xml:space="preserve"> 14 -</w:t>
        </w:r>
        <w:r>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CD9" w:rsidRDefault="009F7CD9" w:rsidP="000D1C6C">
      <w:r>
        <w:separator/>
      </w:r>
    </w:p>
  </w:footnote>
  <w:footnote w:type="continuationSeparator" w:id="1">
    <w:p w:rsidR="009F7CD9" w:rsidRDefault="009F7CD9" w:rsidP="000D1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234E6"/>
    <w:multiLevelType w:val="multilevel"/>
    <w:tmpl w:val="47B234E6"/>
    <w:lvl w:ilvl="0">
      <w:start w:val="1"/>
      <w:numFmt w:val="chineseCountingThousand"/>
      <w:pStyle w:val="1"/>
      <w:lvlText w:val="第%1部分"/>
      <w:lvlJc w:val="center"/>
      <w:pPr>
        <w:ind w:left="0" w:firstLine="0"/>
      </w:pPr>
      <w:rPr>
        <w:b w:val="0"/>
        <w:bCs w:val="0"/>
        <w:i w:val="0"/>
        <w:iCs w:val="0"/>
        <w:caps w:val="0"/>
        <w:smallCaps w:val="0"/>
        <w:strike w:val="0"/>
        <w:dstrike w:val="0"/>
        <w:outline w:val="0"/>
        <w:shadow w:val="0"/>
        <w:emboss w:val="0"/>
        <w:imprint w:val="0"/>
        <w:vanish w:val="0"/>
        <w:spacing w:val="0"/>
        <w:position w:val="0"/>
        <w:u w:val="none"/>
        <w:vertAlign w:val="baseline"/>
      </w:rPr>
    </w:lvl>
    <w:lvl w:ilvl="1">
      <w:start w:val="1"/>
      <w:numFmt w:val="chineseCountingThousand"/>
      <w:pStyle w:val="2"/>
      <w:lvlText w:val="%2、"/>
      <w:lvlJc w:val="left"/>
      <w:pPr>
        <w:ind w:left="1135" w:firstLine="0"/>
      </w:pPr>
      <w:rPr>
        <w:rFonts w:ascii="黑体" w:eastAsia="黑体" w:hAnsi="黑体" w:hint="eastAsia"/>
        <w:b w:val="0"/>
        <w:i w:val="0"/>
        <w:sz w:val="32"/>
      </w:rPr>
    </w:lvl>
    <w:lvl w:ilvl="2">
      <w:start w:val="1"/>
      <w:numFmt w:val="chineseCountingThousand"/>
      <w:lvlText w:val="（%3）"/>
      <w:lvlJc w:val="left"/>
      <w:pPr>
        <w:ind w:left="0" w:firstLine="0"/>
      </w:pPr>
      <w:rPr>
        <w:rFonts w:eastAsia="仿宋_GB2312" w:hint="eastAsia"/>
        <w:b/>
        <w:i w:val="0"/>
        <w:sz w:val="32"/>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VmMGEzMjdiYWY0OGQyZTFlZTQ4MGM2YTc0NzE2OTYifQ=="/>
  </w:docVars>
  <w:rsids>
    <w:rsidRoot w:val="006F39C0"/>
    <w:rsid w:val="00001048"/>
    <w:rsid w:val="00001246"/>
    <w:rsid w:val="000015B2"/>
    <w:rsid w:val="00002246"/>
    <w:rsid w:val="000025C0"/>
    <w:rsid w:val="0000265A"/>
    <w:rsid w:val="000027A8"/>
    <w:rsid w:val="00002865"/>
    <w:rsid w:val="00003692"/>
    <w:rsid w:val="00004BCF"/>
    <w:rsid w:val="0000577F"/>
    <w:rsid w:val="00010A54"/>
    <w:rsid w:val="0001157A"/>
    <w:rsid w:val="00011E8D"/>
    <w:rsid w:val="00012536"/>
    <w:rsid w:val="00015838"/>
    <w:rsid w:val="000166AA"/>
    <w:rsid w:val="00017440"/>
    <w:rsid w:val="000206F1"/>
    <w:rsid w:val="00022AA5"/>
    <w:rsid w:val="000246A4"/>
    <w:rsid w:val="00024FF7"/>
    <w:rsid w:val="00025A59"/>
    <w:rsid w:val="00025E59"/>
    <w:rsid w:val="000303F9"/>
    <w:rsid w:val="000317F3"/>
    <w:rsid w:val="000327D3"/>
    <w:rsid w:val="000334E7"/>
    <w:rsid w:val="00033A24"/>
    <w:rsid w:val="0003621E"/>
    <w:rsid w:val="00036E88"/>
    <w:rsid w:val="0004214B"/>
    <w:rsid w:val="00042A09"/>
    <w:rsid w:val="00043263"/>
    <w:rsid w:val="00044B34"/>
    <w:rsid w:val="0004588E"/>
    <w:rsid w:val="00045CD5"/>
    <w:rsid w:val="00045E21"/>
    <w:rsid w:val="0005452D"/>
    <w:rsid w:val="00054E7E"/>
    <w:rsid w:val="00054F12"/>
    <w:rsid w:val="00055399"/>
    <w:rsid w:val="00056874"/>
    <w:rsid w:val="00060C9E"/>
    <w:rsid w:val="00062148"/>
    <w:rsid w:val="00062281"/>
    <w:rsid w:val="00062CEC"/>
    <w:rsid w:val="00063A64"/>
    <w:rsid w:val="00064983"/>
    <w:rsid w:val="000656D6"/>
    <w:rsid w:val="0006635E"/>
    <w:rsid w:val="000673DF"/>
    <w:rsid w:val="0006753D"/>
    <w:rsid w:val="00067DB0"/>
    <w:rsid w:val="000705AA"/>
    <w:rsid w:val="00070DD8"/>
    <w:rsid w:val="00072BEB"/>
    <w:rsid w:val="00073A18"/>
    <w:rsid w:val="00081552"/>
    <w:rsid w:val="00081829"/>
    <w:rsid w:val="00085202"/>
    <w:rsid w:val="00085373"/>
    <w:rsid w:val="00087B76"/>
    <w:rsid w:val="0009209C"/>
    <w:rsid w:val="00093904"/>
    <w:rsid w:val="00093DAA"/>
    <w:rsid w:val="000950ED"/>
    <w:rsid w:val="0009574B"/>
    <w:rsid w:val="00095AA0"/>
    <w:rsid w:val="0009648F"/>
    <w:rsid w:val="00096BB3"/>
    <w:rsid w:val="0009789C"/>
    <w:rsid w:val="00097F21"/>
    <w:rsid w:val="000A066B"/>
    <w:rsid w:val="000A0E26"/>
    <w:rsid w:val="000A1491"/>
    <w:rsid w:val="000A38BC"/>
    <w:rsid w:val="000A38E4"/>
    <w:rsid w:val="000B2AE0"/>
    <w:rsid w:val="000B3F6A"/>
    <w:rsid w:val="000B4F3B"/>
    <w:rsid w:val="000B6716"/>
    <w:rsid w:val="000B6946"/>
    <w:rsid w:val="000C0D34"/>
    <w:rsid w:val="000C1517"/>
    <w:rsid w:val="000C284D"/>
    <w:rsid w:val="000C52EE"/>
    <w:rsid w:val="000C5A7F"/>
    <w:rsid w:val="000D0E6E"/>
    <w:rsid w:val="000D14CD"/>
    <w:rsid w:val="000D1C6C"/>
    <w:rsid w:val="000D6DAB"/>
    <w:rsid w:val="000D6E82"/>
    <w:rsid w:val="000D6FBD"/>
    <w:rsid w:val="000D7E60"/>
    <w:rsid w:val="000E052E"/>
    <w:rsid w:val="000E1B83"/>
    <w:rsid w:val="000E2BED"/>
    <w:rsid w:val="000E3685"/>
    <w:rsid w:val="000E39BE"/>
    <w:rsid w:val="000E481C"/>
    <w:rsid w:val="000E5C39"/>
    <w:rsid w:val="000E5EC5"/>
    <w:rsid w:val="000F198F"/>
    <w:rsid w:val="000F2098"/>
    <w:rsid w:val="000F280C"/>
    <w:rsid w:val="000F2863"/>
    <w:rsid w:val="000F62E3"/>
    <w:rsid w:val="000F737B"/>
    <w:rsid w:val="001004A5"/>
    <w:rsid w:val="00100EEA"/>
    <w:rsid w:val="00101AAB"/>
    <w:rsid w:val="0010207F"/>
    <w:rsid w:val="001022EF"/>
    <w:rsid w:val="001027B0"/>
    <w:rsid w:val="001031B4"/>
    <w:rsid w:val="001032EC"/>
    <w:rsid w:val="00103CB7"/>
    <w:rsid w:val="00105FAA"/>
    <w:rsid w:val="001061AA"/>
    <w:rsid w:val="00106CB1"/>
    <w:rsid w:val="00106D1B"/>
    <w:rsid w:val="00110A8E"/>
    <w:rsid w:val="00111E38"/>
    <w:rsid w:val="00112B75"/>
    <w:rsid w:val="0011490E"/>
    <w:rsid w:val="00115512"/>
    <w:rsid w:val="001155CB"/>
    <w:rsid w:val="001158FC"/>
    <w:rsid w:val="00116464"/>
    <w:rsid w:val="00121176"/>
    <w:rsid w:val="00121341"/>
    <w:rsid w:val="00121654"/>
    <w:rsid w:val="001224D0"/>
    <w:rsid w:val="001232E3"/>
    <w:rsid w:val="0012339E"/>
    <w:rsid w:val="00125355"/>
    <w:rsid w:val="00126A05"/>
    <w:rsid w:val="00130613"/>
    <w:rsid w:val="001315E1"/>
    <w:rsid w:val="0013346C"/>
    <w:rsid w:val="001339CB"/>
    <w:rsid w:val="00133E9B"/>
    <w:rsid w:val="001356A6"/>
    <w:rsid w:val="00135A29"/>
    <w:rsid w:val="001369F9"/>
    <w:rsid w:val="00136C03"/>
    <w:rsid w:val="00137DC3"/>
    <w:rsid w:val="0014028D"/>
    <w:rsid w:val="00140A4B"/>
    <w:rsid w:val="00140C54"/>
    <w:rsid w:val="00140E9B"/>
    <w:rsid w:val="0014179C"/>
    <w:rsid w:val="001421D9"/>
    <w:rsid w:val="0014348C"/>
    <w:rsid w:val="001436AF"/>
    <w:rsid w:val="001455CB"/>
    <w:rsid w:val="0014601A"/>
    <w:rsid w:val="00146862"/>
    <w:rsid w:val="00146DC7"/>
    <w:rsid w:val="00152AA5"/>
    <w:rsid w:val="001548EB"/>
    <w:rsid w:val="00156B67"/>
    <w:rsid w:val="00157423"/>
    <w:rsid w:val="001618EC"/>
    <w:rsid w:val="00162129"/>
    <w:rsid w:val="00162545"/>
    <w:rsid w:val="00163A41"/>
    <w:rsid w:val="00164485"/>
    <w:rsid w:val="00164E9A"/>
    <w:rsid w:val="00165DD2"/>
    <w:rsid w:val="00166CB4"/>
    <w:rsid w:val="00166E53"/>
    <w:rsid w:val="00166F97"/>
    <w:rsid w:val="00166F9F"/>
    <w:rsid w:val="00170A18"/>
    <w:rsid w:val="00170CB9"/>
    <w:rsid w:val="00170F18"/>
    <w:rsid w:val="0017475D"/>
    <w:rsid w:val="001748FA"/>
    <w:rsid w:val="00175755"/>
    <w:rsid w:val="0017602D"/>
    <w:rsid w:val="00176FDE"/>
    <w:rsid w:val="00177052"/>
    <w:rsid w:val="0017764F"/>
    <w:rsid w:val="00180DB2"/>
    <w:rsid w:val="0018140D"/>
    <w:rsid w:val="0018154F"/>
    <w:rsid w:val="00181AA0"/>
    <w:rsid w:val="001841F4"/>
    <w:rsid w:val="00185E24"/>
    <w:rsid w:val="0018683F"/>
    <w:rsid w:val="00187AE6"/>
    <w:rsid w:val="00187C21"/>
    <w:rsid w:val="00187D6D"/>
    <w:rsid w:val="00191582"/>
    <w:rsid w:val="0019207C"/>
    <w:rsid w:val="00192787"/>
    <w:rsid w:val="0019345C"/>
    <w:rsid w:val="0019543E"/>
    <w:rsid w:val="0019683E"/>
    <w:rsid w:val="001978B8"/>
    <w:rsid w:val="0019790C"/>
    <w:rsid w:val="001A1695"/>
    <w:rsid w:val="001A60E6"/>
    <w:rsid w:val="001A641A"/>
    <w:rsid w:val="001A6530"/>
    <w:rsid w:val="001A6599"/>
    <w:rsid w:val="001A6902"/>
    <w:rsid w:val="001A7D70"/>
    <w:rsid w:val="001A7F78"/>
    <w:rsid w:val="001B0DCE"/>
    <w:rsid w:val="001B1DC1"/>
    <w:rsid w:val="001B3B48"/>
    <w:rsid w:val="001B481A"/>
    <w:rsid w:val="001B598B"/>
    <w:rsid w:val="001B7B2C"/>
    <w:rsid w:val="001B7BF5"/>
    <w:rsid w:val="001C0568"/>
    <w:rsid w:val="001C4F08"/>
    <w:rsid w:val="001C61D2"/>
    <w:rsid w:val="001C7E07"/>
    <w:rsid w:val="001C7EB9"/>
    <w:rsid w:val="001D3945"/>
    <w:rsid w:val="001D3C55"/>
    <w:rsid w:val="001D4F28"/>
    <w:rsid w:val="001D5DB2"/>
    <w:rsid w:val="001D5FD9"/>
    <w:rsid w:val="001D65B7"/>
    <w:rsid w:val="001D6EA4"/>
    <w:rsid w:val="001D7526"/>
    <w:rsid w:val="001E0FE2"/>
    <w:rsid w:val="001E18DB"/>
    <w:rsid w:val="001E33C7"/>
    <w:rsid w:val="001E3474"/>
    <w:rsid w:val="001E38FD"/>
    <w:rsid w:val="001E5366"/>
    <w:rsid w:val="001E7D6F"/>
    <w:rsid w:val="001F0FA3"/>
    <w:rsid w:val="001F1A9D"/>
    <w:rsid w:val="001F4475"/>
    <w:rsid w:val="001F45A6"/>
    <w:rsid w:val="001F55A2"/>
    <w:rsid w:val="001F55FD"/>
    <w:rsid w:val="001F592D"/>
    <w:rsid w:val="001F689A"/>
    <w:rsid w:val="001F6BC6"/>
    <w:rsid w:val="001F6CD6"/>
    <w:rsid w:val="001F71F0"/>
    <w:rsid w:val="001F7F8E"/>
    <w:rsid w:val="002003E5"/>
    <w:rsid w:val="0020192E"/>
    <w:rsid w:val="00201C0E"/>
    <w:rsid w:val="0020236E"/>
    <w:rsid w:val="002029F7"/>
    <w:rsid w:val="00202AB6"/>
    <w:rsid w:val="00202BAA"/>
    <w:rsid w:val="00202C98"/>
    <w:rsid w:val="002034BC"/>
    <w:rsid w:val="00203868"/>
    <w:rsid w:val="00204ECF"/>
    <w:rsid w:val="0020599F"/>
    <w:rsid w:val="002059C5"/>
    <w:rsid w:val="00206935"/>
    <w:rsid w:val="00207D72"/>
    <w:rsid w:val="00207E88"/>
    <w:rsid w:val="00210376"/>
    <w:rsid w:val="0021123C"/>
    <w:rsid w:val="00213CF6"/>
    <w:rsid w:val="00214618"/>
    <w:rsid w:val="00215BE8"/>
    <w:rsid w:val="00215D70"/>
    <w:rsid w:val="0021601F"/>
    <w:rsid w:val="0021698E"/>
    <w:rsid w:val="00216D72"/>
    <w:rsid w:val="002176BB"/>
    <w:rsid w:val="002176D7"/>
    <w:rsid w:val="00220DFC"/>
    <w:rsid w:val="0022224A"/>
    <w:rsid w:val="00224DF0"/>
    <w:rsid w:val="00225ABF"/>
    <w:rsid w:val="00226CFD"/>
    <w:rsid w:val="00227311"/>
    <w:rsid w:val="002274B7"/>
    <w:rsid w:val="00231545"/>
    <w:rsid w:val="0023243B"/>
    <w:rsid w:val="00233774"/>
    <w:rsid w:val="00234EE8"/>
    <w:rsid w:val="0023515C"/>
    <w:rsid w:val="00235D8C"/>
    <w:rsid w:val="0024076C"/>
    <w:rsid w:val="00241C2F"/>
    <w:rsid w:val="00241D6F"/>
    <w:rsid w:val="00241F59"/>
    <w:rsid w:val="00242584"/>
    <w:rsid w:val="002429C6"/>
    <w:rsid w:val="002449B1"/>
    <w:rsid w:val="00246F97"/>
    <w:rsid w:val="002472AB"/>
    <w:rsid w:val="00250A51"/>
    <w:rsid w:val="002522C2"/>
    <w:rsid w:val="00252BA1"/>
    <w:rsid w:val="00252E2E"/>
    <w:rsid w:val="00253B12"/>
    <w:rsid w:val="002542AD"/>
    <w:rsid w:val="002548C4"/>
    <w:rsid w:val="002550D2"/>
    <w:rsid w:val="0025517F"/>
    <w:rsid w:val="0025553E"/>
    <w:rsid w:val="00255610"/>
    <w:rsid w:val="002569EC"/>
    <w:rsid w:val="0025715A"/>
    <w:rsid w:val="0025748D"/>
    <w:rsid w:val="00257ACA"/>
    <w:rsid w:val="00257D0A"/>
    <w:rsid w:val="002601BF"/>
    <w:rsid w:val="002618A1"/>
    <w:rsid w:val="00261D46"/>
    <w:rsid w:val="00262AF0"/>
    <w:rsid w:val="002700AE"/>
    <w:rsid w:val="00270360"/>
    <w:rsid w:val="00271438"/>
    <w:rsid w:val="00272C27"/>
    <w:rsid w:val="00273666"/>
    <w:rsid w:val="00273A8F"/>
    <w:rsid w:val="00274D24"/>
    <w:rsid w:val="00280E1D"/>
    <w:rsid w:val="00280E44"/>
    <w:rsid w:val="0028125C"/>
    <w:rsid w:val="002822D3"/>
    <w:rsid w:val="002828F2"/>
    <w:rsid w:val="0028390F"/>
    <w:rsid w:val="00283EA4"/>
    <w:rsid w:val="0028585E"/>
    <w:rsid w:val="002864B3"/>
    <w:rsid w:val="0029112C"/>
    <w:rsid w:val="00291EFD"/>
    <w:rsid w:val="00293B9E"/>
    <w:rsid w:val="00294184"/>
    <w:rsid w:val="00294D7A"/>
    <w:rsid w:val="002952D1"/>
    <w:rsid w:val="00295836"/>
    <w:rsid w:val="002958B0"/>
    <w:rsid w:val="0029615D"/>
    <w:rsid w:val="00297374"/>
    <w:rsid w:val="002A0162"/>
    <w:rsid w:val="002A14EA"/>
    <w:rsid w:val="002A43C4"/>
    <w:rsid w:val="002A4469"/>
    <w:rsid w:val="002A55CA"/>
    <w:rsid w:val="002A5892"/>
    <w:rsid w:val="002A6763"/>
    <w:rsid w:val="002A6897"/>
    <w:rsid w:val="002A6C58"/>
    <w:rsid w:val="002B2CC0"/>
    <w:rsid w:val="002B3158"/>
    <w:rsid w:val="002B4176"/>
    <w:rsid w:val="002B569E"/>
    <w:rsid w:val="002B6F1F"/>
    <w:rsid w:val="002B7C90"/>
    <w:rsid w:val="002C05B0"/>
    <w:rsid w:val="002C09D9"/>
    <w:rsid w:val="002C12F3"/>
    <w:rsid w:val="002C1539"/>
    <w:rsid w:val="002C1F8A"/>
    <w:rsid w:val="002C2251"/>
    <w:rsid w:val="002C376A"/>
    <w:rsid w:val="002C4C16"/>
    <w:rsid w:val="002C50EA"/>
    <w:rsid w:val="002C541E"/>
    <w:rsid w:val="002C68FA"/>
    <w:rsid w:val="002C7C01"/>
    <w:rsid w:val="002D1208"/>
    <w:rsid w:val="002D20FF"/>
    <w:rsid w:val="002D2387"/>
    <w:rsid w:val="002D279A"/>
    <w:rsid w:val="002D27D8"/>
    <w:rsid w:val="002D3CE4"/>
    <w:rsid w:val="002D4A98"/>
    <w:rsid w:val="002D4CE4"/>
    <w:rsid w:val="002D4E1F"/>
    <w:rsid w:val="002D5552"/>
    <w:rsid w:val="002D598A"/>
    <w:rsid w:val="002D5A51"/>
    <w:rsid w:val="002D6747"/>
    <w:rsid w:val="002D6B4C"/>
    <w:rsid w:val="002E189B"/>
    <w:rsid w:val="002E3AA3"/>
    <w:rsid w:val="002E49EF"/>
    <w:rsid w:val="002E5604"/>
    <w:rsid w:val="002E79BA"/>
    <w:rsid w:val="002E7AA3"/>
    <w:rsid w:val="002E7B79"/>
    <w:rsid w:val="002F09CE"/>
    <w:rsid w:val="002F2808"/>
    <w:rsid w:val="002F2962"/>
    <w:rsid w:val="002F51BC"/>
    <w:rsid w:val="002F52DF"/>
    <w:rsid w:val="002F6A83"/>
    <w:rsid w:val="002F7232"/>
    <w:rsid w:val="0030089F"/>
    <w:rsid w:val="0030145C"/>
    <w:rsid w:val="00301907"/>
    <w:rsid w:val="003033BD"/>
    <w:rsid w:val="00305C32"/>
    <w:rsid w:val="00306257"/>
    <w:rsid w:val="00312C1F"/>
    <w:rsid w:val="00312F77"/>
    <w:rsid w:val="00313AA0"/>
    <w:rsid w:val="00313AB7"/>
    <w:rsid w:val="00314382"/>
    <w:rsid w:val="00314DC4"/>
    <w:rsid w:val="00316957"/>
    <w:rsid w:val="003172BE"/>
    <w:rsid w:val="00317701"/>
    <w:rsid w:val="0032006C"/>
    <w:rsid w:val="0032045B"/>
    <w:rsid w:val="0032079B"/>
    <w:rsid w:val="00323987"/>
    <w:rsid w:val="00325DC2"/>
    <w:rsid w:val="003264F0"/>
    <w:rsid w:val="00327479"/>
    <w:rsid w:val="003303A2"/>
    <w:rsid w:val="003304BD"/>
    <w:rsid w:val="0033051A"/>
    <w:rsid w:val="00332682"/>
    <w:rsid w:val="0033321C"/>
    <w:rsid w:val="00334A00"/>
    <w:rsid w:val="00334BB7"/>
    <w:rsid w:val="00334EAF"/>
    <w:rsid w:val="00335222"/>
    <w:rsid w:val="00335F8E"/>
    <w:rsid w:val="00336EFF"/>
    <w:rsid w:val="00337119"/>
    <w:rsid w:val="00337350"/>
    <w:rsid w:val="00340090"/>
    <w:rsid w:val="003401D6"/>
    <w:rsid w:val="003418E8"/>
    <w:rsid w:val="003428F9"/>
    <w:rsid w:val="00343993"/>
    <w:rsid w:val="0034456B"/>
    <w:rsid w:val="00345BE7"/>
    <w:rsid w:val="003461D2"/>
    <w:rsid w:val="00346965"/>
    <w:rsid w:val="00350000"/>
    <w:rsid w:val="003501EA"/>
    <w:rsid w:val="0035189A"/>
    <w:rsid w:val="00354151"/>
    <w:rsid w:val="003554D3"/>
    <w:rsid w:val="003556FE"/>
    <w:rsid w:val="00356D46"/>
    <w:rsid w:val="00357B1B"/>
    <w:rsid w:val="00357D9F"/>
    <w:rsid w:val="00360EBB"/>
    <w:rsid w:val="00363212"/>
    <w:rsid w:val="003635E9"/>
    <w:rsid w:val="00363FAA"/>
    <w:rsid w:val="00364757"/>
    <w:rsid w:val="00364FDC"/>
    <w:rsid w:val="0036523F"/>
    <w:rsid w:val="00365A67"/>
    <w:rsid w:val="00365B39"/>
    <w:rsid w:val="003679E3"/>
    <w:rsid w:val="00370425"/>
    <w:rsid w:val="003709C4"/>
    <w:rsid w:val="00371558"/>
    <w:rsid w:val="0037345E"/>
    <w:rsid w:val="0037349B"/>
    <w:rsid w:val="003736AE"/>
    <w:rsid w:val="003775C1"/>
    <w:rsid w:val="003808A6"/>
    <w:rsid w:val="003815B4"/>
    <w:rsid w:val="00382CB3"/>
    <w:rsid w:val="003833C3"/>
    <w:rsid w:val="00383653"/>
    <w:rsid w:val="003844CE"/>
    <w:rsid w:val="00384C55"/>
    <w:rsid w:val="00391349"/>
    <w:rsid w:val="00392A3A"/>
    <w:rsid w:val="00392B94"/>
    <w:rsid w:val="00393340"/>
    <w:rsid w:val="00393558"/>
    <w:rsid w:val="00394C0D"/>
    <w:rsid w:val="003970FD"/>
    <w:rsid w:val="003974CD"/>
    <w:rsid w:val="0039799F"/>
    <w:rsid w:val="003A0F96"/>
    <w:rsid w:val="003A2C31"/>
    <w:rsid w:val="003A67A0"/>
    <w:rsid w:val="003A6CD9"/>
    <w:rsid w:val="003A6F7F"/>
    <w:rsid w:val="003B29C6"/>
    <w:rsid w:val="003B2E29"/>
    <w:rsid w:val="003B3D33"/>
    <w:rsid w:val="003B4E78"/>
    <w:rsid w:val="003B5357"/>
    <w:rsid w:val="003B6DED"/>
    <w:rsid w:val="003C0F5F"/>
    <w:rsid w:val="003C12F1"/>
    <w:rsid w:val="003C1660"/>
    <w:rsid w:val="003C1E2D"/>
    <w:rsid w:val="003C1FA8"/>
    <w:rsid w:val="003C2DF6"/>
    <w:rsid w:val="003C311D"/>
    <w:rsid w:val="003C3317"/>
    <w:rsid w:val="003C4390"/>
    <w:rsid w:val="003C45F2"/>
    <w:rsid w:val="003C60F5"/>
    <w:rsid w:val="003C6EEE"/>
    <w:rsid w:val="003C7D0D"/>
    <w:rsid w:val="003D0A4A"/>
    <w:rsid w:val="003D0D1C"/>
    <w:rsid w:val="003D147A"/>
    <w:rsid w:val="003D292A"/>
    <w:rsid w:val="003D3525"/>
    <w:rsid w:val="003D361E"/>
    <w:rsid w:val="003D3EAE"/>
    <w:rsid w:val="003D68F1"/>
    <w:rsid w:val="003D6ACB"/>
    <w:rsid w:val="003E0CB8"/>
    <w:rsid w:val="003E468C"/>
    <w:rsid w:val="003E4E07"/>
    <w:rsid w:val="003E55DF"/>
    <w:rsid w:val="003E6EA6"/>
    <w:rsid w:val="003E7C3B"/>
    <w:rsid w:val="003E7E39"/>
    <w:rsid w:val="003E7F0A"/>
    <w:rsid w:val="003F0309"/>
    <w:rsid w:val="003F09A7"/>
    <w:rsid w:val="003F0D1B"/>
    <w:rsid w:val="003F2104"/>
    <w:rsid w:val="003F2791"/>
    <w:rsid w:val="003F30A7"/>
    <w:rsid w:val="003F6773"/>
    <w:rsid w:val="003F6840"/>
    <w:rsid w:val="003F7C15"/>
    <w:rsid w:val="004016D8"/>
    <w:rsid w:val="00401831"/>
    <w:rsid w:val="00401D99"/>
    <w:rsid w:val="0040217D"/>
    <w:rsid w:val="00402B3A"/>
    <w:rsid w:val="00404029"/>
    <w:rsid w:val="00404C19"/>
    <w:rsid w:val="00404D2A"/>
    <w:rsid w:val="00404E76"/>
    <w:rsid w:val="00405672"/>
    <w:rsid w:val="0040586B"/>
    <w:rsid w:val="00405BE3"/>
    <w:rsid w:val="004060AF"/>
    <w:rsid w:val="00406924"/>
    <w:rsid w:val="00407504"/>
    <w:rsid w:val="00412CC2"/>
    <w:rsid w:val="00414226"/>
    <w:rsid w:val="00414F22"/>
    <w:rsid w:val="00416270"/>
    <w:rsid w:val="004162A4"/>
    <w:rsid w:val="004170D0"/>
    <w:rsid w:val="0041741B"/>
    <w:rsid w:val="00421C74"/>
    <w:rsid w:val="004223E6"/>
    <w:rsid w:val="00423301"/>
    <w:rsid w:val="00423B56"/>
    <w:rsid w:val="004244F4"/>
    <w:rsid w:val="00424BF9"/>
    <w:rsid w:val="004253C9"/>
    <w:rsid w:val="00425E21"/>
    <w:rsid w:val="004261C7"/>
    <w:rsid w:val="004276AF"/>
    <w:rsid w:val="00427D7D"/>
    <w:rsid w:val="0043272D"/>
    <w:rsid w:val="004338E5"/>
    <w:rsid w:val="00436C9B"/>
    <w:rsid w:val="00436E5B"/>
    <w:rsid w:val="00437890"/>
    <w:rsid w:val="00440377"/>
    <w:rsid w:val="00441348"/>
    <w:rsid w:val="0044145D"/>
    <w:rsid w:val="004431FC"/>
    <w:rsid w:val="0044385E"/>
    <w:rsid w:val="00443E9B"/>
    <w:rsid w:val="00445A1C"/>
    <w:rsid w:val="00445CD7"/>
    <w:rsid w:val="00447F10"/>
    <w:rsid w:val="00450738"/>
    <w:rsid w:val="00450A4B"/>
    <w:rsid w:val="00450C4D"/>
    <w:rsid w:val="00451CB0"/>
    <w:rsid w:val="00453461"/>
    <w:rsid w:val="00453F95"/>
    <w:rsid w:val="00455A58"/>
    <w:rsid w:val="00456675"/>
    <w:rsid w:val="00457767"/>
    <w:rsid w:val="0046002B"/>
    <w:rsid w:val="00460E90"/>
    <w:rsid w:val="00461B20"/>
    <w:rsid w:val="00461CEC"/>
    <w:rsid w:val="0046536E"/>
    <w:rsid w:val="00466831"/>
    <w:rsid w:val="004668C9"/>
    <w:rsid w:val="00467201"/>
    <w:rsid w:val="004729DE"/>
    <w:rsid w:val="00474044"/>
    <w:rsid w:val="004758D0"/>
    <w:rsid w:val="00476688"/>
    <w:rsid w:val="00480046"/>
    <w:rsid w:val="00480469"/>
    <w:rsid w:val="00483762"/>
    <w:rsid w:val="004838A2"/>
    <w:rsid w:val="004857CE"/>
    <w:rsid w:val="00485DC9"/>
    <w:rsid w:val="00485DF6"/>
    <w:rsid w:val="00486535"/>
    <w:rsid w:val="00486599"/>
    <w:rsid w:val="00487950"/>
    <w:rsid w:val="00490BF2"/>
    <w:rsid w:val="00491BF4"/>
    <w:rsid w:val="00492BB3"/>
    <w:rsid w:val="004A01CB"/>
    <w:rsid w:val="004A1F9A"/>
    <w:rsid w:val="004A26B2"/>
    <w:rsid w:val="004A2B24"/>
    <w:rsid w:val="004A2C69"/>
    <w:rsid w:val="004A30E4"/>
    <w:rsid w:val="004A49A6"/>
    <w:rsid w:val="004A5391"/>
    <w:rsid w:val="004A6A56"/>
    <w:rsid w:val="004A7938"/>
    <w:rsid w:val="004B0C69"/>
    <w:rsid w:val="004B1360"/>
    <w:rsid w:val="004B154C"/>
    <w:rsid w:val="004B1820"/>
    <w:rsid w:val="004B1C43"/>
    <w:rsid w:val="004B4914"/>
    <w:rsid w:val="004B6081"/>
    <w:rsid w:val="004B7414"/>
    <w:rsid w:val="004B75AA"/>
    <w:rsid w:val="004B7F09"/>
    <w:rsid w:val="004C0002"/>
    <w:rsid w:val="004C0123"/>
    <w:rsid w:val="004C0695"/>
    <w:rsid w:val="004C0EB7"/>
    <w:rsid w:val="004C0F74"/>
    <w:rsid w:val="004C2F3A"/>
    <w:rsid w:val="004C3A17"/>
    <w:rsid w:val="004C41E3"/>
    <w:rsid w:val="004C45B7"/>
    <w:rsid w:val="004C465E"/>
    <w:rsid w:val="004C4E51"/>
    <w:rsid w:val="004C55F4"/>
    <w:rsid w:val="004C6C0B"/>
    <w:rsid w:val="004C6E6A"/>
    <w:rsid w:val="004D0001"/>
    <w:rsid w:val="004D03B8"/>
    <w:rsid w:val="004D3D69"/>
    <w:rsid w:val="004D4C5E"/>
    <w:rsid w:val="004D57F9"/>
    <w:rsid w:val="004D6561"/>
    <w:rsid w:val="004E0FB1"/>
    <w:rsid w:val="004E1028"/>
    <w:rsid w:val="004E14EB"/>
    <w:rsid w:val="004E31F4"/>
    <w:rsid w:val="004E3B45"/>
    <w:rsid w:val="004E445A"/>
    <w:rsid w:val="004E5C9A"/>
    <w:rsid w:val="004E5CE2"/>
    <w:rsid w:val="004E6395"/>
    <w:rsid w:val="004E737C"/>
    <w:rsid w:val="004F1A5B"/>
    <w:rsid w:val="004F270D"/>
    <w:rsid w:val="004F412F"/>
    <w:rsid w:val="004F422A"/>
    <w:rsid w:val="004F44D6"/>
    <w:rsid w:val="004F50FD"/>
    <w:rsid w:val="004F53EF"/>
    <w:rsid w:val="004F5710"/>
    <w:rsid w:val="004F5748"/>
    <w:rsid w:val="004F7DC1"/>
    <w:rsid w:val="00500393"/>
    <w:rsid w:val="00501955"/>
    <w:rsid w:val="0050310C"/>
    <w:rsid w:val="0050313C"/>
    <w:rsid w:val="0050400B"/>
    <w:rsid w:val="00506399"/>
    <w:rsid w:val="005068E2"/>
    <w:rsid w:val="00507BA7"/>
    <w:rsid w:val="0051375B"/>
    <w:rsid w:val="005140F9"/>
    <w:rsid w:val="00514C24"/>
    <w:rsid w:val="005155B1"/>
    <w:rsid w:val="00516093"/>
    <w:rsid w:val="0052098F"/>
    <w:rsid w:val="00521947"/>
    <w:rsid w:val="00522D12"/>
    <w:rsid w:val="00523B87"/>
    <w:rsid w:val="005240C4"/>
    <w:rsid w:val="005250C1"/>
    <w:rsid w:val="00525B4C"/>
    <w:rsid w:val="00526785"/>
    <w:rsid w:val="00531204"/>
    <w:rsid w:val="0053146C"/>
    <w:rsid w:val="00531742"/>
    <w:rsid w:val="00532863"/>
    <w:rsid w:val="00532A24"/>
    <w:rsid w:val="00533078"/>
    <w:rsid w:val="005335D7"/>
    <w:rsid w:val="00535E4A"/>
    <w:rsid w:val="00536333"/>
    <w:rsid w:val="0053644C"/>
    <w:rsid w:val="005367C4"/>
    <w:rsid w:val="00537F40"/>
    <w:rsid w:val="005409AF"/>
    <w:rsid w:val="0054128D"/>
    <w:rsid w:val="005417F2"/>
    <w:rsid w:val="00542283"/>
    <w:rsid w:val="00542B88"/>
    <w:rsid w:val="00545634"/>
    <w:rsid w:val="00545D3E"/>
    <w:rsid w:val="005462D9"/>
    <w:rsid w:val="00547098"/>
    <w:rsid w:val="00551BD2"/>
    <w:rsid w:val="0055208E"/>
    <w:rsid w:val="00552F71"/>
    <w:rsid w:val="005550D9"/>
    <w:rsid w:val="00556021"/>
    <w:rsid w:val="00557FEE"/>
    <w:rsid w:val="005603B4"/>
    <w:rsid w:val="00560B40"/>
    <w:rsid w:val="00562C9B"/>
    <w:rsid w:val="005631EB"/>
    <w:rsid w:val="00563865"/>
    <w:rsid w:val="00564292"/>
    <w:rsid w:val="005651AC"/>
    <w:rsid w:val="00566675"/>
    <w:rsid w:val="005671A4"/>
    <w:rsid w:val="0056726F"/>
    <w:rsid w:val="005674C9"/>
    <w:rsid w:val="00571DCE"/>
    <w:rsid w:val="0057287C"/>
    <w:rsid w:val="0057294D"/>
    <w:rsid w:val="00572AAB"/>
    <w:rsid w:val="005747B1"/>
    <w:rsid w:val="005772BA"/>
    <w:rsid w:val="0058000B"/>
    <w:rsid w:val="005805B7"/>
    <w:rsid w:val="005814F0"/>
    <w:rsid w:val="00582F1D"/>
    <w:rsid w:val="00584BE2"/>
    <w:rsid w:val="00584DB2"/>
    <w:rsid w:val="0058594C"/>
    <w:rsid w:val="00586956"/>
    <w:rsid w:val="0058753A"/>
    <w:rsid w:val="00590E99"/>
    <w:rsid w:val="00592FB6"/>
    <w:rsid w:val="00594B99"/>
    <w:rsid w:val="00594D61"/>
    <w:rsid w:val="0059701C"/>
    <w:rsid w:val="00597FAE"/>
    <w:rsid w:val="005A15CE"/>
    <w:rsid w:val="005A25CF"/>
    <w:rsid w:val="005A33D0"/>
    <w:rsid w:val="005A3C67"/>
    <w:rsid w:val="005A70E2"/>
    <w:rsid w:val="005B0102"/>
    <w:rsid w:val="005B06A6"/>
    <w:rsid w:val="005B24F6"/>
    <w:rsid w:val="005B2648"/>
    <w:rsid w:val="005B3321"/>
    <w:rsid w:val="005B4855"/>
    <w:rsid w:val="005B5DA4"/>
    <w:rsid w:val="005B65E1"/>
    <w:rsid w:val="005B6C5B"/>
    <w:rsid w:val="005C0A76"/>
    <w:rsid w:val="005C1FB0"/>
    <w:rsid w:val="005C218D"/>
    <w:rsid w:val="005C306F"/>
    <w:rsid w:val="005C34D0"/>
    <w:rsid w:val="005C3ACC"/>
    <w:rsid w:val="005C42F8"/>
    <w:rsid w:val="005C4512"/>
    <w:rsid w:val="005C4AB8"/>
    <w:rsid w:val="005C52AC"/>
    <w:rsid w:val="005C5966"/>
    <w:rsid w:val="005C5DC5"/>
    <w:rsid w:val="005D243C"/>
    <w:rsid w:val="005D26A3"/>
    <w:rsid w:val="005D4F46"/>
    <w:rsid w:val="005D50B5"/>
    <w:rsid w:val="005D5C49"/>
    <w:rsid w:val="005D5D4D"/>
    <w:rsid w:val="005D5D55"/>
    <w:rsid w:val="005D7B2C"/>
    <w:rsid w:val="005D7F08"/>
    <w:rsid w:val="005E073F"/>
    <w:rsid w:val="005E25EB"/>
    <w:rsid w:val="005E7D28"/>
    <w:rsid w:val="005F16A1"/>
    <w:rsid w:val="005F38F1"/>
    <w:rsid w:val="005F38F8"/>
    <w:rsid w:val="005F3C05"/>
    <w:rsid w:val="005F4F87"/>
    <w:rsid w:val="005F7EAD"/>
    <w:rsid w:val="006006A7"/>
    <w:rsid w:val="006015C6"/>
    <w:rsid w:val="006017BB"/>
    <w:rsid w:val="00601FA6"/>
    <w:rsid w:val="006045ED"/>
    <w:rsid w:val="0060577C"/>
    <w:rsid w:val="00605FA8"/>
    <w:rsid w:val="00607387"/>
    <w:rsid w:val="006075FB"/>
    <w:rsid w:val="006079B8"/>
    <w:rsid w:val="006109E0"/>
    <w:rsid w:val="00611CEB"/>
    <w:rsid w:val="00612345"/>
    <w:rsid w:val="00612442"/>
    <w:rsid w:val="006128F9"/>
    <w:rsid w:val="006145D6"/>
    <w:rsid w:val="00614C8B"/>
    <w:rsid w:val="00615BAB"/>
    <w:rsid w:val="006201D0"/>
    <w:rsid w:val="00621523"/>
    <w:rsid w:val="00621E1A"/>
    <w:rsid w:val="00622506"/>
    <w:rsid w:val="0062369F"/>
    <w:rsid w:val="00623B6D"/>
    <w:rsid w:val="00623F09"/>
    <w:rsid w:val="006261C2"/>
    <w:rsid w:val="00626540"/>
    <w:rsid w:val="006310AE"/>
    <w:rsid w:val="006328EF"/>
    <w:rsid w:val="00633025"/>
    <w:rsid w:val="00633ADA"/>
    <w:rsid w:val="00634E85"/>
    <w:rsid w:val="006354BB"/>
    <w:rsid w:val="00637325"/>
    <w:rsid w:val="00641E14"/>
    <w:rsid w:val="0064219A"/>
    <w:rsid w:val="00643CF9"/>
    <w:rsid w:val="006452DC"/>
    <w:rsid w:val="006456C3"/>
    <w:rsid w:val="0064664D"/>
    <w:rsid w:val="00650C86"/>
    <w:rsid w:val="00650CFD"/>
    <w:rsid w:val="00650EE2"/>
    <w:rsid w:val="00654052"/>
    <w:rsid w:val="00654401"/>
    <w:rsid w:val="00655FDF"/>
    <w:rsid w:val="006564A8"/>
    <w:rsid w:val="00660D88"/>
    <w:rsid w:val="00660F59"/>
    <w:rsid w:val="006612D2"/>
    <w:rsid w:val="00661ACF"/>
    <w:rsid w:val="00662D25"/>
    <w:rsid w:val="00663761"/>
    <w:rsid w:val="006651EB"/>
    <w:rsid w:val="00667F96"/>
    <w:rsid w:val="006707F6"/>
    <w:rsid w:val="00672168"/>
    <w:rsid w:val="00672578"/>
    <w:rsid w:val="006727F7"/>
    <w:rsid w:val="00673665"/>
    <w:rsid w:val="0067413E"/>
    <w:rsid w:val="00675287"/>
    <w:rsid w:val="0067681E"/>
    <w:rsid w:val="006804D5"/>
    <w:rsid w:val="00680E05"/>
    <w:rsid w:val="00681340"/>
    <w:rsid w:val="006814E1"/>
    <w:rsid w:val="00681BC0"/>
    <w:rsid w:val="00682600"/>
    <w:rsid w:val="006829F3"/>
    <w:rsid w:val="00682C7B"/>
    <w:rsid w:val="00683BE6"/>
    <w:rsid w:val="00684511"/>
    <w:rsid w:val="006846B2"/>
    <w:rsid w:val="006856FD"/>
    <w:rsid w:val="00686430"/>
    <w:rsid w:val="00686B7E"/>
    <w:rsid w:val="006873F8"/>
    <w:rsid w:val="00690762"/>
    <w:rsid w:val="006925D0"/>
    <w:rsid w:val="00692FE8"/>
    <w:rsid w:val="00694E23"/>
    <w:rsid w:val="00696BAA"/>
    <w:rsid w:val="006973DF"/>
    <w:rsid w:val="00697F88"/>
    <w:rsid w:val="006A075C"/>
    <w:rsid w:val="006A1812"/>
    <w:rsid w:val="006A4CCE"/>
    <w:rsid w:val="006A51FF"/>
    <w:rsid w:val="006A686A"/>
    <w:rsid w:val="006A6CD8"/>
    <w:rsid w:val="006A6DBE"/>
    <w:rsid w:val="006A6E7F"/>
    <w:rsid w:val="006A7AA4"/>
    <w:rsid w:val="006B04DD"/>
    <w:rsid w:val="006B052A"/>
    <w:rsid w:val="006B45C0"/>
    <w:rsid w:val="006B4AD4"/>
    <w:rsid w:val="006B61B5"/>
    <w:rsid w:val="006B6372"/>
    <w:rsid w:val="006B757D"/>
    <w:rsid w:val="006B768D"/>
    <w:rsid w:val="006C0710"/>
    <w:rsid w:val="006C156D"/>
    <w:rsid w:val="006C16BF"/>
    <w:rsid w:val="006C21D4"/>
    <w:rsid w:val="006C2223"/>
    <w:rsid w:val="006C2CA6"/>
    <w:rsid w:val="006C51AD"/>
    <w:rsid w:val="006C5CD6"/>
    <w:rsid w:val="006C65AC"/>
    <w:rsid w:val="006C6DA1"/>
    <w:rsid w:val="006C6E6E"/>
    <w:rsid w:val="006C7FD9"/>
    <w:rsid w:val="006D0047"/>
    <w:rsid w:val="006D1DAE"/>
    <w:rsid w:val="006D2511"/>
    <w:rsid w:val="006D2B8E"/>
    <w:rsid w:val="006D50A9"/>
    <w:rsid w:val="006D5CAA"/>
    <w:rsid w:val="006D63D0"/>
    <w:rsid w:val="006E33A0"/>
    <w:rsid w:val="006E44E3"/>
    <w:rsid w:val="006E52F3"/>
    <w:rsid w:val="006E5CA4"/>
    <w:rsid w:val="006E7841"/>
    <w:rsid w:val="006E78FE"/>
    <w:rsid w:val="006F04A4"/>
    <w:rsid w:val="006F05E0"/>
    <w:rsid w:val="006F0C8C"/>
    <w:rsid w:val="006F2079"/>
    <w:rsid w:val="006F2B6C"/>
    <w:rsid w:val="006F39C0"/>
    <w:rsid w:val="006F4726"/>
    <w:rsid w:val="006F5476"/>
    <w:rsid w:val="006F5616"/>
    <w:rsid w:val="006F580A"/>
    <w:rsid w:val="006F6217"/>
    <w:rsid w:val="006F6520"/>
    <w:rsid w:val="006F6692"/>
    <w:rsid w:val="006F7F6D"/>
    <w:rsid w:val="0070001F"/>
    <w:rsid w:val="00700767"/>
    <w:rsid w:val="00701420"/>
    <w:rsid w:val="0070262B"/>
    <w:rsid w:val="00702FB3"/>
    <w:rsid w:val="0070425E"/>
    <w:rsid w:val="007053FB"/>
    <w:rsid w:val="0070567B"/>
    <w:rsid w:val="00705899"/>
    <w:rsid w:val="007068A1"/>
    <w:rsid w:val="007072A9"/>
    <w:rsid w:val="007072F1"/>
    <w:rsid w:val="0071072E"/>
    <w:rsid w:val="007107F4"/>
    <w:rsid w:val="00710B50"/>
    <w:rsid w:val="007115C1"/>
    <w:rsid w:val="00711734"/>
    <w:rsid w:val="00711904"/>
    <w:rsid w:val="00711B81"/>
    <w:rsid w:val="00713A83"/>
    <w:rsid w:val="0071624E"/>
    <w:rsid w:val="00717319"/>
    <w:rsid w:val="00717E83"/>
    <w:rsid w:val="00720CB2"/>
    <w:rsid w:val="00720F6B"/>
    <w:rsid w:val="00721740"/>
    <w:rsid w:val="00721C14"/>
    <w:rsid w:val="00721CC9"/>
    <w:rsid w:val="00723AD9"/>
    <w:rsid w:val="007250F2"/>
    <w:rsid w:val="00725214"/>
    <w:rsid w:val="00725910"/>
    <w:rsid w:val="00725DBE"/>
    <w:rsid w:val="007276C6"/>
    <w:rsid w:val="00730275"/>
    <w:rsid w:val="00730FC2"/>
    <w:rsid w:val="00732DBB"/>
    <w:rsid w:val="00732F54"/>
    <w:rsid w:val="007336CB"/>
    <w:rsid w:val="00734348"/>
    <w:rsid w:val="007346CD"/>
    <w:rsid w:val="00736356"/>
    <w:rsid w:val="00736806"/>
    <w:rsid w:val="00740078"/>
    <w:rsid w:val="007418B4"/>
    <w:rsid w:val="00742E1E"/>
    <w:rsid w:val="007432FE"/>
    <w:rsid w:val="00743418"/>
    <w:rsid w:val="00744216"/>
    <w:rsid w:val="00746062"/>
    <w:rsid w:val="0074667F"/>
    <w:rsid w:val="0074789E"/>
    <w:rsid w:val="007501E8"/>
    <w:rsid w:val="00751257"/>
    <w:rsid w:val="007526B6"/>
    <w:rsid w:val="00753E77"/>
    <w:rsid w:val="00754F44"/>
    <w:rsid w:val="00755883"/>
    <w:rsid w:val="00755D65"/>
    <w:rsid w:val="00757B4F"/>
    <w:rsid w:val="00764257"/>
    <w:rsid w:val="0076495A"/>
    <w:rsid w:val="00765A17"/>
    <w:rsid w:val="0077396D"/>
    <w:rsid w:val="00775404"/>
    <w:rsid w:val="007763F5"/>
    <w:rsid w:val="007767CD"/>
    <w:rsid w:val="007804D8"/>
    <w:rsid w:val="00780CA4"/>
    <w:rsid w:val="00780F34"/>
    <w:rsid w:val="007810F0"/>
    <w:rsid w:val="007816E7"/>
    <w:rsid w:val="00782F67"/>
    <w:rsid w:val="00783055"/>
    <w:rsid w:val="00786B60"/>
    <w:rsid w:val="007914D8"/>
    <w:rsid w:val="007914DC"/>
    <w:rsid w:val="00791DED"/>
    <w:rsid w:val="007938B5"/>
    <w:rsid w:val="0079669E"/>
    <w:rsid w:val="00796AAD"/>
    <w:rsid w:val="00796E0E"/>
    <w:rsid w:val="007974A1"/>
    <w:rsid w:val="007978A2"/>
    <w:rsid w:val="007A0078"/>
    <w:rsid w:val="007A0AA7"/>
    <w:rsid w:val="007A0B9C"/>
    <w:rsid w:val="007A0DAA"/>
    <w:rsid w:val="007A1BA2"/>
    <w:rsid w:val="007A1D24"/>
    <w:rsid w:val="007A4045"/>
    <w:rsid w:val="007A4C51"/>
    <w:rsid w:val="007A4EA7"/>
    <w:rsid w:val="007A54D0"/>
    <w:rsid w:val="007A65F8"/>
    <w:rsid w:val="007A7D82"/>
    <w:rsid w:val="007B0C1C"/>
    <w:rsid w:val="007B3183"/>
    <w:rsid w:val="007B44C4"/>
    <w:rsid w:val="007B47DE"/>
    <w:rsid w:val="007B5A08"/>
    <w:rsid w:val="007B5B03"/>
    <w:rsid w:val="007B6CAE"/>
    <w:rsid w:val="007B78E3"/>
    <w:rsid w:val="007B7D79"/>
    <w:rsid w:val="007C003E"/>
    <w:rsid w:val="007C04FD"/>
    <w:rsid w:val="007C0E5F"/>
    <w:rsid w:val="007C1750"/>
    <w:rsid w:val="007C2050"/>
    <w:rsid w:val="007C4C9E"/>
    <w:rsid w:val="007C65AB"/>
    <w:rsid w:val="007C7CCE"/>
    <w:rsid w:val="007D0436"/>
    <w:rsid w:val="007D1DBF"/>
    <w:rsid w:val="007D3234"/>
    <w:rsid w:val="007D3615"/>
    <w:rsid w:val="007D3E1C"/>
    <w:rsid w:val="007D48F7"/>
    <w:rsid w:val="007D4912"/>
    <w:rsid w:val="007D58D6"/>
    <w:rsid w:val="007D5F08"/>
    <w:rsid w:val="007D7E4F"/>
    <w:rsid w:val="007D7FB3"/>
    <w:rsid w:val="007E0078"/>
    <w:rsid w:val="007E014B"/>
    <w:rsid w:val="007E1280"/>
    <w:rsid w:val="007E265B"/>
    <w:rsid w:val="007E278C"/>
    <w:rsid w:val="007E341A"/>
    <w:rsid w:val="007E44A7"/>
    <w:rsid w:val="007E46A2"/>
    <w:rsid w:val="007F2C78"/>
    <w:rsid w:val="007F31FB"/>
    <w:rsid w:val="007F3FC8"/>
    <w:rsid w:val="007F526B"/>
    <w:rsid w:val="007F542D"/>
    <w:rsid w:val="007F64D9"/>
    <w:rsid w:val="007F68DC"/>
    <w:rsid w:val="007F7713"/>
    <w:rsid w:val="008019D3"/>
    <w:rsid w:val="008039F9"/>
    <w:rsid w:val="00804F5B"/>
    <w:rsid w:val="008059CE"/>
    <w:rsid w:val="00805FDB"/>
    <w:rsid w:val="00807446"/>
    <w:rsid w:val="0080767C"/>
    <w:rsid w:val="00810155"/>
    <w:rsid w:val="00811B20"/>
    <w:rsid w:val="008128DC"/>
    <w:rsid w:val="00814249"/>
    <w:rsid w:val="00814DCC"/>
    <w:rsid w:val="00815F94"/>
    <w:rsid w:val="00821EB9"/>
    <w:rsid w:val="0082359E"/>
    <w:rsid w:val="00823F86"/>
    <w:rsid w:val="008252DE"/>
    <w:rsid w:val="00826337"/>
    <w:rsid w:val="0082680F"/>
    <w:rsid w:val="008273B3"/>
    <w:rsid w:val="00827AC2"/>
    <w:rsid w:val="00832570"/>
    <w:rsid w:val="00832B38"/>
    <w:rsid w:val="00832D88"/>
    <w:rsid w:val="00832FB0"/>
    <w:rsid w:val="008359C6"/>
    <w:rsid w:val="00836F87"/>
    <w:rsid w:val="008410F6"/>
    <w:rsid w:val="0084129E"/>
    <w:rsid w:val="00841D4E"/>
    <w:rsid w:val="00842F40"/>
    <w:rsid w:val="0084365A"/>
    <w:rsid w:val="00843A1C"/>
    <w:rsid w:val="0084772A"/>
    <w:rsid w:val="00850589"/>
    <w:rsid w:val="008512CF"/>
    <w:rsid w:val="00852524"/>
    <w:rsid w:val="00854AF3"/>
    <w:rsid w:val="00855239"/>
    <w:rsid w:val="00860FF5"/>
    <w:rsid w:val="00861691"/>
    <w:rsid w:val="0086481B"/>
    <w:rsid w:val="00866084"/>
    <w:rsid w:val="00870137"/>
    <w:rsid w:val="00870454"/>
    <w:rsid w:val="0087368C"/>
    <w:rsid w:val="00873796"/>
    <w:rsid w:val="00874AC6"/>
    <w:rsid w:val="00875F34"/>
    <w:rsid w:val="008761D8"/>
    <w:rsid w:val="0087627E"/>
    <w:rsid w:val="00876918"/>
    <w:rsid w:val="008807CB"/>
    <w:rsid w:val="00880CDE"/>
    <w:rsid w:val="00881378"/>
    <w:rsid w:val="00882099"/>
    <w:rsid w:val="0088219A"/>
    <w:rsid w:val="008848BE"/>
    <w:rsid w:val="00887615"/>
    <w:rsid w:val="00887E68"/>
    <w:rsid w:val="00887EC3"/>
    <w:rsid w:val="00892D8E"/>
    <w:rsid w:val="00893A26"/>
    <w:rsid w:val="008958CC"/>
    <w:rsid w:val="00895970"/>
    <w:rsid w:val="00895F1C"/>
    <w:rsid w:val="00896A32"/>
    <w:rsid w:val="008A1679"/>
    <w:rsid w:val="008A205E"/>
    <w:rsid w:val="008A2158"/>
    <w:rsid w:val="008A217D"/>
    <w:rsid w:val="008A320A"/>
    <w:rsid w:val="008A57D7"/>
    <w:rsid w:val="008A59E0"/>
    <w:rsid w:val="008A608C"/>
    <w:rsid w:val="008A60F8"/>
    <w:rsid w:val="008A6E95"/>
    <w:rsid w:val="008A7C24"/>
    <w:rsid w:val="008B0117"/>
    <w:rsid w:val="008B0265"/>
    <w:rsid w:val="008B155C"/>
    <w:rsid w:val="008B3867"/>
    <w:rsid w:val="008B3AE3"/>
    <w:rsid w:val="008B57F6"/>
    <w:rsid w:val="008C0700"/>
    <w:rsid w:val="008C0791"/>
    <w:rsid w:val="008C1025"/>
    <w:rsid w:val="008C2866"/>
    <w:rsid w:val="008C3A7F"/>
    <w:rsid w:val="008C51D4"/>
    <w:rsid w:val="008C6016"/>
    <w:rsid w:val="008C713C"/>
    <w:rsid w:val="008C71C0"/>
    <w:rsid w:val="008C79AD"/>
    <w:rsid w:val="008C7F01"/>
    <w:rsid w:val="008D2AF2"/>
    <w:rsid w:val="008D4268"/>
    <w:rsid w:val="008D522F"/>
    <w:rsid w:val="008D694B"/>
    <w:rsid w:val="008D6BA1"/>
    <w:rsid w:val="008D7BD6"/>
    <w:rsid w:val="008E2FFE"/>
    <w:rsid w:val="008E51F5"/>
    <w:rsid w:val="008E566D"/>
    <w:rsid w:val="008E5DA6"/>
    <w:rsid w:val="008E7BCB"/>
    <w:rsid w:val="008F2AB1"/>
    <w:rsid w:val="008F2E78"/>
    <w:rsid w:val="008F3E78"/>
    <w:rsid w:val="008F44CD"/>
    <w:rsid w:val="00900189"/>
    <w:rsid w:val="0090097E"/>
    <w:rsid w:val="009016D8"/>
    <w:rsid w:val="00901C9D"/>
    <w:rsid w:val="00902C52"/>
    <w:rsid w:val="00903E12"/>
    <w:rsid w:val="00903FAF"/>
    <w:rsid w:val="00904312"/>
    <w:rsid w:val="009046EF"/>
    <w:rsid w:val="0091075A"/>
    <w:rsid w:val="00910927"/>
    <w:rsid w:val="009109C6"/>
    <w:rsid w:val="00912546"/>
    <w:rsid w:val="00912639"/>
    <w:rsid w:val="00913F1E"/>
    <w:rsid w:val="00913F7F"/>
    <w:rsid w:val="0091429F"/>
    <w:rsid w:val="009142CE"/>
    <w:rsid w:val="009154F8"/>
    <w:rsid w:val="00915BE2"/>
    <w:rsid w:val="0091629B"/>
    <w:rsid w:val="00917BD2"/>
    <w:rsid w:val="009206EA"/>
    <w:rsid w:val="00922B79"/>
    <w:rsid w:val="00923C55"/>
    <w:rsid w:val="00925279"/>
    <w:rsid w:val="009256BC"/>
    <w:rsid w:val="00925BD1"/>
    <w:rsid w:val="009272C6"/>
    <w:rsid w:val="00930061"/>
    <w:rsid w:val="00933454"/>
    <w:rsid w:val="00936781"/>
    <w:rsid w:val="0093688C"/>
    <w:rsid w:val="0093766D"/>
    <w:rsid w:val="00940451"/>
    <w:rsid w:val="00940B48"/>
    <w:rsid w:val="00942C9F"/>
    <w:rsid w:val="00944B47"/>
    <w:rsid w:val="00945D8B"/>
    <w:rsid w:val="00947C7B"/>
    <w:rsid w:val="0095006E"/>
    <w:rsid w:val="00951EB7"/>
    <w:rsid w:val="00952376"/>
    <w:rsid w:val="0095275A"/>
    <w:rsid w:val="009541BB"/>
    <w:rsid w:val="00955816"/>
    <w:rsid w:val="009558CA"/>
    <w:rsid w:val="00955CB6"/>
    <w:rsid w:val="00956450"/>
    <w:rsid w:val="00957618"/>
    <w:rsid w:val="00965334"/>
    <w:rsid w:val="00966140"/>
    <w:rsid w:val="0096668D"/>
    <w:rsid w:val="00967A34"/>
    <w:rsid w:val="00970725"/>
    <w:rsid w:val="00971D02"/>
    <w:rsid w:val="00973119"/>
    <w:rsid w:val="009731D7"/>
    <w:rsid w:val="00973334"/>
    <w:rsid w:val="00973A9F"/>
    <w:rsid w:val="00973FA6"/>
    <w:rsid w:val="00974861"/>
    <w:rsid w:val="00975BBF"/>
    <w:rsid w:val="00975F3A"/>
    <w:rsid w:val="00976162"/>
    <w:rsid w:val="009774CA"/>
    <w:rsid w:val="00977D11"/>
    <w:rsid w:val="009814F3"/>
    <w:rsid w:val="00982062"/>
    <w:rsid w:val="009842C0"/>
    <w:rsid w:val="0098591F"/>
    <w:rsid w:val="00986533"/>
    <w:rsid w:val="00987DD8"/>
    <w:rsid w:val="00991B6D"/>
    <w:rsid w:val="00991D3F"/>
    <w:rsid w:val="00991F44"/>
    <w:rsid w:val="0099530B"/>
    <w:rsid w:val="009957D2"/>
    <w:rsid w:val="00995BF7"/>
    <w:rsid w:val="009973FB"/>
    <w:rsid w:val="00997B28"/>
    <w:rsid w:val="00997D29"/>
    <w:rsid w:val="00997DDB"/>
    <w:rsid w:val="009A01D5"/>
    <w:rsid w:val="009A21A8"/>
    <w:rsid w:val="009A2634"/>
    <w:rsid w:val="009A4085"/>
    <w:rsid w:val="009A514D"/>
    <w:rsid w:val="009B07CE"/>
    <w:rsid w:val="009B1D25"/>
    <w:rsid w:val="009B432F"/>
    <w:rsid w:val="009B4A7D"/>
    <w:rsid w:val="009B6721"/>
    <w:rsid w:val="009B69C4"/>
    <w:rsid w:val="009C2A68"/>
    <w:rsid w:val="009C38F6"/>
    <w:rsid w:val="009C4D9C"/>
    <w:rsid w:val="009C558B"/>
    <w:rsid w:val="009C56CD"/>
    <w:rsid w:val="009C6201"/>
    <w:rsid w:val="009C6480"/>
    <w:rsid w:val="009C71BB"/>
    <w:rsid w:val="009D0920"/>
    <w:rsid w:val="009D1447"/>
    <w:rsid w:val="009D17E9"/>
    <w:rsid w:val="009D38D4"/>
    <w:rsid w:val="009D3D46"/>
    <w:rsid w:val="009D5972"/>
    <w:rsid w:val="009E0E7E"/>
    <w:rsid w:val="009E273F"/>
    <w:rsid w:val="009E3202"/>
    <w:rsid w:val="009E5C22"/>
    <w:rsid w:val="009E69CE"/>
    <w:rsid w:val="009F074E"/>
    <w:rsid w:val="009F1FE6"/>
    <w:rsid w:val="009F289A"/>
    <w:rsid w:val="009F3AD5"/>
    <w:rsid w:val="009F4D6A"/>
    <w:rsid w:val="009F5890"/>
    <w:rsid w:val="009F58FB"/>
    <w:rsid w:val="009F6D84"/>
    <w:rsid w:val="009F7CD9"/>
    <w:rsid w:val="00A000F0"/>
    <w:rsid w:val="00A00383"/>
    <w:rsid w:val="00A006F4"/>
    <w:rsid w:val="00A00A68"/>
    <w:rsid w:val="00A01694"/>
    <w:rsid w:val="00A051C3"/>
    <w:rsid w:val="00A075E3"/>
    <w:rsid w:val="00A11E55"/>
    <w:rsid w:val="00A1521A"/>
    <w:rsid w:val="00A17250"/>
    <w:rsid w:val="00A21B35"/>
    <w:rsid w:val="00A221E1"/>
    <w:rsid w:val="00A225E3"/>
    <w:rsid w:val="00A231EF"/>
    <w:rsid w:val="00A2361D"/>
    <w:rsid w:val="00A314D8"/>
    <w:rsid w:val="00A31B66"/>
    <w:rsid w:val="00A33B2D"/>
    <w:rsid w:val="00A34ABE"/>
    <w:rsid w:val="00A360E8"/>
    <w:rsid w:val="00A3634B"/>
    <w:rsid w:val="00A3693D"/>
    <w:rsid w:val="00A413C1"/>
    <w:rsid w:val="00A426C6"/>
    <w:rsid w:val="00A43092"/>
    <w:rsid w:val="00A442CD"/>
    <w:rsid w:val="00A448B3"/>
    <w:rsid w:val="00A4792A"/>
    <w:rsid w:val="00A50ACA"/>
    <w:rsid w:val="00A51F29"/>
    <w:rsid w:val="00A5366E"/>
    <w:rsid w:val="00A53B1B"/>
    <w:rsid w:val="00A53DD9"/>
    <w:rsid w:val="00A5403E"/>
    <w:rsid w:val="00A56355"/>
    <w:rsid w:val="00A56998"/>
    <w:rsid w:val="00A56CF8"/>
    <w:rsid w:val="00A572D3"/>
    <w:rsid w:val="00A62643"/>
    <w:rsid w:val="00A62FC9"/>
    <w:rsid w:val="00A653D8"/>
    <w:rsid w:val="00A65842"/>
    <w:rsid w:val="00A65D33"/>
    <w:rsid w:val="00A664CB"/>
    <w:rsid w:val="00A66FAE"/>
    <w:rsid w:val="00A6761B"/>
    <w:rsid w:val="00A713B8"/>
    <w:rsid w:val="00A718FD"/>
    <w:rsid w:val="00A71AF1"/>
    <w:rsid w:val="00A74985"/>
    <w:rsid w:val="00A7541E"/>
    <w:rsid w:val="00A81114"/>
    <w:rsid w:val="00A8167C"/>
    <w:rsid w:val="00A8223B"/>
    <w:rsid w:val="00A82C15"/>
    <w:rsid w:val="00A82DFF"/>
    <w:rsid w:val="00A834C5"/>
    <w:rsid w:val="00A91F70"/>
    <w:rsid w:val="00A94E88"/>
    <w:rsid w:val="00A95307"/>
    <w:rsid w:val="00AA31C0"/>
    <w:rsid w:val="00AA38D0"/>
    <w:rsid w:val="00AA4836"/>
    <w:rsid w:val="00AA6BC1"/>
    <w:rsid w:val="00AA7057"/>
    <w:rsid w:val="00AA7219"/>
    <w:rsid w:val="00AA7418"/>
    <w:rsid w:val="00AB0461"/>
    <w:rsid w:val="00AB088C"/>
    <w:rsid w:val="00AB10C5"/>
    <w:rsid w:val="00AB1156"/>
    <w:rsid w:val="00AB1B4C"/>
    <w:rsid w:val="00AB1B5A"/>
    <w:rsid w:val="00AB4ADC"/>
    <w:rsid w:val="00AB6130"/>
    <w:rsid w:val="00AB68F5"/>
    <w:rsid w:val="00AC0177"/>
    <w:rsid w:val="00AC0B96"/>
    <w:rsid w:val="00AC137B"/>
    <w:rsid w:val="00AC1BFC"/>
    <w:rsid w:val="00AC4518"/>
    <w:rsid w:val="00AC5616"/>
    <w:rsid w:val="00AC5C49"/>
    <w:rsid w:val="00AC6236"/>
    <w:rsid w:val="00AC69F6"/>
    <w:rsid w:val="00AD0C71"/>
    <w:rsid w:val="00AD2B78"/>
    <w:rsid w:val="00AD2EA4"/>
    <w:rsid w:val="00AD744C"/>
    <w:rsid w:val="00AD78F2"/>
    <w:rsid w:val="00AE45CD"/>
    <w:rsid w:val="00AE5A5D"/>
    <w:rsid w:val="00AF1C10"/>
    <w:rsid w:val="00AF2218"/>
    <w:rsid w:val="00AF265F"/>
    <w:rsid w:val="00AF3ED2"/>
    <w:rsid w:val="00AF41C3"/>
    <w:rsid w:val="00AF6490"/>
    <w:rsid w:val="00AF79A8"/>
    <w:rsid w:val="00AF7E3C"/>
    <w:rsid w:val="00B01B2B"/>
    <w:rsid w:val="00B020BA"/>
    <w:rsid w:val="00B07CE4"/>
    <w:rsid w:val="00B07EA9"/>
    <w:rsid w:val="00B10851"/>
    <w:rsid w:val="00B1153F"/>
    <w:rsid w:val="00B11DEE"/>
    <w:rsid w:val="00B12791"/>
    <w:rsid w:val="00B1336F"/>
    <w:rsid w:val="00B13383"/>
    <w:rsid w:val="00B141B2"/>
    <w:rsid w:val="00B14326"/>
    <w:rsid w:val="00B15E66"/>
    <w:rsid w:val="00B16455"/>
    <w:rsid w:val="00B2054E"/>
    <w:rsid w:val="00B215D3"/>
    <w:rsid w:val="00B23F07"/>
    <w:rsid w:val="00B23FE7"/>
    <w:rsid w:val="00B242EC"/>
    <w:rsid w:val="00B25871"/>
    <w:rsid w:val="00B25FAD"/>
    <w:rsid w:val="00B26B1C"/>
    <w:rsid w:val="00B27537"/>
    <w:rsid w:val="00B32ADD"/>
    <w:rsid w:val="00B358A3"/>
    <w:rsid w:val="00B36EB4"/>
    <w:rsid w:val="00B409E9"/>
    <w:rsid w:val="00B40F93"/>
    <w:rsid w:val="00B41181"/>
    <w:rsid w:val="00B438A0"/>
    <w:rsid w:val="00B45C55"/>
    <w:rsid w:val="00B46EA5"/>
    <w:rsid w:val="00B47ACD"/>
    <w:rsid w:val="00B506B1"/>
    <w:rsid w:val="00B52247"/>
    <w:rsid w:val="00B528E4"/>
    <w:rsid w:val="00B53A86"/>
    <w:rsid w:val="00B54CF4"/>
    <w:rsid w:val="00B5506C"/>
    <w:rsid w:val="00B55F38"/>
    <w:rsid w:val="00B5663C"/>
    <w:rsid w:val="00B57AA7"/>
    <w:rsid w:val="00B57FC0"/>
    <w:rsid w:val="00B60506"/>
    <w:rsid w:val="00B6068C"/>
    <w:rsid w:val="00B61FE3"/>
    <w:rsid w:val="00B62282"/>
    <w:rsid w:val="00B62288"/>
    <w:rsid w:val="00B64BFD"/>
    <w:rsid w:val="00B64D63"/>
    <w:rsid w:val="00B64FCC"/>
    <w:rsid w:val="00B6508B"/>
    <w:rsid w:val="00B67018"/>
    <w:rsid w:val="00B67957"/>
    <w:rsid w:val="00B711D1"/>
    <w:rsid w:val="00B71688"/>
    <w:rsid w:val="00B72272"/>
    <w:rsid w:val="00B73283"/>
    <w:rsid w:val="00B735DF"/>
    <w:rsid w:val="00B73DCB"/>
    <w:rsid w:val="00B74DD5"/>
    <w:rsid w:val="00B75253"/>
    <w:rsid w:val="00B7529F"/>
    <w:rsid w:val="00B757B4"/>
    <w:rsid w:val="00B7613F"/>
    <w:rsid w:val="00B76145"/>
    <w:rsid w:val="00B7770D"/>
    <w:rsid w:val="00B779E4"/>
    <w:rsid w:val="00B77CAD"/>
    <w:rsid w:val="00B83FAE"/>
    <w:rsid w:val="00B8677C"/>
    <w:rsid w:val="00B90561"/>
    <w:rsid w:val="00B91BAE"/>
    <w:rsid w:val="00B92326"/>
    <w:rsid w:val="00B92ADD"/>
    <w:rsid w:val="00B934FF"/>
    <w:rsid w:val="00B94493"/>
    <w:rsid w:val="00B9543E"/>
    <w:rsid w:val="00B959F9"/>
    <w:rsid w:val="00B96810"/>
    <w:rsid w:val="00BA2BAB"/>
    <w:rsid w:val="00BA58EE"/>
    <w:rsid w:val="00BA6E69"/>
    <w:rsid w:val="00BA7095"/>
    <w:rsid w:val="00BB0A2C"/>
    <w:rsid w:val="00BB1548"/>
    <w:rsid w:val="00BB1B71"/>
    <w:rsid w:val="00BB2B61"/>
    <w:rsid w:val="00BB3BB9"/>
    <w:rsid w:val="00BB3E56"/>
    <w:rsid w:val="00BB592E"/>
    <w:rsid w:val="00BB5ED5"/>
    <w:rsid w:val="00BB6D64"/>
    <w:rsid w:val="00BB7647"/>
    <w:rsid w:val="00BC07E6"/>
    <w:rsid w:val="00BC08A6"/>
    <w:rsid w:val="00BC24D7"/>
    <w:rsid w:val="00BC3FFC"/>
    <w:rsid w:val="00BC53B2"/>
    <w:rsid w:val="00BC5EE4"/>
    <w:rsid w:val="00BC693C"/>
    <w:rsid w:val="00BC7A52"/>
    <w:rsid w:val="00BD0B39"/>
    <w:rsid w:val="00BD0E03"/>
    <w:rsid w:val="00BD1294"/>
    <w:rsid w:val="00BD2A35"/>
    <w:rsid w:val="00BD35A7"/>
    <w:rsid w:val="00BD5EC5"/>
    <w:rsid w:val="00BD725B"/>
    <w:rsid w:val="00BE0388"/>
    <w:rsid w:val="00BE066D"/>
    <w:rsid w:val="00BE08DC"/>
    <w:rsid w:val="00BE205B"/>
    <w:rsid w:val="00BE2CC6"/>
    <w:rsid w:val="00BE2E62"/>
    <w:rsid w:val="00BE317C"/>
    <w:rsid w:val="00BE3387"/>
    <w:rsid w:val="00BE69EB"/>
    <w:rsid w:val="00BF0231"/>
    <w:rsid w:val="00BF0886"/>
    <w:rsid w:val="00BF2246"/>
    <w:rsid w:val="00BF2649"/>
    <w:rsid w:val="00BF3DFB"/>
    <w:rsid w:val="00BF4212"/>
    <w:rsid w:val="00BF4FCD"/>
    <w:rsid w:val="00BF5175"/>
    <w:rsid w:val="00BF56A9"/>
    <w:rsid w:val="00BF605D"/>
    <w:rsid w:val="00BF735A"/>
    <w:rsid w:val="00BF7907"/>
    <w:rsid w:val="00C00EBA"/>
    <w:rsid w:val="00C016E1"/>
    <w:rsid w:val="00C031B3"/>
    <w:rsid w:val="00C037F8"/>
    <w:rsid w:val="00C045AA"/>
    <w:rsid w:val="00C05AE6"/>
    <w:rsid w:val="00C06EAB"/>
    <w:rsid w:val="00C10901"/>
    <w:rsid w:val="00C12CC7"/>
    <w:rsid w:val="00C15D0E"/>
    <w:rsid w:val="00C2059F"/>
    <w:rsid w:val="00C216AF"/>
    <w:rsid w:val="00C22CFF"/>
    <w:rsid w:val="00C23B0A"/>
    <w:rsid w:val="00C245E3"/>
    <w:rsid w:val="00C2625D"/>
    <w:rsid w:val="00C263B8"/>
    <w:rsid w:val="00C264D0"/>
    <w:rsid w:val="00C26D7A"/>
    <w:rsid w:val="00C363AA"/>
    <w:rsid w:val="00C37121"/>
    <w:rsid w:val="00C37DF2"/>
    <w:rsid w:val="00C40DD4"/>
    <w:rsid w:val="00C41050"/>
    <w:rsid w:val="00C41AA7"/>
    <w:rsid w:val="00C42150"/>
    <w:rsid w:val="00C42955"/>
    <w:rsid w:val="00C42DAE"/>
    <w:rsid w:val="00C42FBB"/>
    <w:rsid w:val="00C438C4"/>
    <w:rsid w:val="00C43D43"/>
    <w:rsid w:val="00C440D2"/>
    <w:rsid w:val="00C4453F"/>
    <w:rsid w:val="00C45895"/>
    <w:rsid w:val="00C45BA0"/>
    <w:rsid w:val="00C45F50"/>
    <w:rsid w:val="00C4696D"/>
    <w:rsid w:val="00C46A02"/>
    <w:rsid w:val="00C471C9"/>
    <w:rsid w:val="00C47D8A"/>
    <w:rsid w:val="00C50549"/>
    <w:rsid w:val="00C52763"/>
    <w:rsid w:val="00C53833"/>
    <w:rsid w:val="00C53B21"/>
    <w:rsid w:val="00C544F5"/>
    <w:rsid w:val="00C5707D"/>
    <w:rsid w:val="00C5727D"/>
    <w:rsid w:val="00C57660"/>
    <w:rsid w:val="00C57A70"/>
    <w:rsid w:val="00C57FE7"/>
    <w:rsid w:val="00C612E7"/>
    <w:rsid w:val="00C629FC"/>
    <w:rsid w:val="00C64F31"/>
    <w:rsid w:val="00C656C0"/>
    <w:rsid w:val="00C66198"/>
    <w:rsid w:val="00C6640B"/>
    <w:rsid w:val="00C7092C"/>
    <w:rsid w:val="00C727D1"/>
    <w:rsid w:val="00C73D2D"/>
    <w:rsid w:val="00C77E00"/>
    <w:rsid w:val="00C812AE"/>
    <w:rsid w:val="00C81686"/>
    <w:rsid w:val="00C83A5B"/>
    <w:rsid w:val="00C85EC5"/>
    <w:rsid w:val="00C8658F"/>
    <w:rsid w:val="00C871D5"/>
    <w:rsid w:val="00C8748D"/>
    <w:rsid w:val="00C90776"/>
    <w:rsid w:val="00C90D3D"/>
    <w:rsid w:val="00C92FD8"/>
    <w:rsid w:val="00C960A8"/>
    <w:rsid w:val="00C96674"/>
    <w:rsid w:val="00C96E2E"/>
    <w:rsid w:val="00CA27FF"/>
    <w:rsid w:val="00CA54FD"/>
    <w:rsid w:val="00CA6245"/>
    <w:rsid w:val="00CA753D"/>
    <w:rsid w:val="00CA7BCC"/>
    <w:rsid w:val="00CB2374"/>
    <w:rsid w:val="00CB40DB"/>
    <w:rsid w:val="00CB527B"/>
    <w:rsid w:val="00CC02C0"/>
    <w:rsid w:val="00CC2E08"/>
    <w:rsid w:val="00CC3469"/>
    <w:rsid w:val="00CC3750"/>
    <w:rsid w:val="00CC4A2F"/>
    <w:rsid w:val="00CC4D5B"/>
    <w:rsid w:val="00CC4E88"/>
    <w:rsid w:val="00CC5350"/>
    <w:rsid w:val="00CD00CB"/>
    <w:rsid w:val="00CD06FE"/>
    <w:rsid w:val="00CD0908"/>
    <w:rsid w:val="00CD154D"/>
    <w:rsid w:val="00CD28B9"/>
    <w:rsid w:val="00CD2AD7"/>
    <w:rsid w:val="00CD349C"/>
    <w:rsid w:val="00CD459F"/>
    <w:rsid w:val="00CE0097"/>
    <w:rsid w:val="00CE0FEC"/>
    <w:rsid w:val="00CE191D"/>
    <w:rsid w:val="00CE20A9"/>
    <w:rsid w:val="00CE27DB"/>
    <w:rsid w:val="00CE596E"/>
    <w:rsid w:val="00CE78C5"/>
    <w:rsid w:val="00CE7CE0"/>
    <w:rsid w:val="00CF03DF"/>
    <w:rsid w:val="00CF1045"/>
    <w:rsid w:val="00CF1950"/>
    <w:rsid w:val="00CF2AC6"/>
    <w:rsid w:val="00CF4935"/>
    <w:rsid w:val="00CF7D78"/>
    <w:rsid w:val="00CF7DCD"/>
    <w:rsid w:val="00CF7F99"/>
    <w:rsid w:val="00D01597"/>
    <w:rsid w:val="00D01627"/>
    <w:rsid w:val="00D021C1"/>
    <w:rsid w:val="00D027BD"/>
    <w:rsid w:val="00D0409B"/>
    <w:rsid w:val="00D05624"/>
    <w:rsid w:val="00D10B6B"/>
    <w:rsid w:val="00D12C7C"/>
    <w:rsid w:val="00D14C96"/>
    <w:rsid w:val="00D15B73"/>
    <w:rsid w:val="00D16445"/>
    <w:rsid w:val="00D16598"/>
    <w:rsid w:val="00D21265"/>
    <w:rsid w:val="00D217AC"/>
    <w:rsid w:val="00D21A5C"/>
    <w:rsid w:val="00D232F2"/>
    <w:rsid w:val="00D236BD"/>
    <w:rsid w:val="00D24194"/>
    <w:rsid w:val="00D2712E"/>
    <w:rsid w:val="00D305D4"/>
    <w:rsid w:val="00D32475"/>
    <w:rsid w:val="00D3323B"/>
    <w:rsid w:val="00D33D0E"/>
    <w:rsid w:val="00D37203"/>
    <w:rsid w:val="00D37FF0"/>
    <w:rsid w:val="00D42B4D"/>
    <w:rsid w:val="00D4337B"/>
    <w:rsid w:val="00D44743"/>
    <w:rsid w:val="00D46265"/>
    <w:rsid w:val="00D47557"/>
    <w:rsid w:val="00D477D8"/>
    <w:rsid w:val="00D47C79"/>
    <w:rsid w:val="00D47D92"/>
    <w:rsid w:val="00D50794"/>
    <w:rsid w:val="00D5452B"/>
    <w:rsid w:val="00D54688"/>
    <w:rsid w:val="00D54A5A"/>
    <w:rsid w:val="00D54FD8"/>
    <w:rsid w:val="00D55B05"/>
    <w:rsid w:val="00D55C01"/>
    <w:rsid w:val="00D55DC6"/>
    <w:rsid w:val="00D562FF"/>
    <w:rsid w:val="00D57107"/>
    <w:rsid w:val="00D57B67"/>
    <w:rsid w:val="00D61885"/>
    <w:rsid w:val="00D6526B"/>
    <w:rsid w:val="00D67413"/>
    <w:rsid w:val="00D707E8"/>
    <w:rsid w:val="00D70BC2"/>
    <w:rsid w:val="00D72742"/>
    <w:rsid w:val="00D742A1"/>
    <w:rsid w:val="00D74638"/>
    <w:rsid w:val="00D74A02"/>
    <w:rsid w:val="00D75905"/>
    <w:rsid w:val="00D7639D"/>
    <w:rsid w:val="00D76E3D"/>
    <w:rsid w:val="00D7745A"/>
    <w:rsid w:val="00D81304"/>
    <w:rsid w:val="00D81F4B"/>
    <w:rsid w:val="00D83BFB"/>
    <w:rsid w:val="00D84EFC"/>
    <w:rsid w:val="00D85679"/>
    <w:rsid w:val="00D8727F"/>
    <w:rsid w:val="00D9088D"/>
    <w:rsid w:val="00D90E2B"/>
    <w:rsid w:val="00D92214"/>
    <w:rsid w:val="00D93C48"/>
    <w:rsid w:val="00D94CD8"/>
    <w:rsid w:val="00D95872"/>
    <w:rsid w:val="00D95E8B"/>
    <w:rsid w:val="00D95FA3"/>
    <w:rsid w:val="00DA0716"/>
    <w:rsid w:val="00DA0976"/>
    <w:rsid w:val="00DA0C59"/>
    <w:rsid w:val="00DA1687"/>
    <w:rsid w:val="00DA16A5"/>
    <w:rsid w:val="00DA1FCE"/>
    <w:rsid w:val="00DA2003"/>
    <w:rsid w:val="00DA55E0"/>
    <w:rsid w:val="00DA6B80"/>
    <w:rsid w:val="00DA6D17"/>
    <w:rsid w:val="00DA7716"/>
    <w:rsid w:val="00DA7EF3"/>
    <w:rsid w:val="00DB110E"/>
    <w:rsid w:val="00DB24E3"/>
    <w:rsid w:val="00DB35EB"/>
    <w:rsid w:val="00DB4AC0"/>
    <w:rsid w:val="00DC0F71"/>
    <w:rsid w:val="00DC1D35"/>
    <w:rsid w:val="00DC2569"/>
    <w:rsid w:val="00DC290B"/>
    <w:rsid w:val="00DC2BAA"/>
    <w:rsid w:val="00DC450E"/>
    <w:rsid w:val="00DC4B87"/>
    <w:rsid w:val="00DC5CD8"/>
    <w:rsid w:val="00DC6F6D"/>
    <w:rsid w:val="00DC7089"/>
    <w:rsid w:val="00DC71FD"/>
    <w:rsid w:val="00DC7465"/>
    <w:rsid w:val="00DD0246"/>
    <w:rsid w:val="00DD0389"/>
    <w:rsid w:val="00DD1BF5"/>
    <w:rsid w:val="00DD2715"/>
    <w:rsid w:val="00DD27B9"/>
    <w:rsid w:val="00DD4A24"/>
    <w:rsid w:val="00DD5554"/>
    <w:rsid w:val="00DD5D80"/>
    <w:rsid w:val="00DD67CC"/>
    <w:rsid w:val="00DD6F33"/>
    <w:rsid w:val="00DE082E"/>
    <w:rsid w:val="00DE0FD8"/>
    <w:rsid w:val="00DE1E79"/>
    <w:rsid w:val="00DE2ED1"/>
    <w:rsid w:val="00DE2FE2"/>
    <w:rsid w:val="00DE2FE7"/>
    <w:rsid w:val="00DE4029"/>
    <w:rsid w:val="00DE4B2B"/>
    <w:rsid w:val="00DF1898"/>
    <w:rsid w:val="00DF1A5D"/>
    <w:rsid w:val="00DF38E9"/>
    <w:rsid w:val="00DF772D"/>
    <w:rsid w:val="00DF7833"/>
    <w:rsid w:val="00DF7C0D"/>
    <w:rsid w:val="00E014A0"/>
    <w:rsid w:val="00E03921"/>
    <w:rsid w:val="00E0394E"/>
    <w:rsid w:val="00E03D7D"/>
    <w:rsid w:val="00E042BA"/>
    <w:rsid w:val="00E05590"/>
    <w:rsid w:val="00E05A16"/>
    <w:rsid w:val="00E05E25"/>
    <w:rsid w:val="00E06E59"/>
    <w:rsid w:val="00E113C0"/>
    <w:rsid w:val="00E12998"/>
    <w:rsid w:val="00E12B26"/>
    <w:rsid w:val="00E12F66"/>
    <w:rsid w:val="00E1381D"/>
    <w:rsid w:val="00E1537B"/>
    <w:rsid w:val="00E1549F"/>
    <w:rsid w:val="00E15E83"/>
    <w:rsid w:val="00E15FC8"/>
    <w:rsid w:val="00E16ADE"/>
    <w:rsid w:val="00E16F17"/>
    <w:rsid w:val="00E1737C"/>
    <w:rsid w:val="00E2157C"/>
    <w:rsid w:val="00E218CD"/>
    <w:rsid w:val="00E22D65"/>
    <w:rsid w:val="00E232AB"/>
    <w:rsid w:val="00E238DD"/>
    <w:rsid w:val="00E24293"/>
    <w:rsid w:val="00E24F00"/>
    <w:rsid w:val="00E25163"/>
    <w:rsid w:val="00E26665"/>
    <w:rsid w:val="00E2716A"/>
    <w:rsid w:val="00E276DE"/>
    <w:rsid w:val="00E27DB2"/>
    <w:rsid w:val="00E3322C"/>
    <w:rsid w:val="00E35ED1"/>
    <w:rsid w:val="00E371F9"/>
    <w:rsid w:val="00E3756D"/>
    <w:rsid w:val="00E37F60"/>
    <w:rsid w:val="00E4012C"/>
    <w:rsid w:val="00E40B61"/>
    <w:rsid w:val="00E4118A"/>
    <w:rsid w:val="00E43649"/>
    <w:rsid w:val="00E43DD4"/>
    <w:rsid w:val="00E44480"/>
    <w:rsid w:val="00E4455D"/>
    <w:rsid w:val="00E45686"/>
    <w:rsid w:val="00E47FDE"/>
    <w:rsid w:val="00E50B03"/>
    <w:rsid w:val="00E50B40"/>
    <w:rsid w:val="00E51560"/>
    <w:rsid w:val="00E51E1D"/>
    <w:rsid w:val="00E55DC9"/>
    <w:rsid w:val="00E55DED"/>
    <w:rsid w:val="00E571C1"/>
    <w:rsid w:val="00E60C75"/>
    <w:rsid w:val="00E62F3A"/>
    <w:rsid w:val="00E65756"/>
    <w:rsid w:val="00E6623F"/>
    <w:rsid w:val="00E665FA"/>
    <w:rsid w:val="00E6687A"/>
    <w:rsid w:val="00E70410"/>
    <w:rsid w:val="00E70D44"/>
    <w:rsid w:val="00E710DC"/>
    <w:rsid w:val="00E71E87"/>
    <w:rsid w:val="00E74608"/>
    <w:rsid w:val="00E75F54"/>
    <w:rsid w:val="00E767A8"/>
    <w:rsid w:val="00E773F2"/>
    <w:rsid w:val="00E777A0"/>
    <w:rsid w:val="00E815C6"/>
    <w:rsid w:val="00E83A30"/>
    <w:rsid w:val="00E864F3"/>
    <w:rsid w:val="00E86A5E"/>
    <w:rsid w:val="00E90EF9"/>
    <w:rsid w:val="00E9134C"/>
    <w:rsid w:val="00E91766"/>
    <w:rsid w:val="00E9261D"/>
    <w:rsid w:val="00E92B64"/>
    <w:rsid w:val="00E93E07"/>
    <w:rsid w:val="00E96BEB"/>
    <w:rsid w:val="00E97DE1"/>
    <w:rsid w:val="00EA0121"/>
    <w:rsid w:val="00EA167D"/>
    <w:rsid w:val="00EA47C4"/>
    <w:rsid w:val="00EA519B"/>
    <w:rsid w:val="00EA71CE"/>
    <w:rsid w:val="00EB0913"/>
    <w:rsid w:val="00EB1523"/>
    <w:rsid w:val="00EB1599"/>
    <w:rsid w:val="00EB6070"/>
    <w:rsid w:val="00EB6F17"/>
    <w:rsid w:val="00EB70CA"/>
    <w:rsid w:val="00EB7444"/>
    <w:rsid w:val="00EB77E9"/>
    <w:rsid w:val="00EC1C6B"/>
    <w:rsid w:val="00EC3173"/>
    <w:rsid w:val="00EC54D4"/>
    <w:rsid w:val="00EC673E"/>
    <w:rsid w:val="00EC74AE"/>
    <w:rsid w:val="00EC7EB6"/>
    <w:rsid w:val="00ED1221"/>
    <w:rsid w:val="00ED58CE"/>
    <w:rsid w:val="00ED6E12"/>
    <w:rsid w:val="00EE0178"/>
    <w:rsid w:val="00EE0428"/>
    <w:rsid w:val="00EE1183"/>
    <w:rsid w:val="00EE1370"/>
    <w:rsid w:val="00EE1534"/>
    <w:rsid w:val="00EE32AC"/>
    <w:rsid w:val="00EE3389"/>
    <w:rsid w:val="00EE3B84"/>
    <w:rsid w:val="00EE43AC"/>
    <w:rsid w:val="00EE557C"/>
    <w:rsid w:val="00EE55BB"/>
    <w:rsid w:val="00EE6900"/>
    <w:rsid w:val="00EE704B"/>
    <w:rsid w:val="00EE7B4E"/>
    <w:rsid w:val="00EF2548"/>
    <w:rsid w:val="00EF2886"/>
    <w:rsid w:val="00EF2C93"/>
    <w:rsid w:val="00EF3194"/>
    <w:rsid w:val="00EF3581"/>
    <w:rsid w:val="00EF5237"/>
    <w:rsid w:val="00EF54CC"/>
    <w:rsid w:val="00EF5D9E"/>
    <w:rsid w:val="00F0045D"/>
    <w:rsid w:val="00F00B41"/>
    <w:rsid w:val="00F012FB"/>
    <w:rsid w:val="00F017AF"/>
    <w:rsid w:val="00F032D1"/>
    <w:rsid w:val="00F03F43"/>
    <w:rsid w:val="00F05B07"/>
    <w:rsid w:val="00F10852"/>
    <w:rsid w:val="00F1087F"/>
    <w:rsid w:val="00F10931"/>
    <w:rsid w:val="00F11158"/>
    <w:rsid w:val="00F116E4"/>
    <w:rsid w:val="00F11E25"/>
    <w:rsid w:val="00F129B4"/>
    <w:rsid w:val="00F12C7F"/>
    <w:rsid w:val="00F13080"/>
    <w:rsid w:val="00F1457F"/>
    <w:rsid w:val="00F15319"/>
    <w:rsid w:val="00F17E3F"/>
    <w:rsid w:val="00F20883"/>
    <w:rsid w:val="00F22825"/>
    <w:rsid w:val="00F22AFA"/>
    <w:rsid w:val="00F24BF4"/>
    <w:rsid w:val="00F2579E"/>
    <w:rsid w:val="00F25D03"/>
    <w:rsid w:val="00F26453"/>
    <w:rsid w:val="00F30FA7"/>
    <w:rsid w:val="00F32F2C"/>
    <w:rsid w:val="00F333BD"/>
    <w:rsid w:val="00F33859"/>
    <w:rsid w:val="00F362FE"/>
    <w:rsid w:val="00F40C11"/>
    <w:rsid w:val="00F428A1"/>
    <w:rsid w:val="00F438F9"/>
    <w:rsid w:val="00F51B77"/>
    <w:rsid w:val="00F520DD"/>
    <w:rsid w:val="00F538F2"/>
    <w:rsid w:val="00F54161"/>
    <w:rsid w:val="00F57A41"/>
    <w:rsid w:val="00F57AFF"/>
    <w:rsid w:val="00F57CCF"/>
    <w:rsid w:val="00F61104"/>
    <w:rsid w:val="00F62AC4"/>
    <w:rsid w:val="00F62BF3"/>
    <w:rsid w:val="00F62D10"/>
    <w:rsid w:val="00F6337E"/>
    <w:rsid w:val="00F6476E"/>
    <w:rsid w:val="00F65EA9"/>
    <w:rsid w:val="00F65F6C"/>
    <w:rsid w:val="00F670BB"/>
    <w:rsid w:val="00F6768C"/>
    <w:rsid w:val="00F703E5"/>
    <w:rsid w:val="00F70EC3"/>
    <w:rsid w:val="00F718AD"/>
    <w:rsid w:val="00F72209"/>
    <w:rsid w:val="00F73841"/>
    <w:rsid w:val="00F73B14"/>
    <w:rsid w:val="00F75008"/>
    <w:rsid w:val="00F75C6B"/>
    <w:rsid w:val="00F7644D"/>
    <w:rsid w:val="00F77AFA"/>
    <w:rsid w:val="00F80DA9"/>
    <w:rsid w:val="00F822C1"/>
    <w:rsid w:val="00F8439C"/>
    <w:rsid w:val="00F859F2"/>
    <w:rsid w:val="00F86E48"/>
    <w:rsid w:val="00F8742F"/>
    <w:rsid w:val="00F878AF"/>
    <w:rsid w:val="00F908A0"/>
    <w:rsid w:val="00F90FA1"/>
    <w:rsid w:val="00F91765"/>
    <w:rsid w:val="00F9236B"/>
    <w:rsid w:val="00F92F1F"/>
    <w:rsid w:val="00F94CA5"/>
    <w:rsid w:val="00F953C3"/>
    <w:rsid w:val="00F9586F"/>
    <w:rsid w:val="00F959C0"/>
    <w:rsid w:val="00F961CC"/>
    <w:rsid w:val="00F96316"/>
    <w:rsid w:val="00F96A3E"/>
    <w:rsid w:val="00F96CEC"/>
    <w:rsid w:val="00F979D5"/>
    <w:rsid w:val="00F97EC7"/>
    <w:rsid w:val="00FA06C7"/>
    <w:rsid w:val="00FA107B"/>
    <w:rsid w:val="00FA1B3F"/>
    <w:rsid w:val="00FA422C"/>
    <w:rsid w:val="00FA5DD8"/>
    <w:rsid w:val="00FA5F1B"/>
    <w:rsid w:val="00FA6CBD"/>
    <w:rsid w:val="00FA6F9B"/>
    <w:rsid w:val="00FA7E2B"/>
    <w:rsid w:val="00FB02E8"/>
    <w:rsid w:val="00FB077F"/>
    <w:rsid w:val="00FB1690"/>
    <w:rsid w:val="00FB2D24"/>
    <w:rsid w:val="00FB2F8A"/>
    <w:rsid w:val="00FB4CA1"/>
    <w:rsid w:val="00FB50F0"/>
    <w:rsid w:val="00FB5663"/>
    <w:rsid w:val="00FB68CF"/>
    <w:rsid w:val="00FB75D6"/>
    <w:rsid w:val="00FC0C91"/>
    <w:rsid w:val="00FC0FE6"/>
    <w:rsid w:val="00FC6434"/>
    <w:rsid w:val="00FC71D7"/>
    <w:rsid w:val="00FC77C3"/>
    <w:rsid w:val="00FC7A22"/>
    <w:rsid w:val="00FD13C0"/>
    <w:rsid w:val="00FD2382"/>
    <w:rsid w:val="00FD2DC4"/>
    <w:rsid w:val="00FD4FCD"/>
    <w:rsid w:val="00FD56CB"/>
    <w:rsid w:val="00FD6104"/>
    <w:rsid w:val="00FD675F"/>
    <w:rsid w:val="00FE0709"/>
    <w:rsid w:val="00FE10BF"/>
    <w:rsid w:val="00FE21F1"/>
    <w:rsid w:val="00FE4845"/>
    <w:rsid w:val="00FE79D3"/>
    <w:rsid w:val="00FF171F"/>
    <w:rsid w:val="00FF1C23"/>
    <w:rsid w:val="00FF24FE"/>
    <w:rsid w:val="00FF2888"/>
    <w:rsid w:val="00FF2A42"/>
    <w:rsid w:val="00FF466B"/>
    <w:rsid w:val="00FF503D"/>
    <w:rsid w:val="00FF632D"/>
    <w:rsid w:val="00FF782F"/>
    <w:rsid w:val="011078C7"/>
    <w:rsid w:val="0160084E"/>
    <w:rsid w:val="017B5688"/>
    <w:rsid w:val="017F114A"/>
    <w:rsid w:val="01AC22E6"/>
    <w:rsid w:val="01C20BC1"/>
    <w:rsid w:val="01F73176"/>
    <w:rsid w:val="01FF3BC3"/>
    <w:rsid w:val="02182ED7"/>
    <w:rsid w:val="025F28B4"/>
    <w:rsid w:val="02924A37"/>
    <w:rsid w:val="02A14C7A"/>
    <w:rsid w:val="02BA21E0"/>
    <w:rsid w:val="02ED4364"/>
    <w:rsid w:val="03604AAB"/>
    <w:rsid w:val="037A7706"/>
    <w:rsid w:val="03C350C4"/>
    <w:rsid w:val="03C90AEC"/>
    <w:rsid w:val="03D1158F"/>
    <w:rsid w:val="03E272F9"/>
    <w:rsid w:val="03F86B1C"/>
    <w:rsid w:val="046B245F"/>
    <w:rsid w:val="047A39D5"/>
    <w:rsid w:val="047A5783"/>
    <w:rsid w:val="05017502"/>
    <w:rsid w:val="052E60A0"/>
    <w:rsid w:val="056F7CE9"/>
    <w:rsid w:val="05773556"/>
    <w:rsid w:val="057C68B8"/>
    <w:rsid w:val="05DD246D"/>
    <w:rsid w:val="05E85465"/>
    <w:rsid w:val="060A3507"/>
    <w:rsid w:val="061F2A86"/>
    <w:rsid w:val="067A5A3E"/>
    <w:rsid w:val="06965E6A"/>
    <w:rsid w:val="06D33870"/>
    <w:rsid w:val="06EC028C"/>
    <w:rsid w:val="06F36145"/>
    <w:rsid w:val="073A7465"/>
    <w:rsid w:val="076A6D07"/>
    <w:rsid w:val="076D7821"/>
    <w:rsid w:val="07C531B9"/>
    <w:rsid w:val="07F60EEB"/>
    <w:rsid w:val="08566507"/>
    <w:rsid w:val="085F1003"/>
    <w:rsid w:val="08D767D0"/>
    <w:rsid w:val="08F24482"/>
    <w:rsid w:val="09175C96"/>
    <w:rsid w:val="093305F6"/>
    <w:rsid w:val="09616F12"/>
    <w:rsid w:val="09F2711C"/>
    <w:rsid w:val="0A06733D"/>
    <w:rsid w:val="0A187F18"/>
    <w:rsid w:val="0A627FBA"/>
    <w:rsid w:val="0A8C6210"/>
    <w:rsid w:val="0B527AB6"/>
    <w:rsid w:val="0B656DE1"/>
    <w:rsid w:val="0B9A670B"/>
    <w:rsid w:val="0B9B7A32"/>
    <w:rsid w:val="0BE83C89"/>
    <w:rsid w:val="0C2327BA"/>
    <w:rsid w:val="0C3E35BB"/>
    <w:rsid w:val="0C3E79DE"/>
    <w:rsid w:val="0C425016"/>
    <w:rsid w:val="0C474AE5"/>
    <w:rsid w:val="0C4D01DB"/>
    <w:rsid w:val="0C980C60"/>
    <w:rsid w:val="0CE045F1"/>
    <w:rsid w:val="0D314F2D"/>
    <w:rsid w:val="0D5D758D"/>
    <w:rsid w:val="0D6F7C8D"/>
    <w:rsid w:val="0D8458C4"/>
    <w:rsid w:val="0DCD726B"/>
    <w:rsid w:val="0DE10621"/>
    <w:rsid w:val="0DFC6602"/>
    <w:rsid w:val="0E3A41D5"/>
    <w:rsid w:val="0E5434E9"/>
    <w:rsid w:val="0E804201"/>
    <w:rsid w:val="0EB21FBD"/>
    <w:rsid w:val="0EFE0276"/>
    <w:rsid w:val="0F006E3D"/>
    <w:rsid w:val="0F0C5B71"/>
    <w:rsid w:val="0F222649"/>
    <w:rsid w:val="0F273BC5"/>
    <w:rsid w:val="0F3D1628"/>
    <w:rsid w:val="0F601A19"/>
    <w:rsid w:val="0FD50659"/>
    <w:rsid w:val="0FD62774"/>
    <w:rsid w:val="100D4508"/>
    <w:rsid w:val="106E287C"/>
    <w:rsid w:val="10923E54"/>
    <w:rsid w:val="10CC79FF"/>
    <w:rsid w:val="10CD757B"/>
    <w:rsid w:val="115B06EA"/>
    <w:rsid w:val="11655DD8"/>
    <w:rsid w:val="11823EC9"/>
    <w:rsid w:val="1215276C"/>
    <w:rsid w:val="122F0377"/>
    <w:rsid w:val="12582E7C"/>
    <w:rsid w:val="12897BDB"/>
    <w:rsid w:val="129A4C28"/>
    <w:rsid w:val="12E0159A"/>
    <w:rsid w:val="13220D35"/>
    <w:rsid w:val="13414365"/>
    <w:rsid w:val="13710699"/>
    <w:rsid w:val="13854144"/>
    <w:rsid w:val="139409CB"/>
    <w:rsid w:val="13B10A95"/>
    <w:rsid w:val="13BF31B2"/>
    <w:rsid w:val="13E23A48"/>
    <w:rsid w:val="13EB5384"/>
    <w:rsid w:val="13EE5846"/>
    <w:rsid w:val="13FD3CDB"/>
    <w:rsid w:val="143E52C6"/>
    <w:rsid w:val="14C173FE"/>
    <w:rsid w:val="154F0566"/>
    <w:rsid w:val="15DF4366"/>
    <w:rsid w:val="15E05618"/>
    <w:rsid w:val="1609105D"/>
    <w:rsid w:val="16212D62"/>
    <w:rsid w:val="162B7795"/>
    <w:rsid w:val="165A59DC"/>
    <w:rsid w:val="166079DC"/>
    <w:rsid w:val="16640041"/>
    <w:rsid w:val="167A1613"/>
    <w:rsid w:val="16823ECC"/>
    <w:rsid w:val="16873D30"/>
    <w:rsid w:val="16885A1C"/>
    <w:rsid w:val="168D2708"/>
    <w:rsid w:val="16E01DBD"/>
    <w:rsid w:val="16E8776F"/>
    <w:rsid w:val="17030A68"/>
    <w:rsid w:val="17223748"/>
    <w:rsid w:val="174D6A0A"/>
    <w:rsid w:val="175B1444"/>
    <w:rsid w:val="1787236F"/>
    <w:rsid w:val="179761F4"/>
    <w:rsid w:val="17D336D0"/>
    <w:rsid w:val="18285E0A"/>
    <w:rsid w:val="183E662D"/>
    <w:rsid w:val="18475E6C"/>
    <w:rsid w:val="187F73B4"/>
    <w:rsid w:val="188744BB"/>
    <w:rsid w:val="18B74DA0"/>
    <w:rsid w:val="190A3122"/>
    <w:rsid w:val="19185113"/>
    <w:rsid w:val="19375EE1"/>
    <w:rsid w:val="19766A09"/>
    <w:rsid w:val="198253AE"/>
    <w:rsid w:val="199155F1"/>
    <w:rsid w:val="19EA48B3"/>
    <w:rsid w:val="19EB1F83"/>
    <w:rsid w:val="1A21678E"/>
    <w:rsid w:val="1A5D3725"/>
    <w:rsid w:val="1A613215"/>
    <w:rsid w:val="1A9609E5"/>
    <w:rsid w:val="1AC13CB4"/>
    <w:rsid w:val="1B010554"/>
    <w:rsid w:val="1B1465DE"/>
    <w:rsid w:val="1B54330E"/>
    <w:rsid w:val="1B8B42C2"/>
    <w:rsid w:val="1B9C72D8"/>
    <w:rsid w:val="1BC11A92"/>
    <w:rsid w:val="1C0D463D"/>
    <w:rsid w:val="1C213768"/>
    <w:rsid w:val="1C2E6C4A"/>
    <w:rsid w:val="1C47468D"/>
    <w:rsid w:val="1C493CE1"/>
    <w:rsid w:val="1C8514F0"/>
    <w:rsid w:val="1C905286"/>
    <w:rsid w:val="1CB25FAA"/>
    <w:rsid w:val="1CCB0E1A"/>
    <w:rsid w:val="1CE54C02"/>
    <w:rsid w:val="1CF95617"/>
    <w:rsid w:val="1D1C78C7"/>
    <w:rsid w:val="1D5232E9"/>
    <w:rsid w:val="1DAB47A7"/>
    <w:rsid w:val="1DB94719"/>
    <w:rsid w:val="1E114F52"/>
    <w:rsid w:val="1E1257C2"/>
    <w:rsid w:val="1E3E73CA"/>
    <w:rsid w:val="1E551BFF"/>
    <w:rsid w:val="1E8B2F89"/>
    <w:rsid w:val="1F182311"/>
    <w:rsid w:val="1F4434DF"/>
    <w:rsid w:val="1F4F3C6D"/>
    <w:rsid w:val="1F6B41EE"/>
    <w:rsid w:val="1FBD00F9"/>
    <w:rsid w:val="1FCF0C21"/>
    <w:rsid w:val="1FE43FA1"/>
    <w:rsid w:val="20040C7F"/>
    <w:rsid w:val="200A6602"/>
    <w:rsid w:val="20586E69"/>
    <w:rsid w:val="208F0D95"/>
    <w:rsid w:val="2092466C"/>
    <w:rsid w:val="20D364EF"/>
    <w:rsid w:val="2188552B"/>
    <w:rsid w:val="2193671F"/>
    <w:rsid w:val="219E557C"/>
    <w:rsid w:val="21E06D30"/>
    <w:rsid w:val="21FC72FA"/>
    <w:rsid w:val="220B1CB9"/>
    <w:rsid w:val="220B7F0B"/>
    <w:rsid w:val="22401962"/>
    <w:rsid w:val="22404563"/>
    <w:rsid w:val="22717D6E"/>
    <w:rsid w:val="22A55C69"/>
    <w:rsid w:val="231A372C"/>
    <w:rsid w:val="234C4846"/>
    <w:rsid w:val="2350431D"/>
    <w:rsid w:val="23720B98"/>
    <w:rsid w:val="23C23D10"/>
    <w:rsid w:val="241624FB"/>
    <w:rsid w:val="243F3E9B"/>
    <w:rsid w:val="24570D34"/>
    <w:rsid w:val="248D4C07"/>
    <w:rsid w:val="24D04591"/>
    <w:rsid w:val="250C6DBC"/>
    <w:rsid w:val="253A4D8F"/>
    <w:rsid w:val="255F460B"/>
    <w:rsid w:val="25777D91"/>
    <w:rsid w:val="25A128B8"/>
    <w:rsid w:val="25AD6345"/>
    <w:rsid w:val="25D432AB"/>
    <w:rsid w:val="260C5A11"/>
    <w:rsid w:val="2641104C"/>
    <w:rsid w:val="2681079B"/>
    <w:rsid w:val="26A33A01"/>
    <w:rsid w:val="270F2C9C"/>
    <w:rsid w:val="27313F6F"/>
    <w:rsid w:val="276248B4"/>
    <w:rsid w:val="283D1AB3"/>
    <w:rsid w:val="28A92EA0"/>
    <w:rsid w:val="28E62B38"/>
    <w:rsid w:val="28ED4D90"/>
    <w:rsid w:val="28F65471"/>
    <w:rsid w:val="29192F0D"/>
    <w:rsid w:val="29564161"/>
    <w:rsid w:val="29591CD4"/>
    <w:rsid w:val="296323DA"/>
    <w:rsid w:val="297207D9"/>
    <w:rsid w:val="29AA3D0A"/>
    <w:rsid w:val="29AB625B"/>
    <w:rsid w:val="29DD3F3B"/>
    <w:rsid w:val="29E519C1"/>
    <w:rsid w:val="29F51284"/>
    <w:rsid w:val="29F76852"/>
    <w:rsid w:val="2A1731C1"/>
    <w:rsid w:val="2A30050E"/>
    <w:rsid w:val="2A722947"/>
    <w:rsid w:val="2A765BE1"/>
    <w:rsid w:val="2A7F4FF2"/>
    <w:rsid w:val="2A8B1BE9"/>
    <w:rsid w:val="2AEF03C9"/>
    <w:rsid w:val="2AFE338E"/>
    <w:rsid w:val="2B2B6F28"/>
    <w:rsid w:val="2B34561C"/>
    <w:rsid w:val="2B3B53BD"/>
    <w:rsid w:val="2B437401"/>
    <w:rsid w:val="2B4F2C16"/>
    <w:rsid w:val="2BB1567F"/>
    <w:rsid w:val="2BD30FEC"/>
    <w:rsid w:val="2BDF5595"/>
    <w:rsid w:val="2C016606"/>
    <w:rsid w:val="2C29790B"/>
    <w:rsid w:val="2C7E7C57"/>
    <w:rsid w:val="2C7F6248"/>
    <w:rsid w:val="2C9A4365"/>
    <w:rsid w:val="2C9E63E9"/>
    <w:rsid w:val="2CB90C8F"/>
    <w:rsid w:val="2CBF3DB2"/>
    <w:rsid w:val="2CDF1D27"/>
    <w:rsid w:val="2CE37ABA"/>
    <w:rsid w:val="2CE60E87"/>
    <w:rsid w:val="2CFC6B60"/>
    <w:rsid w:val="2D1C2FCC"/>
    <w:rsid w:val="2D2C522E"/>
    <w:rsid w:val="2D4A6466"/>
    <w:rsid w:val="2D640DAD"/>
    <w:rsid w:val="2DC93154"/>
    <w:rsid w:val="2DEB19AC"/>
    <w:rsid w:val="2DF602DB"/>
    <w:rsid w:val="2E0E2360"/>
    <w:rsid w:val="2E1C176B"/>
    <w:rsid w:val="2EB711FE"/>
    <w:rsid w:val="2EB72FAC"/>
    <w:rsid w:val="2EC35DF5"/>
    <w:rsid w:val="2F364819"/>
    <w:rsid w:val="2F3E191F"/>
    <w:rsid w:val="2F46135D"/>
    <w:rsid w:val="2F4D1ED1"/>
    <w:rsid w:val="2F6940CA"/>
    <w:rsid w:val="2F69710E"/>
    <w:rsid w:val="2FD96459"/>
    <w:rsid w:val="2FFF10AF"/>
    <w:rsid w:val="300B7AE7"/>
    <w:rsid w:val="302B0401"/>
    <w:rsid w:val="3042320B"/>
    <w:rsid w:val="304810B8"/>
    <w:rsid w:val="306A5F1A"/>
    <w:rsid w:val="3088556C"/>
    <w:rsid w:val="30AB4D93"/>
    <w:rsid w:val="30D62A44"/>
    <w:rsid w:val="30F71D86"/>
    <w:rsid w:val="312F61CF"/>
    <w:rsid w:val="31344D88"/>
    <w:rsid w:val="3143321D"/>
    <w:rsid w:val="31504E9B"/>
    <w:rsid w:val="317F3B29"/>
    <w:rsid w:val="318B4EE2"/>
    <w:rsid w:val="3201313F"/>
    <w:rsid w:val="320A5AE9"/>
    <w:rsid w:val="32313075"/>
    <w:rsid w:val="323D1F9F"/>
    <w:rsid w:val="324A20D9"/>
    <w:rsid w:val="3274745D"/>
    <w:rsid w:val="327D2A43"/>
    <w:rsid w:val="32C75F7E"/>
    <w:rsid w:val="32F12805"/>
    <w:rsid w:val="33216C74"/>
    <w:rsid w:val="33323316"/>
    <w:rsid w:val="338D4B2A"/>
    <w:rsid w:val="33B73A4E"/>
    <w:rsid w:val="342509B8"/>
    <w:rsid w:val="348245D2"/>
    <w:rsid w:val="34CE5870"/>
    <w:rsid w:val="34DD1293"/>
    <w:rsid w:val="34E47D21"/>
    <w:rsid w:val="34FF745B"/>
    <w:rsid w:val="350B2B3B"/>
    <w:rsid w:val="350D695A"/>
    <w:rsid w:val="35492DCC"/>
    <w:rsid w:val="35774A21"/>
    <w:rsid w:val="3585447D"/>
    <w:rsid w:val="35E90CC3"/>
    <w:rsid w:val="35ED7BFB"/>
    <w:rsid w:val="364307A9"/>
    <w:rsid w:val="3682350E"/>
    <w:rsid w:val="36987B67"/>
    <w:rsid w:val="36A92CB4"/>
    <w:rsid w:val="36E27034"/>
    <w:rsid w:val="36F402F3"/>
    <w:rsid w:val="37916B1C"/>
    <w:rsid w:val="37922808"/>
    <w:rsid w:val="379C08D6"/>
    <w:rsid w:val="37C91FA2"/>
    <w:rsid w:val="37D12A6C"/>
    <w:rsid w:val="3825367C"/>
    <w:rsid w:val="383D1B36"/>
    <w:rsid w:val="384653A1"/>
    <w:rsid w:val="387C43B9"/>
    <w:rsid w:val="393D0552"/>
    <w:rsid w:val="393E581A"/>
    <w:rsid w:val="394144E6"/>
    <w:rsid w:val="397A17A6"/>
    <w:rsid w:val="39950953"/>
    <w:rsid w:val="39A72279"/>
    <w:rsid w:val="39C73B49"/>
    <w:rsid w:val="39FE2842"/>
    <w:rsid w:val="3A066F1E"/>
    <w:rsid w:val="3A361B71"/>
    <w:rsid w:val="3A8D72B7"/>
    <w:rsid w:val="3B916D78"/>
    <w:rsid w:val="3BA23236"/>
    <w:rsid w:val="3BA66882"/>
    <w:rsid w:val="3BD51EC3"/>
    <w:rsid w:val="3BE97E3F"/>
    <w:rsid w:val="3C3B7168"/>
    <w:rsid w:val="3CB45B7B"/>
    <w:rsid w:val="3CE31410"/>
    <w:rsid w:val="3D28305D"/>
    <w:rsid w:val="3D2C2DB7"/>
    <w:rsid w:val="3D462E5C"/>
    <w:rsid w:val="3D894BF7"/>
    <w:rsid w:val="3D8C5F4C"/>
    <w:rsid w:val="3D9C04CE"/>
    <w:rsid w:val="3DC01A44"/>
    <w:rsid w:val="3DCE65CA"/>
    <w:rsid w:val="3E106B05"/>
    <w:rsid w:val="3E524A9F"/>
    <w:rsid w:val="3E6E40E8"/>
    <w:rsid w:val="3E8B4A62"/>
    <w:rsid w:val="3EB43064"/>
    <w:rsid w:val="3EC16B35"/>
    <w:rsid w:val="3F21478D"/>
    <w:rsid w:val="3F2521B4"/>
    <w:rsid w:val="3F3D100E"/>
    <w:rsid w:val="3F7F7B16"/>
    <w:rsid w:val="3F823162"/>
    <w:rsid w:val="40360FB2"/>
    <w:rsid w:val="407F58F4"/>
    <w:rsid w:val="40B062F4"/>
    <w:rsid w:val="40DB76B2"/>
    <w:rsid w:val="41586871"/>
    <w:rsid w:val="417D116C"/>
    <w:rsid w:val="41DA2FBB"/>
    <w:rsid w:val="423D15C3"/>
    <w:rsid w:val="42495919"/>
    <w:rsid w:val="424B26B5"/>
    <w:rsid w:val="42A930FC"/>
    <w:rsid w:val="42AE426E"/>
    <w:rsid w:val="42F500EF"/>
    <w:rsid w:val="42F9198D"/>
    <w:rsid w:val="43063DE5"/>
    <w:rsid w:val="43670FED"/>
    <w:rsid w:val="436B215F"/>
    <w:rsid w:val="436C03B1"/>
    <w:rsid w:val="43854E54"/>
    <w:rsid w:val="43A01E09"/>
    <w:rsid w:val="43C544B9"/>
    <w:rsid w:val="43EC14F2"/>
    <w:rsid w:val="440830A8"/>
    <w:rsid w:val="4412193C"/>
    <w:rsid w:val="443864E5"/>
    <w:rsid w:val="444C3D3F"/>
    <w:rsid w:val="444D786F"/>
    <w:rsid w:val="447A08AC"/>
    <w:rsid w:val="44A45929"/>
    <w:rsid w:val="44C1472D"/>
    <w:rsid w:val="450458AF"/>
    <w:rsid w:val="45050ABD"/>
    <w:rsid w:val="45062140"/>
    <w:rsid w:val="451B0467"/>
    <w:rsid w:val="452E332C"/>
    <w:rsid w:val="45343348"/>
    <w:rsid w:val="45991206"/>
    <w:rsid w:val="459C0CF6"/>
    <w:rsid w:val="45A03F8D"/>
    <w:rsid w:val="45AB6AD8"/>
    <w:rsid w:val="45AF27D7"/>
    <w:rsid w:val="45B568B7"/>
    <w:rsid w:val="45E10BFE"/>
    <w:rsid w:val="45ED5BF0"/>
    <w:rsid w:val="461B1122"/>
    <w:rsid w:val="462E2059"/>
    <w:rsid w:val="46873259"/>
    <w:rsid w:val="472B6DBC"/>
    <w:rsid w:val="478163F5"/>
    <w:rsid w:val="47AA14A8"/>
    <w:rsid w:val="47B96642"/>
    <w:rsid w:val="48161443"/>
    <w:rsid w:val="482C583F"/>
    <w:rsid w:val="488360C9"/>
    <w:rsid w:val="488E49CE"/>
    <w:rsid w:val="48D50670"/>
    <w:rsid w:val="49025314"/>
    <w:rsid w:val="49085613"/>
    <w:rsid w:val="493354CD"/>
    <w:rsid w:val="49370286"/>
    <w:rsid w:val="4968161B"/>
    <w:rsid w:val="496B2EB9"/>
    <w:rsid w:val="498D735B"/>
    <w:rsid w:val="49BF1757"/>
    <w:rsid w:val="49EB7B56"/>
    <w:rsid w:val="4A1A3DF5"/>
    <w:rsid w:val="4A8C7090"/>
    <w:rsid w:val="4A993A56"/>
    <w:rsid w:val="4ACF1232"/>
    <w:rsid w:val="4B047121"/>
    <w:rsid w:val="4B196D56"/>
    <w:rsid w:val="4B577B99"/>
    <w:rsid w:val="4B7E556C"/>
    <w:rsid w:val="4B7E6DAD"/>
    <w:rsid w:val="4B895879"/>
    <w:rsid w:val="4BBB1D54"/>
    <w:rsid w:val="4BC969FB"/>
    <w:rsid w:val="4C7622A1"/>
    <w:rsid w:val="4C7725FC"/>
    <w:rsid w:val="4C774FF8"/>
    <w:rsid w:val="4C78347F"/>
    <w:rsid w:val="4C7B0EF5"/>
    <w:rsid w:val="4C9A14A6"/>
    <w:rsid w:val="4CB86415"/>
    <w:rsid w:val="4CC56D84"/>
    <w:rsid w:val="4CFB4554"/>
    <w:rsid w:val="4D265A75"/>
    <w:rsid w:val="4D9033A2"/>
    <w:rsid w:val="4DD74FC1"/>
    <w:rsid w:val="4DD76D6F"/>
    <w:rsid w:val="4E4A6A0E"/>
    <w:rsid w:val="4E894CBB"/>
    <w:rsid w:val="4EEB5EF1"/>
    <w:rsid w:val="4F066994"/>
    <w:rsid w:val="4F503635"/>
    <w:rsid w:val="4F5B6CC0"/>
    <w:rsid w:val="4F781E8C"/>
    <w:rsid w:val="4F7A3E56"/>
    <w:rsid w:val="4FF74682"/>
    <w:rsid w:val="500D6A78"/>
    <w:rsid w:val="508200CC"/>
    <w:rsid w:val="50CA4969"/>
    <w:rsid w:val="50E01C8B"/>
    <w:rsid w:val="50F50C92"/>
    <w:rsid w:val="512E314A"/>
    <w:rsid w:val="51C016A0"/>
    <w:rsid w:val="525070F0"/>
    <w:rsid w:val="5268443A"/>
    <w:rsid w:val="52A82A88"/>
    <w:rsid w:val="52CB2AA1"/>
    <w:rsid w:val="53456529"/>
    <w:rsid w:val="53B042EA"/>
    <w:rsid w:val="542244E6"/>
    <w:rsid w:val="546100EE"/>
    <w:rsid w:val="54B149E5"/>
    <w:rsid w:val="54B971CF"/>
    <w:rsid w:val="54BD6FF9"/>
    <w:rsid w:val="54D20290"/>
    <w:rsid w:val="54D40962"/>
    <w:rsid w:val="55260388"/>
    <w:rsid w:val="556C4241"/>
    <w:rsid w:val="557D01FC"/>
    <w:rsid w:val="55A21A11"/>
    <w:rsid w:val="55C44005"/>
    <w:rsid w:val="55D77C78"/>
    <w:rsid w:val="55FD2619"/>
    <w:rsid w:val="563C518C"/>
    <w:rsid w:val="5684707C"/>
    <w:rsid w:val="56FE711B"/>
    <w:rsid w:val="572329B8"/>
    <w:rsid w:val="57342B3C"/>
    <w:rsid w:val="57BA0F5A"/>
    <w:rsid w:val="57BD5228"/>
    <w:rsid w:val="57CA60A5"/>
    <w:rsid w:val="58A77DB1"/>
    <w:rsid w:val="58B32187"/>
    <w:rsid w:val="58BF445B"/>
    <w:rsid w:val="58EB6226"/>
    <w:rsid w:val="59452DCF"/>
    <w:rsid w:val="5966544B"/>
    <w:rsid w:val="59684D1F"/>
    <w:rsid w:val="598215CB"/>
    <w:rsid w:val="59A16132"/>
    <w:rsid w:val="5A040EEC"/>
    <w:rsid w:val="5A166E71"/>
    <w:rsid w:val="5A307F33"/>
    <w:rsid w:val="5A493632"/>
    <w:rsid w:val="5A4C63A2"/>
    <w:rsid w:val="5A7A7936"/>
    <w:rsid w:val="5A9C48C8"/>
    <w:rsid w:val="5B4F1083"/>
    <w:rsid w:val="5B971602"/>
    <w:rsid w:val="5BAA7871"/>
    <w:rsid w:val="5BE34B31"/>
    <w:rsid w:val="5BE74621"/>
    <w:rsid w:val="5C115BCB"/>
    <w:rsid w:val="5C62639E"/>
    <w:rsid w:val="5CA361BE"/>
    <w:rsid w:val="5CAE3391"/>
    <w:rsid w:val="5D2830F8"/>
    <w:rsid w:val="5D303DA6"/>
    <w:rsid w:val="5D4935B2"/>
    <w:rsid w:val="5D4F2857"/>
    <w:rsid w:val="5D6A375C"/>
    <w:rsid w:val="5E3969B5"/>
    <w:rsid w:val="5E6A144C"/>
    <w:rsid w:val="5EA26F25"/>
    <w:rsid w:val="5EF7101F"/>
    <w:rsid w:val="5F697A43"/>
    <w:rsid w:val="6005776C"/>
    <w:rsid w:val="603C12D7"/>
    <w:rsid w:val="605831BC"/>
    <w:rsid w:val="60D73318"/>
    <w:rsid w:val="60E43825"/>
    <w:rsid w:val="60F91D13"/>
    <w:rsid w:val="6146003C"/>
    <w:rsid w:val="615A42EB"/>
    <w:rsid w:val="61774699"/>
    <w:rsid w:val="61851B67"/>
    <w:rsid w:val="61C049CE"/>
    <w:rsid w:val="61C14C06"/>
    <w:rsid w:val="61F160D3"/>
    <w:rsid w:val="61FC1EF1"/>
    <w:rsid w:val="62257C51"/>
    <w:rsid w:val="624200F8"/>
    <w:rsid w:val="626A1B08"/>
    <w:rsid w:val="626C5880"/>
    <w:rsid w:val="62A430D3"/>
    <w:rsid w:val="62C93873"/>
    <w:rsid w:val="63520F1A"/>
    <w:rsid w:val="63710C42"/>
    <w:rsid w:val="63846BFA"/>
    <w:rsid w:val="63894210"/>
    <w:rsid w:val="63BB0EF3"/>
    <w:rsid w:val="63C5685D"/>
    <w:rsid w:val="63C96A58"/>
    <w:rsid w:val="63DC07E4"/>
    <w:rsid w:val="63EB0A27"/>
    <w:rsid w:val="644F0FB6"/>
    <w:rsid w:val="647669BF"/>
    <w:rsid w:val="64A3548A"/>
    <w:rsid w:val="650F4BE9"/>
    <w:rsid w:val="6510574A"/>
    <w:rsid w:val="651B358E"/>
    <w:rsid w:val="655B13F2"/>
    <w:rsid w:val="659155FE"/>
    <w:rsid w:val="659D0447"/>
    <w:rsid w:val="65B37C6A"/>
    <w:rsid w:val="65BA2DA7"/>
    <w:rsid w:val="66163F33"/>
    <w:rsid w:val="661B7178"/>
    <w:rsid w:val="664A49C0"/>
    <w:rsid w:val="668313EA"/>
    <w:rsid w:val="66C37A39"/>
    <w:rsid w:val="66C643AB"/>
    <w:rsid w:val="66C74F98"/>
    <w:rsid w:val="66F94DA4"/>
    <w:rsid w:val="672D1356"/>
    <w:rsid w:val="67446DCC"/>
    <w:rsid w:val="675F07D3"/>
    <w:rsid w:val="678418BE"/>
    <w:rsid w:val="67E04122"/>
    <w:rsid w:val="68264A40"/>
    <w:rsid w:val="683D381B"/>
    <w:rsid w:val="68790CF7"/>
    <w:rsid w:val="68975621"/>
    <w:rsid w:val="6898297B"/>
    <w:rsid w:val="68B0254D"/>
    <w:rsid w:val="68D66263"/>
    <w:rsid w:val="68D767F8"/>
    <w:rsid w:val="6942037D"/>
    <w:rsid w:val="69496F06"/>
    <w:rsid w:val="6A064BF7"/>
    <w:rsid w:val="6A0E36C1"/>
    <w:rsid w:val="6A154A4F"/>
    <w:rsid w:val="6A543181"/>
    <w:rsid w:val="6A794FDE"/>
    <w:rsid w:val="6ACD70D8"/>
    <w:rsid w:val="6B3E3B32"/>
    <w:rsid w:val="6BBF2EC5"/>
    <w:rsid w:val="6BF926A8"/>
    <w:rsid w:val="6BFF7765"/>
    <w:rsid w:val="6C07486C"/>
    <w:rsid w:val="6C251EE0"/>
    <w:rsid w:val="6C55564B"/>
    <w:rsid w:val="6CC2480E"/>
    <w:rsid w:val="6D010516"/>
    <w:rsid w:val="6D730C1B"/>
    <w:rsid w:val="6D76468B"/>
    <w:rsid w:val="6DEF510F"/>
    <w:rsid w:val="6E070B53"/>
    <w:rsid w:val="6E160D96"/>
    <w:rsid w:val="6E5D69C5"/>
    <w:rsid w:val="6E5E2EC1"/>
    <w:rsid w:val="6E6B1EF6"/>
    <w:rsid w:val="6E6F43CA"/>
    <w:rsid w:val="6E864227"/>
    <w:rsid w:val="6EB760D5"/>
    <w:rsid w:val="6EBD10DA"/>
    <w:rsid w:val="6EC15E98"/>
    <w:rsid w:val="6EF56BFD"/>
    <w:rsid w:val="6F037E5A"/>
    <w:rsid w:val="6F2B3A69"/>
    <w:rsid w:val="6F583874"/>
    <w:rsid w:val="6F867BDD"/>
    <w:rsid w:val="6F8B1310"/>
    <w:rsid w:val="6F8B47CE"/>
    <w:rsid w:val="6FDD600F"/>
    <w:rsid w:val="6FEF1048"/>
    <w:rsid w:val="703461A5"/>
    <w:rsid w:val="70626515"/>
    <w:rsid w:val="707D334E"/>
    <w:rsid w:val="70D94A29"/>
    <w:rsid w:val="71214538"/>
    <w:rsid w:val="71513287"/>
    <w:rsid w:val="716B693F"/>
    <w:rsid w:val="71C25BD4"/>
    <w:rsid w:val="71CF3736"/>
    <w:rsid w:val="71E74F23"/>
    <w:rsid w:val="72192C03"/>
    <w:rsid w:val="727E14FC"/>
    <w:rsid w:val="72867712"/>
    <w:rsid w:val="72AE5A41"/>
    <w:rsid w:val="72F62470"/>
    <w:rsid w:val="733A5527"/>
    <w:rsid w:val="73410663"/>
    <w:rsid w:val="735F6D3B"/>
    <w:rsid w:val="738F5872"/>
    <w:rsid w:val="73911230"/>
    <w:rsid w:val="73B10851"/>
    <w:rsid w:val="73BE3A62"/>
    <w:rsid w:val="73F751C6"/>
    <w:rsid w:val="744877CF"/>
    <w:rsid w:val="744D6FA1"/>
    <w:rsid w:val="74980757"/>
    <w:rsid w:val="74DE59E6"/>
    <w:rsid w:val="75491A51"/>
    <w:rsid w:val="75640639"/>
    <w:rsid w:val="75647B92"/>
    <w:rsid w:val="75F56EDD"/>
    <w:rsid w:val="76623BD0"/>
    <w:rsid w:val="7663010E"/>
    <w:rsid w:val="76FC28D3"/>
    <w:rsid w:val="772216A5"/>
    <w:rsid w:val="774A385E"/>
    <w:rsid w:val="779F1DFC"/>
    <w:rsid w:val="77A92C7B"/>
    <w:rsid w:val="77B7242E"/>
    <w:rsid w:val="77BD2282"/>
    <w:rsid w:val="77C90C27"/>
    <w:rsid w:val="77E872FF"/>
    <w:rsid w:val="78146346"/>
    <w:rsid w:val="782878D8"/>
    <w:rsid w:val="782C29C5"/>
    <w:rsid w:val="785E75C1"/>
    <w:rsid w:val="78844E69"/>
    <w:rsid w:val="788F00C3"/>
    <w:rsid w:val="78D21D5D"/>
    <w:rsid w:val="791B3704"/>
    <w:rsid w:val="7993773F"/>
    <w:rsid w:val="79E3549E"/>
    <w:rsid w:val="79EE13F7"/>
    <w:rsid w:val="7A2E1215"/>
    <w:rsid w:val="7A8803AF"/>
    <w:rsid w:val="7AC9618B"/>
    <w:rsid w:val="7B0B3A88"/>
    <w:rsid w:val="7B191EC6"/>
    <w:rsid w:val="7B1B51A1"/>
    <w:rsid w:val="7B272834"/>
    <w:rsid w:val="7B3F192C"/>
    <w:rsid w:val="7B8450CA"/>
    <w:rsid w:val="7BA14395"/>
    <w:rsid w:val="7BAA1847"/>
    <w:rsid w:val="7BB73BB8"/>
    <w:rsid w:val="7BCD518A"/>
    <w:rsid w:val="7C2D79D7"/>
    <w:rsid w:val="7C3945CD"/>
    <w:rsid w:val="7C6B6751"/>
    <w:rsid w:val="7C741AA9"/>
    <w:rsid w:val="7C833A9B"/>
    <w:rsid w:val="7CA53A11"/>
    <w:rsid w:val="7CCD11BA"/>
    <w:rsid w:val="7CD771B4"/>
    <w:rsid w:val="7CF92023"/>
    <w:rsid w:val="7D042B2E"/>
    <w:rsid w:val="7D172435"/>
    <w:rsid w:val="7D1C7A4B"/>
    <w:rsid w:val="7DB75CAC"/>
    <w:rsid w:val="7DC0487A"/>
    <w:rsid w:val="7DD8513D"/>
    <w:rsid w:val="7DE93DD1"/>
    <w:rsid w:val="7DEC566F"/>
    <w:rsid w:val="7DFB58B2"/>
    <w:rsid w:val="7E7059EB"/>
    <w:rsid w:val="7EE14E36"/>
    <w:rsid w:val="7F636C4B"/>
    <w:rsid w:val="7F740BE1"/>
    <w:rsid w:val="7F89761A"/>
    <w:rsid w:val="7FDC1E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
    <w:qFormat/>
    <w:rsid w:val="000D1C6C"/>
    <w:pPr>
      <w:widowControl w:val="0"/>
      <w:jc w:val="both"/>
    </w:pPr>
    <w:rPr>
      <w:rFonts w:ascii="Calibri" w:hAnsi="Calibri" w:cs="宋体"/>
      <w:kern w:val="2"/>
      <w:sz w:val="21"/>
      <w:szCs w:val="21"/>
    </w:rPr>
  </w:style>
  <w:style w:type="paragraph" w:styleId="10">
    <w:name w:val="heading 1"/>
    <w:basedOn w:val="a"/>
    <w:next w:val="a"/>
    <w:link w:val="1Char"/>
    <w:uiPriority w:val="9"/>
    <w:qFormat/>
    <w:rsid w:val="000D1C6C"/>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0D1C6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unhideWhenUsed/>
    <w:qFormat/>
    <w:rsid w:val="000D1C6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0D1C6C"/>
    <w:pPr>
      <w:spacing w:after="120"/>
    </w:pPr>
  </w:style>
  <w:style w:type="paragraph" w:styleId="a4">
    <w:name w:val="Body Text Indent"/>
    <w:basedOn w:val="a"/>
    <w:link w:val="Char"/>
    <w:qFormat/>
    <w:rsid w:val="000D1C6C"/>
    <w:pPr>
      <w:ind w:firstLineChars="200" w:firstLine="600"/>
    </w:pPr>
    <w:rPr>
      <w:rFonts w:ascii="Times New Roman" w:eastAsia="仿宋_GB2312" w:hAnsi="Times New Roman" w:cs="Times New Roman"/>
      <w:sz w:val="30"/>
      <w:szCs w:val="24"/>
    </w:rPr>
  </w:style>
  <w:style w:type="paragraph" w:styleId="a5">
    <w:name w:val="Balloon Text"/>
    <w:basedOn w:val="a"/>
    <w:link w:val="Char0"/>
    <w:uiPriority w:val="99"/>
    <w:semiHidden/>
    <w:unhideWhenUsed/>
    <w:qFormat/>
    <w:rsid w:val="000D1C6C"/>
    <w:rPr>
      <w:sz w:val="18"/>
      <w:szCs w:val="18"/>
    </w:rPr>
  </w:style>
  <w:style w:type="paragraph" w:styleId="a6">
    <w:name w:val="footer"/>
    <w:basedOn w:val="a"/>
    <w:link w:val="Char1"/>
    <w:uiPriority w:val="99"/>
    <w:unhideWhenUsed/>
    <w:qFormat/>
    <w:rsid w:val="000D1C6C"/>
    <w:pPr>
      <w:tabs>
        <w:tab w:val="center" w:pos="4153"/>
        <w:tab w:val="right" w:pos="8306"/>
      </w:tabs>
      <w:snapToGrid w:val="0"/>
      <w:jc w:val="left"/>
    </w:pPr>
    <w:rPr>
      <w:sz w:val="18"/>
      <w:szCs w:val="18"/>
    </w:rPr>
  </w:style>
  <w:style w:type="paragraph" w:styleId="a7">
    <w:name w:val="header"/>
    <w:basedOn w:val="a"/>
    <w:link w:val="Char2"/>
    <w:unhideWhenUsed/>
    <w:qFormat/>
    <w:rsid w:val="000D1C6C"/>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rsid w:val="000D1C6C"/>
    <w:pPr>
      <w:widowControl/>
      <w:spacing w:before="100" w:beforeAutospacing="1" w:after="100" w:afterAutospacing="1"/>
      <w:jc w:val="left"/>
    </w:pPr>
    <w:rPr>
      <w:rFonts w:ascii="宋体" w:hAnsi="宋体"/>
      <w:kern w:val="0"/>
      <w:sz w:val="24"/>
      <w:szCs w:val="24"/>
    </w:rPr>
  </w:style>
  <w:style w:type="paragraph" w:styleId="21">
    <w:name w:val="Body Text First Indent 2"/>
    <w:basedOn w:val="a4"/>
    <w:qFormat/>
    <w:rsid w:val="000D1C6C"/>
    <w:pPr>
      <w:ind w:firstLine="420"/>
    </w:pPr>
  </w:style>
  <w:style w:type="character" w:styleId="a9">
    <w:name w:val="Emphasis"/>
    <w:basedOn w:val="a0"/>
    <w:uiPriority w:val="20"/>
    <w:qFormat/>
    <w:rsid w:val="000D1C6C"/>
    <w:rPr>
      <w:i/>
      <w:iCs/>
    </w:rPr>
  </w:style>
  <w:style w:type="character" w:customStyle="1" w:styleId="Char2">
    <w:name w:val="页眉 Char"/>
    <w:basedOn w:val="a0"/>
    <w:link w:val="a7"/>
    <w:qFormat/>
    <w:rsid w:val="000D1C6C"/>
    <w:rPr>
      <w:sz w:val="18"/>
      <w:szCs w:val="18"/>
    </w:rPr>
  </w:style>
  <w:style w:type="character" w:customStyle="1" w:styleId="Char1">
    <w:name w:val="页脚 Char"/>
    <w:basedOn w:val="a0"/>
    <w:link w:val="a6"/>
    <w:uiPriority w:val="99"/>
    <w:qFormat/>
    <w:rsid w:val="000D1C6C"/>
    <w:rPr>
      <w:sz w:val="18"/>
      <w:szCs w:val="18"/>
    </w:rPr>
  </w:style>
  <w:style w:type="character" w:customStyle="1" w:styleId="first-child">
    <w:name w:val="first-child"/>
    <w:basedOn w:val="a0"/>
    <w:qFormat/>
    <w:rsid w:val="000D1C6C"/>
    <w:rPr>
      <w:rFonts w:ascii="Times New Roman" w:eastAsia="黑体" w:hAnsi="Times New Roman"/>
      <w:sz w:val="21"/>
    </w:rPr>
  </w:style>
  <w:style w:type="character" w:customStyle="1" w:styleId="ic3">
    <w:name w:val="i_c3"/>
    <w:basedOn w:val="a0"/>
    <w:qFormat/>
    <w:rsid w:val="000D1C6C"/>
    <w:rPr>
      <w:rFonts w:ascii="Times New Roman" w:eastAsia="仿宋_GB2312" w:hAnsi="Times New Roman"/>
      <w:b/>
    </w:rPr>
  </w:style>
  <w:style w:type="character" w:customStyle="1" w:styleId="ic31">
    <w:name w:val="i_c31"/>
    <w:basedOn w:val="a0"/>
    <w:qFormat/>
    <w:rsid w:val="000D1C6C"/>
    <w:rPr>
      <w:rFonts w:ascii="Times New Roman" w:eastAsia="仿宋_GB2312" w:hAnsi="Times New Roman"/>
    </w:rPr>
  </w:style>
  <w:style w:type="paragraph" w:styleId="aa">
    <w:name w:val="List Paragraph"/>
    <w:basedOn w:val="a"/>
    <w:uiPriority w:val="34"/>
    <w:qFormat/>
    <w:rsid w:val="000D1C6C"/>
    <w:pPr>
      <w:ind w:firstLineChars="200" w:firstLine="420"/>
    </w:pPr>
  </w:style>
  <w:style w:type="character" w:customStyle="1" w:styleId="Char">
    <w:name w:val="正文文本缩进 Char"/>
    <w:basedOn w:val="a0"/>
    <w:link w:val="a4"/>
    <w:qFormat/>
    <w:rsid w:val="000D1C6C"/>
    <w:rPr>
      <w:rFonts w:ascii="Times New Roman" w:eastAsia="仿宋_GB2312" w:hAnsi="Times New Roman" w:cs="Times New Roman"/>
      <w:sz w:val="30"/>
      <w:szCs w:val="24"/>
    </w:rPr>
  </w:style>
  <w:style w:type="paragraph" w:customStyle="1" w:styleId="1">
    <w:name w:val="样式1"/>
    <w:basedOn w:val="10"/>
    <w:next w:val="a4"/>
    <w:qFormat/>
    <w:rsid w:val="000D1C6C"/>
    <w:pPr>
      <w:widowControl/>
      <w:numPr>
        <w:numId w:val="1"/>
      </w:numPr>
      <w:spacing w:beforeLines="100" w:afterLines="50" w:line="560" w:lineRule="exact"/>
      <w:ind w:firstLineChars="200" w:firstLine="200"/>
      <w:jc w:val="center"/>
    </w:pPr>
    <w:rPr>
      <w:rFonts w:eastAsia="黑体" w:cs="Times New Roman"/>
      <w:b w:val="0"/>
      <w:sz w:val="32"/>
    </w:rPr>
  </w:style>
  <w:style w:type="paragraph" w:customStyle="1" w:styleId="2">
    <w:name w:val="样式2"/>
    <w:basedOn w:val="20"/>
    <w:link w:val="2Char0"/>
    <w:qFormat/>
    <w:rsid w:val="000D1C6C"/>
    <w:pPr>
      <w:widowControl/>
      <w:numPr>
        <w:ilvl w:val="1"/>
        <w:numId w:val="1"/>
      </w:numPr>
      <w:spacing w:before="0" w:after="0" w:line="530" w:lineRule="exact"/>
      <w:jc w:val="left"/>
    </w:pPr>
    <w:rPr>
      <w:rFonts w:ascii="Cambria" w:eastAsia="楷体_GB2312" w:hAnsi="Cambria" w:cs="Times New Roman"/>
    </w:rPr>
  </w:style>
  <w:style w:type="character" w:customStyle="1" w:styleId="2Char0">
    <w:name w:val="样式2 Char"/>
    <w:basedOn w:val="2Char"/>
    <w:link w:val="2"/>
    <w:qFormat/>
    <w:rsid w:val="000D1C6C"/>
    <w:rPr>
      <w:rFonts w:ascii="Cambria" w:eastAsia="楷体_GB2312" w:hAnsi="Cambria" w:cs="Times New Roman"/>
    </w:rPr>
  </w:style>
  <w:style w:type="character" w:customStyle="1" w:styleId="2Char">
    <w:name w:val="标题 2 Char"/>
    <w:basedOn w:val="a0"/>
    <w:link w:val="20"/>
    <w:uiPriority w:val="9"/>
    <w:semiHidden/>
    <w:qFormat/>
    <w:rsid w:val="000D1C6C"/>
    <w:rPr>
      <w:rFonts w:asciiTheme="majorHAnsi" w:eastAsiaTheme="majorEastAsia" w:hAnsiTheme="majorHAnsi" w:cstheme="majorBidi"/>
      <w:b/>
      <w:bCs/>
      <w:sz w:val="32"/>
      <w:szCs w:val="32"/>
    </w:rPr>
  </w:style>
  <w:style w:type="character" w:customStyle="1" w:styleId="1Char">
    <w:name w:val="标题 1 Char"/>
    <w:basedOn w:val="a0"/>
    <w:link w:val="10"/>
    <w:uiPriority w:val="9"/>
    <w:qFormat/>
    <w:rsid w:val="000D1C6C"/>
    <w:rPr>
      <w:rFonts w:ascii="Calibri" w:eastAsia="宋体" w:hAnsi="Calibri" w:cs="宋体"/>
      <w:b/>
      <w:bCs/>
      <w:kern w:val="44"/>
      <w:sz w:val="44"/>
      <w:szCs w:val="44"/>
    </w:rPr>
  </w:style>
  <w:style w:type="character" w:customStyle="1" w:styleId="4Char">
    <w:name w:val="标题 4 Char"/>
    <w:basedOn w:val="a0"/>
    <w:link w:val="4"/>
    <w:uiPriority w:val="9"/>
    <w:qFormat/>
    <w:rsid w:val="000D1C6C"/>
    <w:rPr>
      <w:rFonts w:asciiTheme="majorHAnsi" w:eastAsiaTheme="majorEastAsia" w:hAnsiTheme="majorHAnsi" w:cstheme="majorBidi"/>
      <w:b/>
      <w:bCs/>
      <w:sz w:val="28"/>
      <w:szCs w:val="28"/>
    </w:rPr>
  </w:style>
  <w:style w:type="character" w:customStyle="1" w:styleId="Char0">
    <w:name w:val="批注框文本 Char"/>
    <w:basedOn w:val="a0"/>
    <w:link w:val="a5"/>
    <w:uiPriority w:val="99"/>
    <w:semiHidden/>
    <w:qFormat/>
    <w:rsid w:val="000D1C6C"/>
    <w:rPr>
      <w:rFonts w:ascii="Calibri"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4078</Words>
  <Characters>4120</Characters>
  <Application>Microsoft Office Word</Application>
  <DocSecurity>0</DocSecurity>
  <Lines>274</Lines>
  <Paragraphs>163</Paragraphs>
  <ScaleCrop>false</ScaleCrop>
  <Company>Microsoft China</Company>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wangzj</dc:creator>
  <cp:lastModifiedBy>wangli</cp:lastModifiedBy>
  <cp:revision>287</cp:revision>
  <cp:lastPrinted>2024-12-25T02:21:00Z</cp:lastPrinted>
  <dcterms:created xsi:type="dcterms:W3CDTF">2020-12-08T10:13:00Z</dcterms:created>
  <dcterms:modified xsi:type="dcterms:W3CDTF">2024-12-27T10:16:00Z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7C575039B1804548930CDA25DBD66EB9_13</vt:lpwstr>
  </property>
</Properties>
</file>