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5D72A">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 w:val="0"/>
          <w:bCs/>
          <w:color w:val="auto"/>
          <w:kern w:val="44"/>
          <w:sz w:val="44"/>
          <w:szCs w:val="44"/>
          <w:highlight w:val="none"/>
          <w:lang w:bidi="ar"/>
        </w:rPr>
      </w:pPr>
      <w:r>
        <w:rPr>
          <w:rFonts w:hint="eastAsia" w:ascii="方正小标宋简体" w:hAnsi="Times New Roman" w:eastAsia="方正小标宋简体" w:cs="方正小标宋简体"/>
          <w:b w:val="0"/>
          <w:bCs/>
          <w:color w:val="auto"/>
          <w:kern w:val="44"/>
          <w:sz w:val="44"/>
          <w:szCs w:val="44"/>
          <w:highlight w:val="none"/>
          <w:lang w:bidi="ar"/>
        </w:rPr>
        <w:t>常州市建设工程招标公告</w:t>
      </w:r>
    </w:p>
    <w:p w14:paraId="4B958555">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一、招标条件</w:t>
      </w:r>
      <w:r>
        <w:rPr>
          <w:rFonts w:hint="eastAsia" w:ascii="黑体" w:hAnsi="宋体" w:eastAsia="黑体" w:cs="黑体"/>
          <w:bCs/>
          <w:color w:val="auto"/>
          <w:sz w:val="32"/>
          <w:szCs w:val="32"/>
          <w:highlight w:val="none"/>
          <w:lang w:bidi="ar"/>
        </w:rPr>
        <w:tab/>
      </w:r>
    </w:p>
    <w:p w14:paraId="61463DF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u w:val="single"/>
          <w:lang w:eastAsia="zh-CN"/>
        </w:rPr>
        <w:t>滨江经济开发区新能源产业园污水管网建设项目</w:t>
      </w:r>
      <w:r>
        <w:rPr>
          <w:rFonts w:hint="eastAsia" w:ascii="仿宋_GB2312" w:hAnsi="仿宋_GB2312" w:eastAsia="仿宋_GB2312" w:cs="仿宋_GB2312"/>
          <w:color w:val="auto"/>
          <w:kern w:val="0"/>
          <w:sz w:val="32"/>
          <w:szCs w:val="32"/>
          <w:highlight w:val="none"/>
        </w:rPr>
        <w:t>已批准建设，招标人为</w:t>
      </w:r>
      <w:r>
        <w:rPr>
          <w:rFonts w:hint="eastAsia" w:ascii="仿宋_GB2312" w:hAnsi="仿宋_GB2312" w:eastAsia="仿宋_GB2312" w:cs="仿宋_GB2312"/>
          <w:color w:val="auto"/>
          <w:sz w:val="32"/>
          <w:szCs w:val="32"/>
          <w:highlight w:val="none"/>
          <w:u w:val="single"/>
          <w:lang w:eastAsia="zh-CN"/>
        </w:rPr>
        <w:t>江苏常州滨江经济开发区管理委员会</w:t>
      </w:r>
      <w:r>
        <w:rPr>
          <w:rFonts w:hint="eastAsia" w:ascii="仿宋_GB2312" w:hAnsi="仿宋_GB2312" w:eastAsia="仿宋_GB2312" w:cs="仿宋_GB2312"/>
          <w:color w:val="auto"/>
          <w:kern w:val="0"/>
          <w:sz w:val="32"/>
          <w:szCs w:val="32"/>
          <w:highlight w:val="none"/>
        </w:rPr>
        <w:t>，建设资金来自</w:t>
      </w:r>
      <w:r>
        <w:rPr>
          <w:rFonts w:hint="eastAsia" w:ascii="仿宋_GB2312" w:hAnsi="仿宋_GB2312" w:eastAsia="仿宋_GB2312" w:cs="仿宋_GB2312"/>
          <w:color w:val="auto"/>
          <w:kern w:val="0"/>
          <w:sz w:val="32"/>
          <w:szCs w:val="32"/>
          <w:highlight w:val="none"/>
          <w:u w:val="single"/>
          <w:lang w:val="en-US" w:eastAsia="zh-CN"/>
        </w:rPr>
        <w:t>财政</w:t>
      </w:r>
      <w:r>
        <w:rPr>
          <w:rFonts w:hint="eastAsia" w:ascii="仿宋_GB2312" w:hAnsi="仿宋_GB2312" w:eastAsia="仿宋_GB2312" w:cs="仿宋_GB2312"/>
          <w:color w:val="auto"/>
          <w:kern w:val="0"/>
          <w:sz w:val="32"/>
          <w:szCs w:val="32"/>
          <w:highlight w:val="none"/>
        </w:rPr>
        <w:t>，项目出资比例为</w:t>
      </w:r>
      <w:r>
        <w:rPr>
          <w:rFonts w:hint="eastAsia" w:ascii="仿宋_GB2312" w:hAnsi="仿宋_GB2312" w:eastAsia="仿宋_GB2312" w:cs="仿宋_GB2312"/>
          <w:color w:val="auto"/>
          <w:kern w:val="0"/>
          <w:sz w:val="32"/>
          <w:szCs w:val="32"/>
          <w:highlight w:val="none"/>
          <w:u w:val="single"/>
        </w:rPr>
        <w:t>国有</w:t>
      </w:r>
      <w:r>
        <w:rPr>
          <w:rFonts w:hint="eastAsia" w:ascii="仿宋_GB2312" w:hAnsi="仿宋_GB2312" w:eastAsia="仿宋_GB2312" w:cs="仿宋_GB2312"/>
          <w:color w:val="auto"/>
          <w:sz w:val="32"/>
          <w:szCs w:val="32"/>
          <w:highlight w:val="none"/>
          <w:u w:val="single"/>
        </w:rPr>
        <w:t>资金</w:t>
      </w:r>
      <w:r>
        <w:rPr>
          <w:rFonts w:hint="eastAsia" w:ascii="仿宋_GB2312" w:hAnsi="仿宋_GB2312" w:eastAsia="仿宋_GB2312" w:cs="仿宋_GB2312"/>
          <w:color w:val="auto"/>
          <w:kern w:val="0"/>
          <w:sz w:val="32"/>
          <w:szCs w:val="32"/>
          <w:highlight w:val="none"/>
          <w:u w:val="single"/>
        </w:rPr>
        <w:t>：100.00 %</w:t>
      </w:r>
      <w:r>
        <w:rPr>
          <w:rFonts w:hint="eastAsia" w:ascii="仿宋_GB2312" w:hAnsi="仿宋_GB2312" w:eastAsia="仿宋_GB2312" w:cs="仿宋_GB2312"/>
          <w:color w:val="auto"/>
          <w:kern w:val="0"/>
          <w:sz w:val="32"/>
          <w:szCs w:val="32"/>
          <w:highlight w:val="none"/>
        </w:rPr>
        <w:t>。项目已具备招标条件，现对该项目</w:t>
      </w:r>
      <w:r>
        <w:rPr>
          <w:rFonts w:hint="eastAsia" w:ascii="仿宋_GB2312" w:hAnsi="仿宋_GB2312" w:eastAsia="仿宋_GB2312" w:cs="仿宋_GB2312"/>
          <w:color w:val="auto"/>
          <w:kern w:val="0"/>
          <w:sz w:val="32"/>
          <w:szCs w:val="32"/>
          <w:highlight w:val="none"/>
          <w:u w:val="single"/>
          <w:lang w:eastAsia="zh-CN"/>
        </w:rPr>
        <w:t>滨江经济开发区新能源产业园污水管网建设项目</w:t>
      </w:r>
      <w:r>
        <w:rPr>
          <w:rFonts w:hint="eastAsia" w:ascii="仿宋_GB2312" w:hAnsi="仿宋_GB2312" w:eastAsia="仿宋_GB2312" w:cs="仿宋_GB2312"/>
          <w:color w:val="auto"/>
          <w:kern w:val="0"/>
          <w:sz w:val="32"/>
          <w:szCs w:val="32"/>
          <w:highlight w:val="none"/>
          <w:u w:val="single"/>
        </w:rPr>
        <w:t>施工</w:t>
      </w:r>
      <w:r>
        <w:rPr>
          <w:rFonts w:hint="eastAsia" w:ascii="仿宋_GB2312" w:hAnsi="仿宋_GB2312" w:eastAsia="仿宋_GB2312" w:cs="仿宋_GB2312"/>
          <w:color w:val="auto"/>
          <w:kern w:val="0"/>
          <w:sz w:val="32"/>
          <w:szCs w:val="32"/>
          <w:highlight w:val="none"/>
        </w:rPr>
        <w:t>进行</w:t>
      </w:r>
      <w:r>
        <w:rPr>
          <w:rFonts w:hint="eastAsia" w:ascii="仿宋_GB2312" w:hAnsi="仿宋_GB2312" w:eastAsia="仿宋_GB2312" w:cs="仿宋_GB2312"/>
          <w:color w:val="auto"/>
          <w:kern w:val="0"/>
          <w:sz w:val="32"/>
          <w:szCs w:val="32"/>
          <w:highlight w:val="none"/>
          <w:u w:val="single"/>
        </w:rPr>
        <w:t>公开</w:t>
      </w:r>
      <w:r>
        <w:rPr>
          <w:rFonts w:hint="eastAsia" w:ascii="仿宋_GB2312" w:hAnsi="仿宋_GB2312" w:eastAsia="仿宋_GB2312" w:cs="仿宋_GB2312"/>
          <w:color w:val="auto"/>
          <w:kern w:val="0"/>
          <w:sz w:val="32"/>
          <w:szCs w:val="32"/>
          <w:highlight w:val="none"/>
        </w:rPr>
        <w:t xml:space="preserve">招标，特邀请有兴趣的潜在投标人参加投标。 </w:t>
      </w:r>
    </w:p>
    <w:p w14:paraId="53AEB4A3">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二、项目概况与招标范围</w:t>
      </w:r>
    </w:p>
    <w:p w14:paraId="1E4F0780">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2.1项目概况</w:t>
      </w:r>
      <w:bookmarkStart w:id="3" w:name="_GoBack"/>
      <w:bookmarkEnd w:id="3"/>
    </w:p>
    <w:p w14:paraId="091FD3C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bCs/>
          <w:color w:val="auto"/>
          <w:sz w:val="32"/>
          <w:szCs w:val="32"/>
          <w:highlight w:val="none"/>
        </w:rPr>
        <w:t>2.1.1建设地点：</w:t>
      </w:r>
      <w:r>
        <w:rPr>
          <w:rFonts w:hint="eastAsia" w:ascii="仿宋_GB2312" w:hAnsi="仿宋_GB2312" w:eastAsia="仿宋_GB2312" w:cs="仿宋_GB2312"/>
          <w:color w:val="auto"/>
          <w:kern w:val="0"/>
          <w:sz w:val="32"/>
          <w:szCs w:val="32"/>
          <w:highlight w:val="none"/>
          <w:u w:val="none"/>
          <w:lang w:eastAsia="zh-CN"/>
        </w:rPr>
        <w:t>常州市新北区</w:t>
      </w:r>
      <w:r>
        <w:rPr>
          <w:rFonts w:hint="eastAsia" w:ascii="仿宋_GB2312" w:hAnsi="仿宋_GB2312" w:eastAsia="仿宋_GB2312" w:cs="仿宋_GB2312"/>
          <w:color w:val="auto"/>
          <w:kern w:val="0"/>
          <w:sz w:val="32"/>
          <w:szCs w:val="32"/>
          <w:highlight w:val="none"/>
          <w:u w:val="none"/>
        </w:rPr>
        <w:t>。</w:t>
      </w:r>
    </w:p>
    <w:p w14:paraId="5ADB9BF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Cs/>
          <w:color w:val="auto"/>
          <w:sz w:val="32"/>
          <w:szCs w:val="32"/>
          <w:highlight w:val="none"/>
          <w:u w:val="none"/>
        </w:rPr>
        <w:t>2.1.2建设规模：</w:t>
      </w:r>
      <w:r>
        <w:rPr>
          <w:rFonts w:hint="eastAsia" w:ascii="仿宋_GB2312" w:hAnsi="仿宋_GB2312" w:eastAsia="仿宋_GB2312" w:cs="仿宋_GB2312"/>
          <w:color w:val="auto"/>
          <w:sz w:val="32"/>
          <w:szCs w:val="32"/>
          <w:highlight w:val="none"/>
          <w:u w:val="none"/>
        </w:rPr>
        <w:t>本工程涉及比亚迪汽车有限公司污水管1根，江苏省德力聚新材料有限公司污水管1根，管径均为DN150；比亚迪汽车有限公司污水压力输送至常州民生环保科技有限公司，江苏省德力聚新材料有限公司污水压力输送至D地块泵站。本工程污水压力管主要沿现状管沟、桁架敷设、局部绿化带内采用支墩架设；过路、过厂区出入口采用套管埋地敷设；过黄</w:t>
      </w:r>
      <w:r>
        <w:rPr>
          <w:rFonts w:hint="eastAsia" w:ascii="仿宋_GB2312" w:hAnsi="仿宋_GB2312" w:eastAsia="仿宋_GB2312" w:cs="仿宋_GB2312"/>
          <w:color w:val="auto"/>
          <w:sz w:val="32"/>
          <w:szCs w:val="32"/>
          <w:highlight w:val="none"/>
          <w:u w:val="none"/>
          <w:lang w:val="en-US" w:eastAsia="zh-CN"/>
        </w:rPr>
        <w:t>海</w:t>
      </w:r>
      <w:r>
        <w:rPr>
          <w:rFonts w:hint="eastAsia" w:ascii="仿宋_GB2312" w:hAnsi="仿宋_GB2312" w:eastAsia="仿宋_GB2312" w:cs="仿宋_GB2312"/>
          <w:color w:val="auto"/>
          <w:sz w:val="32"/>
          <w:szCs w:val="32"/>
          <w:highlight w:val="none"/>
          <w:u w:val="none"/>
        </w:rPr>
        <w:t>路、丰收河牵引施工。</w:t>
      </w:r>
    </w:p>
    <w:p w14:paraId="3BF284A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u w:val="none"/>
          <w:lang w:eastAsia="zh-CN"/>
        </w:rPr>
      </w:pPr>
      <w:r>
        <w:rPr>
          <w:rFonts w:hint="eastAsia" w:ascii="仿宋_GB2312" w:hAnsi="仿宋_GB2312" w:eastAsia="仿宋_GB2312" w:cs="仿宋_GB2312"/>
          <w:bCs/>
          <w:color w:val="auto"/>
          <w:sz w:val="32"/>
          <w:szCs w:val="32"/>
          <w:highlight w:val="none"/>
          <w:u w:val="none"/>
        </w:rPr>
        <w:t>2.1.3本标段合同估算价：</w:t>
      </w:r>
      <w:r>
        <w:rPr>
          <w:rFonts w:hint="eastAsia" w:ascii="仿宋_GB2312" w:hAnsi="仿宋_GB2312" w:eastAsia="仿宋_GB2312" w:cs="仿宋_GB2312"/>
          <w:bCs/>
          <w:color w:val="auto"/>
          <w:sz w:val="32"/>
          <w:szCs w:val="32"/>
          <w:highlight w:val="none"/>
          <w:u w:val="none"/>
          <w:lang w:eastAsia="zh-CN"/>
        </w:rPr>
        <w:t>3569056.74元。</w:t>
      </w:r>
    </w:p>
    <w:p w14:paraId="4DF7607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u w:val="none"/>
          <w:lang w:eastAsia="zh-CN"/>
        </w:rPr>
      </w:pPr>
      <w:r>
        <w:rPr>
          <w:rFonts w:hint="eastAsia" w:ascii="仿宋_GB2312" w:hAnsi="仿宋_GB2312" w:eastAsia="仿宋_GB2312" w:cs="仿宋_GB2312"/>
          <w:bCs/>
          <w:color w:val="auto"/>
          <w:sz w:val="32"/>
          <w:szCs w:val="32"/>
          <w:highlight w:val="none"/>
          <w:u w:val="none"/>
        </w:rPr>
        <w:t>2.1.4工期要求：</w:t>
      </w:r>
      <w:r>
        <w:rPr>
          <w:rFonts w:hint="eastAsia" w:ascii="仿宋_GB2312" w:hAnsi="仿宋_GB2312" w:eastAsia="仿宋_GB2312" w:cs="仿宋_GB2312"/>
          <w:bCs/>
          <w:color w:val="auto"/>
          <w:sz w:val="32"/>
          <w:szCs w:val="32"/>
          <w:highlight w:val="none"/>
          <w:u w:val="none"/>
          <w:lang w:eastAsia="zh-CN"/>
        </w:rPr>
        <w:t>3</w:t>
      </w:r>
      <w:r>
        <w:rPr>
          <w:rFonts w:hint="eastAsia" w:ascii="仿宋_GB2312" w:hAnsi="仿宋_GB2312" w:eastAsia="仿宋_GB2312" w:cs="仿宋_GB2312"/>
          <w:bCs/>
          <w:color w:val="auto"/>
          <w:sz w:val="32"/>
          <w:szCs w:val="32"/>
          <w:highlight w:val="none"/>
          <w:u w:val="none"/>
          <w:lang w:val="en-US" w:eastAsia="zh-CN"/>
        </w:rPr>
        <w:t>5</w:t>
      </w:r>
      <w:r>
        <w:rPr>
          <w:rFonts w:hint="eastAsia" w:ascii="仿宋_GB2312" w:hAnsi="仿宋_GB2312" w:eastAsia="仿宋_GB2312" w:cs="仿宋_GB2312"/>
          <w:bCs/>
          <w:color w:val="auto"/>
          <w:sz w:val="32"/>
          <w:szCs w:val="32"/>
          <w:highlight w:val="none"/>
          <w:u w:val="none"/>
          <w:lang w:eastAsia="zh-CN"/>
        </w:rPr>
        <w:t>日历天</w:t>
      </w:r>
      <w:r>
        <w:rPr>
          <w:rFonts w:hint="eastAsia" w:ascii="仿宋_GB2312" w:hAnsi="仿宋_GB2312" w:eastAsia="仿宋_GB2312" w:cs="仿宋_GB2312"/>
          <w:bCs/>
          <w:color w:val="auto"/>
          <w:sz w:val="32"/>
          <w:szCs w:val="32"/>
          <w:highlight w:val="none"/>
          <w:u w:val="none"/>
        </w:rPr>
        <w:t>，计划开工日期：</w:t>
      </w:r>
      <w:r>
        <w:rPr>
          <w:rFonts w:hint="eastAsia" w:ascii="仿宋_GB2312" w:hAnsi="仿宋_GB2312" w:eastAsia="仿宋_GB2312" w:cs="仿宋_GB2312"/>
          <w:bCs/>
          <w:color w:val="auto"/>
          <w:sz w:val="32"/>
          <w:szCs w:val="32"/>
          <w:highlight w:val="none"/>
          <w:u w:val="none"/>
          <w:lang w:eastAsia="zh-CN"/>
        </w:rPr>
        <w:t>2025年</w:t>
      </w:r>
      <w:r>
        <w:rPr>
          <w:rFonts w:hint="eastAsia" w:ascii="仿宋_GB2312" w:hAnsi="仿宋_GB2312" w:eastAsia="仿宋_GB2312" w:cs="仿宋_GB2312"/>
          <w:bCs/>
          <w:color w:val="auto"/>
          <w:sz w:val="32"/>
          <w:szCs w:val="32"/>
          <w:highlight w:val="none"/>
          <w:u w:val="none"/>
          <w:lang w:val="en-US" w:eastAsia="zh-CN"/>
        </w:rPr>
        <w:t>2</w:t>
      </w:r>
      <w:r>
        <w:rPr>
          <w:rFonts w:hint="eastAsia" w:ascii="仿宋_GB2312" w:hAnsi="仿宋_GB2312" w:eastAsia="仿宋_GB2312" w:cs="仿宋_GB2312"/>
          <w:bCs/>
          <w:color w:val="auto"/>
          <w:sz w:val="32"/>
          <w:szCs w:val="32"/>
          <w:highlight w:val="none"/>
          <w:u w:val="none"/>
          <w:lang w:eastAsia="zh-CN"/>
        </w:rPr>
        <w:t>月</w:t>
      </w:r>
      <w:r>
        <w:rPr>
          <w:rFonts w:hint="eastAsia" w:ascii="仿宋_GB2312" w:hAnsi="仿宋_GB2312" w:eastAsia="仿宋_GB2312" w:cs="仿宋_GB2312"/>
          <w:bCs/>
          <w:color w:val="auto"/>
          <w:sz w:val="32"/>
          <w:szCs w:val="32"/>
          <w:highlight w:val="none"/>
          <w:u w:val="none"/>
          <w:lang w:val="en-US" w:eastAsia="zh-CN"/>
        </w:rPr>
        <w:t>28</w:t>
      </w:r>
      <w:r>
        <w:rPr>
          <w:rFonts w:hint="eastAsia" w:ascii="仿宋_GB2312" w:hAnsi="仿宋_GB2312" w:eastAsia="仿宋_GB2312" w:cs="仿宋_GB2312"/>
          <w:bCs/>
          <w:color w:val="auto"/>
          <w:sz w:val="32"/>
          <w:szCs w:val="32"/>
          <w:highlight w:val="none"/>
          <w:u w:val="none"/>
          <w:lang w:eastAsia="zh-CN"/>
        </w:rPr>
        <w:t>日</w:t>
      </w:r>
    </w:p>
    <w:p w14:paraId="745B5482">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rPr>
        <w:t>2.2招标范围：图纸及</w:t>
      </w:r>
      <w:r>
        <w:rPr>
          <w:rFonts w:hint="eastAsia" w:ascii="仿宋_GB2312" w:hAnsi="仿宋_GB2312" w:eastAsia="仿宋_GB2312" w:cs="仿宋_GB2312"/>
          <w:color w:val="auto"/>
          <w:sz w:val="32"/>
          <w:szCs w:val="32"/>
          <w:highlight w:val="none"/>
          <w:u w:val="none"/>
        </w:rPr>
        <w:t>工程量清单（含编制说明）范围内全部工程</w:t>
      </w:r>
      <w:r>
        <w:rPr>
          <w:rFonts w:hint="eastAsia" w:ascii="仿宋_GB2312" w:hAnsi="仿宋_GB2312" w:eastAsia="仿宋_GB2312" w:cs="仿宋_GB2312"/>
          <w:bCs/>
          <w:color w:val="auto"/>
          <w:sz w:val="32"/>
          <w:szCs w:val="32"/>
          <w:highlight w:val="none"/>
          <w:u w:val="none"/>
        </w:rPr>
        <w:t>。</w:t>
      </w:r>
    </w:p>
    <w:p w14:paraId="462BDAE8">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三、投标人资格条件</w:t>
      </w:r>
    </w:p>
    <w:p w14:paraId="240D97A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3.1投标人须具备</w:t>
      </w: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u w:val="single"/>
          <w:lang w:eastAsia="zh-CN"/>
        </w:rPr>
        <w:t>市政公用工程施工总承包三级及以上</w:t>
      </w:r>
      <w:r>
        <w:rPr>
          <w:rFonts w:hint="eastAsia" w:ascii="仿宋_GB2312" w:hAnsi="仿宋_GB2312" w:eastAsia="仿宋_GB2312" w:cs="仿宋_GB2312"/>
          <w:color w:val="auto"/>
          <w:kern w:val="0"/>
          <w:sz w:val="32"/>
          <w:szCs w:val="32"/>
          <w:highlight w:val="none"/>
          <w:u w:val="single"/>
        </w:rPr>
        <w:t>（资质）</w:t>
      </w:r>
      <w:r>
        <w:rPr>
          <w:rFonts w:hint="eastAsia" w:ascii="仿宋_GB2312" w:hAnsi="仿宋_GB2312" w:eastAsia="仿宋_GB2312" w:cs="仿宋_GB2312"/>
          <w:color w:val="auto"/>
          <w:kern w:val="0"/>
          <w:sz w:val="32"/>
          <w:szCs w:val="32"/>
          <w:highlight w:val="none"/>
          <w:u w:val="single"/>
          <w:lang w:eastAsia="zh-CN"/>
        </w:rPr>
        <w:t>，</w:t>
      </w:r>
      <w:r>
        <w:rPr>
          <w:rFonts w:hint="eastAsia" w:ascii="仿宋_GB2312" w:hAnsi="仿宋_GB2312" w:eastAsia="仿宋_GB2312" w:cs="仿宋_GB2312"/>
          <w:color w:val="auto"/>
          <w:kern w:val="0"/>
          <w:sz w:val="32"/>
          <w:szCs w:val="32"/>
          <w:highlight w:val="none"/>
        </w:rPr>
        <w:t>并在人员、设备、资金等方面具有相应的施工能力。</w:t>
      </w:r>
    </w:p>
    <w:p w14:paraId="3AC8E2E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3.2投标人拟派项目负责人须具备</w:t>
      </w:r>
      <w:r>
        <w:rPr>
          <w:rFonts w:hint="eastAsia" w:ascii="仿宋_GB2312" w:hAnsi="仿宋_GB2312" w:eastAsia="仿宋_GB2312" w:cs="仿宋_GB2312"/>
          <w:b/>
          <w:bCs/>
          <w:color w:val="auto"/>
          <w:kern w:val="0"/>
          <w:sz w:val="32"/>
          <w:szCs w:val="32"/>
          <w:highlight w:val="none"/>
          <w:u w:val="single"/>
          <w:lang w:eastAsia="zh-CN"/>
        </w:rPr>
        <w:t>市政公用工程二级及以上注册建造师</w:t>
      </w:r>
      <w:r>
        <w:rPr>
          <w:rFonts w:hint="eastAsia" w:ascii="仿宋_GB2312" w:hAnsi="仿宋_GB2312" w:eastAsia="仿宋_GB2312" w:cs="仿宋_GB2312"/>
          <w:color w:val="auto"/>
          <w:kern w:val="0"/>
          <w:sz w:val="32"/>
          <w:szCs w:val="32"/>
          <w:highlight w:val="none"/>
        </w:rPr>
        <w:t>（资格）。</w:t>
      </w:r>
    </w:p>
    <w:p w14:paraId="2148833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本次招标</w:t>
      </w:r>
      <w:r>
        <w:rPr>
          <w:rFonts w:hint="eastAsia" w:ascii="仿宋_GB2312" w:hAnsi="仿宋_GB2312" w:eastAsia="仿宋_GB2312" w:cs="仿宋_GB2312"/>
          <w:color w:val="auto"/>
          <w:kern w:val="0"/>
          <w:sz w:val="32"/>
          <w:szCs w:val="32"/>
          <w:highlight w:val="none"/>
          <w:u w:val="single"/>
          <w:lang w:val="en-US" w:eastAsia="zh-CN"/>
        </w:rPr>
        <w:t>不</w:t>
      </w:r>
      <w:r>
        <w:rPr>
          <w:rFonts w:hint="eastAsia" w:ascii="仿宋_GB2312" w:hAnsi="仿宋_GB2312" w:eastAsia="仿宋_GB2312" w:cs="仿宋_GB2312"/>
          <w:color w:val="auto"/>
          <w:kern w:val="0"/>
          <w:sz w:val="32"/>
          <w:szCs w:val="32"/>
          <w:highlight w:val="none"/>
          <w:u w:val="single"/>
        </w:rPr>
        <w:t>接受</w:t>
      </w:r>
      <w:r>
        <w:rPr>
          <w:rFonts w:hint="eastAsia" w:ascii="仿宋_GB2312" w:hAnsi="仿宋_GB2312" w:eastAsia="仿宋_GB2312" w:cs="仿宋_GB2312"/>
          <w:color w:val="auto"/>
          <w:kern w:val="0"/>
          <w:sz w:val="32"/>
          <w:szCs w:val="32"/>
          <w:highlight w:val="none"/>
        </w:rPr>
        <w:t>（接受/不接受）联合体投标。</w:t>
      </w:r>
    </w:p>
    <w:p w14:paraId="1553924B">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四、招标文件的获取</w:t>
      </w:r>
    </w:p>
    <w:p w14:paraId="6B72269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4.1招标文件获取时间为：</w:t>
      </w:r>
      <w:r>
        <w:rPr>
          <w:rFonts w:hint="eastAsia" w:ascii="仿宋_GB2312" w:hAnsi="仿宋_GB2312" w:eastAsia="仿宋_GB2312" w:cs="仿宋_GB2312"/>
          <w:color w:val="auto"/>
          <w:kern w:val="0"/>
          <w:sz w:val="32"/>
          <w:szCs w:val="32"/>
          <w:highlight w:val="none"/>
          <w:lang w:eastAsia="zh-CN"/>
        </w:rPr>
        <w:t>2025年2月14日至2025年2月19日17：00</w:t>
      </w:r>
      <w:r>
        <w:rPr>
          <w:rFonts w:hint="eastAsia" w:ascii="仿宋_GB2312" w:hAnsi="仿宋_GB2312" w:eastAsia="仿宋_GB2312" w:cs="仿宋_GB2312"/>
          <w:color w:val="auto"/>
          <w:kern w:val="0"/>
          <w:sz w:val="32"/>
          <w:szCs w:val="32"/>
          <w:highlight w:val="none"/>
        </w:rPr>
        <w:t>；</w:t>
      </w:r>
    </w:p>
    <w:p w14:paraId="284E9E51">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4.2招标文件获取方式：</w:t>
      </w:r>
    </w:p>
    <w:p w14:paraId="54D9B750">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投标人首先应注册成为E交易平台网站会员，详见会员操作指南。</w:t>
      </w:r>
    </w:p>
    <w:p w14:paraId="7FD4216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投标人按系统提示交纳相关费用后在规定的报名时间内下载招标文件。</w:t>
      </w:r>
    </w:p>
    <w:p w14:paraId="5A1EE3B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相关费用：</w:t>
      </w:r>
    </w:p>
    <w:p w14:paraId="20DD535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招标文件资料费：人民币300元整。</w:t>
      </w:r>
    </w:p>
    <w:p w14:paraId="11B19CB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招标文件资料费发票由代理机构开具；开票方式：开标后10日内至江苏中和信工程咨询有限公司</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常州市天宁区晋陵北路1号新天地商业广场A座16楼财务室</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开取发票。开票联系方式0519-88169102</w:t>
      </w:r>
      <w:r>
        <w:rPr>
          <w:rFonts w:hint="eastAsia" w:ascii="仿宋_GB2312" w:hAnsi="仿宋_GB2312" w:eastAsia="仿宋_GB2312" w:cs="仿宋_GB2312"/>
          <w:color w:val="auto"/>
          <w:kern w:val="0"/>
          <w:sz w:val="32"/>
          <w:szCs w:val="32"/>
          <w:highlight w:val="none"/>
          <w:lang w:eastAsia="zh-CN"/>
        </w:rPr>
        <w:t>。</w:t>
      </w:r>
    </w:p>
    <w:p w14:paraId="757E22D4">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平台服务费：由中标人按E交易系统提示操作。平台服务费收款单位：江苏易交易信息科技有限公司，发票由江苏易交易信息科技有限公司开具。</w:t>
      </w:r>
    </w:p>
    <w:p w14:paraId="462CED52">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w:t>
      </w:r>
    </w:p>
    <w:p w14:paraId="072FFC3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下载者首次</w:t>
      </w:r>
      <w:r>
        <w:rPr>
          <w:rFonts w:hint="eastAsia" w:ascii="仿宋_GB2312" w:hAnsi="仿宋_GB2312" w:eastAsia="仿宋_GB2312" w:cs="仿宋_GB2312"/>
          <w:color w:val="auto"/>
          <w:kern w:val="0"/>
          <w:sz w:val="32"/>
          <w:szCs w:val="32"/>
          <w:highlight w:val="none"/>
          <w:lang w:val="en-US" w:eastAsia="zh-CN"/>
        </w:rPr>
        <w:t>登录</w:t>
      </w:r>
      <w:r>
        <w:rPr>
          <w:rFonts w:hint="eastAsia" w:ascii="仿宋_GB2312" w:hAnsi="仿宋_GB2312" w:eastAsia="仿宋_GB2312" w:cs="仿宋_GB2312"/>
          <w:color w:val="auto"/>
          <w:kern w:val="0"/>
          <w:sz w:val="32"/>
          <w:szCs w:val="32"/>
          <w:highlight w:val="none"/>
        </w:rPr>
        <w:t>平台前，须前往平台免费注册，注册成功且完善相关信息后，可以及时参与平台上所有发布的项目；</w:t>
      </w:r>
    </w:p>
    <w:p w14:paraId="5AACB43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平台网站首页“帮助中心”提供操作手册，下载者可以下载并根据操作手册提示进行注册、登录等操作。平台咨询电话为：400-828-9082。平台会通过短信提醒下载者进行注册、支付、下载等操作；</w:t>
      </w:r>
    </w:p>
    <w:p w14:paraId="7A224403">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非因代理机构或平台原因，发票一经开具不予退换。</w:t>
      </w:r>
    </w:p>
    <w:p w14:paraId="754492BD">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五、投标截止时间</w:t>
      </w:r>
    </w:p>
    <w:p w14:paraId="68C155AB">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5.1投标截止时间为：</w:t>
      </w:r>
      <w:r>
        <w:rPr>
          <w:rFonts w:hint="eastAsia" w:ascii="仿宋_GB2312" w:hAnsi="仿宋_GB2312" w:eastAsia="仿宋_GB2312" w:cs="仿宋_GB2312"/>
          <w:bCs/>
          <w:color w:val="auto"/>
          <w:kern w:val="0"/>
          <w:sz w:val="32"/>
          <w:szCs w:val="32"/>
          <w:highlight w:val="none"/>
          <w:u w:val="single"/>
          <w:lang w:eastAsia="zh-CN"/>
        </w:rPr>
        <w:t>2025年2月24日14时00分（北京时间）</w:t>
      </w:r>
      <w:r>
        <w:rPr>
          <w:rFonts w:hint="eastAsia" w:ascii="仿宋_GB2312" w:hAnsi="仿宋_GB2312" w:eastAsia="仿宋_GB2312" w:cs="仿宋_GB2312"/>
          <w:bCs/>
          <w:color w:val="auto"/>
          <w:kern w:val="0"/>
          <w:sz w:val="32"/>
          <w:szCs w:val="32"/>
          <w:highlight w:val="none"/>
        </w:rPr>
        <w:t>。</w:t>
      </w:r>
    </w:p>
    <w:p w14:paraId="12386A13">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5.2地点：</w:t>
      </w:r>
      <w:r>
        <w:rPr>
          <w:rFonts w:hint="eastAsia" w:ascii="仿宋_GB2312" w:hAnsi="仿宋_GB2312" w:eastAsia="仿宋_GB2312" w:cs="仿宋_GB2312"/>
          <w:bCs/>
          <w:color w:val="auto"/>
          <w:kern w:val="0"/>
          <w:sz w:val="32"/>
          <w:szCs w:val="32"/>
          <w:highlight w:val="none"/>
          <w:lang w:eastAsia="zh-CN"/>
        </w:rPr>
        <w:t>常州市天宁区晋陵北路1号新天地商业广场A座16楼会议室</w:t>
      </w:r>
      <w:r>
        <w:rPr>
          <w:rFonts w:hint="eastAsia" w:ascii="仿宋_GB2312" w:hAnsi="仿宋_GB2312" w:eastAsia="仿宋_GB2312" w:cs="仿宋_GB2312"/>
          <w:bCs/>
          <w:color w:val="auto"/>
          <w:kern w:val="0"/>
          <w:sz w:val="32"/>
          <w:szCs w:val="32"/>
          <w:highlight w:val="none"/>
        </w:rPr>
        <w:t xml:space="preserve">。 </w:t>
      </w:r>
    </w:p>
    <w:p w14:paraId="07BAA67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
          <w:bCs/>
          <w:color w:val="auto"/>
          <w:sz w:val="32"/>
          <w:szCs w:val="32"/>
          <w:highlight w:val="none"/>
        </w:rPr>
      </w:pPr>
      <w:r>
        <w:rPr>
          <w:rFonts w:hint="eastAsia" w:ascii="黑体" w:hAnsi="宋体" w:eastAsia="黑体" w:cs="黑体"/>
          <w:bCs/>
          <w:color w:val="auto"/>
          <w:sz w:val="32"/>
          <w:szCs w:val="32"/>
          <w:highlight w:val="none"/>
          <w:lang w:bidi="ar"/>
        </w:rPr>
        <w:t>六、资格审查</w:t>
      </w:r>
      <w:r>
        <w:rPr>
          <w:rFonts w:hint="eastAsia" w:ascii="仿宋_GB2312" w:hAnsi="仿宋_GB2312" w:eastAsia="仿宋_GB2312" w:cs="仿宋_GB2312"/>
          <w:b/>
          <w:bCs/>
          <w:color w:val="auto"/>
          <w:sz w:val="32"/>
          <w:szCs w:val="32"/>
          <w:highlight w:val="none"/>
        </w:rPr>
        <w:t xml:space="preserve"> </w:t>
      </w:r>
    </w:p>
    <w:p w14:paraId="0A38234B">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本次招标采用</w:t>
      </w:r>
      <w:r>
        <w:rPr>
          <w:rFonts w:hint="eastAsia" w:ascii="仿宋_GB2312" w:hAnsi="仿宋_GB2312" w:eastAsia="仿宋_GB2312" w:cs="仿宋_GB2312"/>
          <w:b/>
          <w:color w:val="auto"/>
          <w:kern w:val="0"/>
          <w:sz w:val="32"/>
          <w:szCs w:val="32"/>
          <w:highlight w:val="none"/>
          <w:u w:val="single"/>
        </w:rPr>
        <w:t>资格后审（</w:t>
      </w:r>
      <w:r>
        <w:rPr>
          <w:rFonts w:hint="eastAsia" w:ascii="仿宋_GB2312" w:hAnsi="仿宋_GB2312" w:eastAsia="仿宋_GB2312" w:cs="仿宋_GB2312"/>
          <w:b/>
          <w:color w:val="auto"/>
          <w:kern w:val="0"/>
          <w:sz w:val="32"/>
          <w:szCs w:val="32"/>
          <w:highlight w:val="none"/>
          <w:u w:val="single"/>
          <w:lang w:eastAsia="zh-CN"/>
        </w:rPr>
        <w:t>见面开标</w:t>
      </w:r>
      <w:r>
        <w:rPr>
          <w:rFonts w:hint="eastAsia" w:ascii="仿宋_GB2312" w:hAnsi="仿宋_GB2312" w:eastAsia="仿宋_GB2312" w:cs="仿宋_GB2312"/>
          <w:b/>
          <w:color w:val="auto"/>
          <w:kern w:val="0"/>
          <w:sz w:val="32"/>
          <w:szCs w:val="32"/>
          <w:highlight w:val="none"/>
          <w:u w:val="single"/>
        </w:rPr>
        <w:t>）</w:t>
      </w:r>
      <w:r>
        <w:rPr>
          <w:rFonts w:hint="eastAsia" w:ascii="仿宋_GB2312" w:hAnsi="仿宋_GB2312" w:eastAsia="仿宋_GB2312" w:cs="仿宋_GB2312"/>
          <w:bCs/>
          <w:color w:val="auto"/>
          <w:kern w:val="0"/>
          <w:sz w:val="32"/>
          <w:szCs w:val="32"/>
          <w:highlight w:val="none"/>
        </w:rPr>
        <w:t>方式进行资格审查，资格评审标准详见本招标公告附件一资格审查办法。</w:t>
      </w:r>
    </w:p>
    <w:p w14:paraId="564E2DD6">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七、评标办法</w:t>
      </w:r>
    </w:p>
    <w:p w14:paraId="2405A9C2">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本次招标采用</w:t>
      </w:r>
      <w:r>
        <w:rPr>
          <w:rFonts w:hint="eastAsia" w:ascii="仿宋_GB2312" w:hAnsi="仿宋_GB2312" w:eastAsia="仿宋_GB2312" w:cs="仿宋_GB2312"/>
          <w:color w:val="auto"/>
          <w:sz w:val="32"/>
          <w:szCs w:val="32"/>
          <w:highlight w:val="none"/>
          <w:u w:val="single"/>
        </w:rPr>
        <w:t xml:space="preserve">  □综合评估法    </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rPr>
        <w:t xml:space="preserve">合理低价法  </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lang w:val="en-US" w:eastAsia="zh-CN"/>
        </w:rPr>
        <w:t>经评审的最低投标价法</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bCs/>
          <w:color w:val="auto"/>
          <w:kern w:val="0"/>
          <w:sz w:val="32"/>
          <w:szCs w:val="32"/>
          <w:highlight w:val="none"/>
        </w:rPr>
        <w:t xml:space="preserve">评标标准和方法详见本招标公告附件二。 </w:t>
      </w:r>
    </w:p>
    <w:p w14:paraId="5D4AF001">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八、发布公告的媒介</w:t>
      </w:r>
    </w:p>
    <w:p w14:paraId="42EF3D17">
      <w:pPr>
        <w:keepNext w:val="0"/>
        <w:keepLines w:val="0"/>
        <w:pageBreakBefore w:val="0"/>
        <w:widowControl w:val="0"/>
        <w:kinsoku/>
        <w:wordWrap/>
        <w:overflowPunct/>
        <w:topLinePunct w:val="0"/>
        <w:autoSpaceDE w:val="0"/>
        <w:autoSpaceDN/>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本次招标公告同时在常州高新区管委会</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新北区人民政府</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网站、E交易平台网站、江苏中和信工程咨询有限公司网上发布。</w:t>
      </w:r>
    </w:p>
    <w:p w14:paraId="24EC6271">
      <w:pPr>
        <w:keepNext w:val="0"/>
        <w:keepLines w:val="0"/>
        <w:pageBreakBefore w:val="0"/>
        <w:kinsoku/>
        <w:wordWrap/>
        <w:overflowPunct/>
        <w:topLinePunct w:val="0"/>
        <w:bidi w:val="0"/>
        <w:spacing w:line="560" w:lineRule="exact"/>
        <w:ind w:left="0" w:leftChars="0" w:right="0" w:rightChars="0" w:firstLine="640" w:firstLineChars="200"/>
        <w:rPr>
          <w:rFonts w:ascii="宋体" w:hAnsi="宋体" w:cs="宋体"/>
          <w:color w:val="auto"/>
          <w:kern w:val="0"/>
          <w:sz w:val="24"/>
          <w:highlight w:val="none"/>
        </w:rPr>
      </w:pPr>
      <w:r>
        <w:rPr>
          <w:rFonts w:hint="eastAsia" w:ascii="黑体" w:hAnsi="宋体" w:eastAsia="黑体" w:cs="黑体"/>
          <w:bCs/>
          <w:color w:val="auto"/>
          <w:sz w:val="32"/>
          <w:szCs w:val="32"/>
          <w:highlight w:val="none"/>
          <w:lang w:bidi="ar"/>
        </w:rPr>
        <w:t xml:space="preserve">九、联系方式 </w:t>
      </w:r>
      <w:r>
        <w:rPr>
          <w:rFonts w:hint="eastAsia" w:ascii="宋体" w:hAnsi="宋体" w:cs="宋体"/>
          <w:color w:val="auto"/>
          <w:kern w:val="0"/>
          <w:sz w:val="24"/>
          <w:highlight w:val="none"/>
        </w:rPr>
        <w:t xml:space="preserve">                      </w:t>
      </w:r>
    </w:p>
    <w:tbl>
      <w:tblPr>
        <w:tblStyle w:val="10"/>
        <w:tblW w:w="10031" w:type="dxa"/>
        <w:tblInd w:w="0" w:type="dxa"/>
        <w:tblLayout w:type="autofit"/>
        <w:tblCellMar>
          <w:top w:w="0" w:type="dxa"/>
          <w:left w:w="108" w:type="dxa"/>
          <w:bottom w:w="0" w:type="dxa"/>
          <w:right w:w="108" w:type="dxa"/>
        </w:tblCellMar>
      </w:tblPr>
      <w:tblGrid>
        <w:gridCol w:w="4558"/>
        <w:gridCol w:w="5473"/>
      </w:tblGrid>
      <w:tr w14:paraId="286D51F0">
        <w:tblPrEx>
          <w:tblCellMar>
            <w:top w:w="0" w:type="dxa"/>
            <w:left w:w="108" w:type="dxa"/>
            <w:bottom w:w="0" w:type="dxa"/>
            <w:right w:w="108" w:type="dxa"/>
          </w:tblCellMar>
        </w:tblPrEx>
        <w:trPr>
          <w:trHeight w:val="454" w:hRule="atLeast"/>
        </w:trPr>
        <w:tc>
          <w:tcPr>
            <w:tcW w:w="4558" w:type="dxa"/>
            <w:noWrap w:val="0"/>
            <w:vAlign w:val="top"/>
          </w:tcPr>
          <w:p w14:paraId="7FB8A1B2">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招标人：</w:t>
            </w:r>
            <w:r>
              <w:rPr>
                <w:rFonts w:hint="eastAsia" w:ascii="仿宋_GB2312" w:hAnsi="仿宋_GB2312" w:eastAsia="仿宋_GB2312" w:cs="仿宋_GB2312"/>
                <w:bCs/>
                <w:color w:val="auto"/>
                <w:sz w:val="32"/>
                <w:szCs w:val="32"/>
                <w:highlight w:val="none"/>
                <w:lang w:eastAsia="zh-CN" w:bidi="ar"/>
              </w:rPr>
              <w:t>江苏常州滨江经济开发区管理委员会</w:t>
            </w:r>
          </w:p>
        </w:tc>
        <w:tc>
          <w:tcPr>
            <w:tcW w:w="5473" w:type="dxa"/>
            <w:noWrap w:val="0"/>
            <w:vAlign w:val="top"/>
          </w:tcPr>
          <w:p w14:paraId="2C805F66">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招标代理机构：</w:t>
            </w:r>
            <w:r>
              <w:rPr>
                <w:rFonts w:hint="eastAsia" w:ascii="仿宋_GB2312" w:hAnsi="仿宋_GB2312" w:eastAsia="仿宋_GB2312" w:cs="仿宋_GB2312"/>
                <w:bCs/>
                <w:color w:val="auto"/>
                <w:sz w:val="32"/>
                <w:szCs w:val="32"/>
                <w:highlight w:val="none"/>
                <w:lang w:eastAsia="zh-CN" w:bidi="ar"/>
              </w:rPr>
              <w:t>江苏中和信工程咨询有限公司</w:t>
            </w:r>
          </w:p>
        </w:tc>
      </w:tr>
      <w:tr w14:paraId="2CA2EADD">
        <w:tblPrEx>
          <w:tblCellMar>
            <w:top w:w="0" w:type="dxa"/>
            <w:left w:w="108" w:type="dxa"/>
            <w:bottom w:w="0" w:type="dxa"/>
            <w:right w:w="108" w:type="dxa"/>
          </w:tblCellMar>
        </w:tblPrEx>
        <w:trPr>
          <w:trHeight w:val="454" w:hRule="atLeast"/>
        </w:trPr>
        <w:tc>
          <w:tcPr>
            <w:tcW w:w="4558" w:type="dxa"/>
            <w:noWrap w:val="0"/>
            <w:vAlign w:val="top"/>
          </w:tcPr>
          <w:p w14:paraId="3D3658EF">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地址：</w:t>
            </w:r>
            <w:r>
              <w:rPr>
                <w:rFonts w:hint="eastAsia" w:ascii="仿宋_GB2312" w:hAnsi="仿宋_GB2312" w:eastAsia="仿宋_GB2312" w:cs="仿宋_GB2312"/>
                <w:bCs/>
                <w:color w:val="auto"/>
                <w:sz w:val="32"/>
                <w:szCs w:val="32"/>
                <w:highlight w:val="none"/>
                <w:lang w:eastAsia="zh-CN" w:bidi="ar"/>
              </w:rPr>
              <w:t>常州市新北区东海路202号</w:t>
            </w:r>
          </w:p>
        </w:tc>
        <w:tc>
          <w:tcPr>
            <w:tcW w:w="5473" w:type="dxa"/>
            <w:noWrap w:val="0"/>
            <w:vAlign w:val="top"/>
          </w:tcPr>
          <w:p w14:paraId="519885DF">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地址：</w:t>
            </w:r>
            <w:r>
              <w:rPr>
                <w:rFonts w:hint="eastAsia" w:ascii="仿宋_GB2312" w:hAnsi="仿宋_GB2312" w:eastAsia="仿宋_GB2312" w:cs="仿宋_GB2312"/>
                <w:bCs/>
                <w:color w:val="auto"/>
                <w:sz w:val="32"/>
                <w:szCs w:val="32"/>
                <w:highlight w:val="none"/>
                <w:lang w:eastAsia="zh-CN" w:bidi="ar"/>
              </w:rPr>
              <w:t>江苏省常州市晋陵北路1号新天地商业广场A座16楼</w:t>
            </w:r>
          </w:p>
        </w:tc>
      </w:tr>
      <w:tr w14:paraId="4C431DAB">
        <w:tblPrEx>
          <w:tblCellMar>
            <w:top w:w="0" w:type="dxa"/>
            <w:left w:w="108" w:type="dxa"/>
            <w:bottom w:w="0" w:type="dxa"/>
            <w:right w:w="108" w:type="dxa"/>
          </w:tblCellMar>
        </w:tblPrEx>
        <w:trPr>
          <w:trHeight w:val="467" w:hRule="atLeast"/>
        </w:trPr>
        <w:tc>
          <w:tcPr>
            <w:tcW w:w="4558" w:type="dxa"/>
            <w:noWrap w:val="0"/>
            <w:vAlign w:val="top"/>
          </w:tcPr>
          <w:p w14:paraId="716113D1">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联系人：</w:t>
            </w:r>
            <w:r>
              <w:rPr>
                <w:rFonts w:hint="eastAsia" w:ascii="仿宋_GB2312" w:hAnsi="仿宋_GB2312" w:eastAsia="仿宋_GB2312" w:cs="仿宋_GB2312"/>
                <w:bCs/>
                <w:color w:val="auto"/>
                <w:sz w:val="32"/>
                <w:szCs w:val="32"/>
                <w:highlight w:val="none"/>
                <w:lang w:eastAsia="zh-CN" w:bidi="ar"/>
              </w:rPr>
              <w:t>顾女士</w:t>
            </w:r>
          </w:p>
        </w:tc>
        <w:tc>
          <w:tcPr>
            <w:tcW w:w="5473" w:type="dxa"/>
            <w:noWrap w:val="0"/>
            <w:vAlign w:val="top"/>
          </w:tcPr>
          <w:p w14:paraId="3ABC14E6">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联系人：</w:t>
            </w:r>
            <w:r>
              <w:rPr>
                <w:rFonts w:hint="eastAsia" w:ascii="仿宋_GB2312" w:hAnsi="仿宋_GB2312" w:eastAsia="仿宋_GB2312" w:cs="仿宋_GB2312"/>
                <w:bCs/>
                <w:color w:val="auto"/>
                <w:sz w:val="32"/>
                <w:szCs w:val="32"/>
                <w:highlight w:val="none"/>
                <w:lang w:eastAsia="zh-CN" w:bidi="ar"/>
              </w:rPr>
              <w:t>兰先生</w:t>
            </w:r>
          </w:p>
        </w:tc>
      </w:tr>
      <w:tr w14:paraId="446F4779">
        <w:tblPrEx>
          <w:tblCellMar>
            <w:top w:w="0" w:type="dxa"/>
            <w:left w:w="108" w:type="dxa"/>
            <w:bottom w:w="0" w:type="dxa"/>
            <w:right w:w="108" w:type="dxa"/>
          </w:tblCellMar>
        </w:tblPrEx>
        <w:trPr>
          <w:trHeight w:val="454" w:hRule="atLeast"/>
        </w:trPr>
        <w:tc>
          <w:tcPr>
            <w:tcW w:w="4558" w:type="dxa"/>
            <w:noWrap w:val="0"/>
            <w:vAlign w:val="top"/>
          </w:tcPr>
          <w:p w14:paraId="1D7D5B40">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电话：</w:t>
            </w:r>
            <w:r>
              <w:rPr>
                <w:rFonts w:hint="eastAsia" w:ascii="仿宋_GB2312" w:hAnsi="仿宋_GB2312" w:eastAsia="仿宋_GB2312" w:cs="仿宋_GB2312"/>
                <w:bCs/>
                <w:color w:val="auto"/>
                <w:sz w:val="32"/>
                <w:szCs w:val="32"/>
                <w:highlight w:val="none"/>
                <w:lang w:eastAsia="zh-CN" w:bidi="ar"/>
              </w:rPr>
              <w:t>0519-85582503</w:t>
            </w:r>
          </w:p>
        </w:tc>
        <w:tc>
          <w:tcPr>
            <w:tcW w:w="5473" w:type="dxa"/>
            <w:noWrap w:val="0"/>
            <w:vAlign w:val="top"/>
          </w:tcPr>
          <w:p w14:paraId="525FE5A2">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电话：</w:t>
            </w:r>
            <w:r>
              <w:rPr>
                <w:rFonts w:hint="eastAsia" w:ascii="仿宋_GB2312" w:hAnsi="仿宋_GB2312" w:eastAsia="仿宋_GB2312" w:cs="仿宋_GB2312"/>
                <w:bCs/>
                <w:color w:val="auto"/>
                <w:sz w:val="32"/>
                <w:szCs w:val="32"/>
                <w:highlight w:val="none"/>
                <w:lang w:eastAsia="zh-CN" w:bidi="ar"/>
              </w:rPr>
              <w:t>0519-88169102</w:t>
            </w:r>
          </w:p>
        </w:tc>
      </w:tr>
    </w:tbl>
    <w:p w14:paraId="75076962">
      <w:pPr>
        <w:keepNext w:val="0"/>
        <w:keepLines w:val="0"/>
        <w:pageBreakBefore w:val="0"/>
        <w:kinsoku/>
        <w:wordWrap/>
        <w:overflowPunct/>
        <w:topLinePunct w:val="0"/>
        <w:bidi w:val="0"/>
        <w:spacing w:line="560" w:lineRule="exact"/>
        <w:ind w:left="0" w:leftChars="0" w:right="0" w:rightChars="0" w:firstLine="562" w:firstLineChars="200"/>
        <w:rPr>
          <w:rFonts w:ascii="宋体" w:hAnsi="宋体" w:cs="Arial"/>
          <w:b/>
          <w:bCs/>
          <w:color w:val="auto"/>
          <w:kern w:val="0"/>
          <w:sz w:val="28"/>
          <w:szCs w:val="28"/>
          <w:highlight w:val="none"/>
        </w:rPr>
      </w:pPr>
    </w:p>
    <w:p w14:paraId="326BA725">
      <w:pPr>
        <w:keepNext w:val="0"/>
        <w:keepLines w:val="0"/>
        <w:pageBreakBefore w:val="0"/>
        <w:widowControl w:val="0"/>
        <w:kinsoku/>
        <w:wordWrap/>
        <w:overflowPunct/>
        <w:topLinePunct w:val="0"/>
        <w:autoSpaceDE w:val="0"/>
        <w:autoSpaceDN/>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bookmarkStart w:id="0" w:name="_Toc522797139"/>
      <w:bookmarkStart w:id="1" w:name="_Toc389065130"/>
      <w:bookmarkStart w:id="2" w:name="_Toc32718"/>
      <w:r>
        <w:rPr>
          <w:rFonts w:hint="eastAsia" w:ascii="仿宋_GB2312" w:hAnsi="仿宋_GB2312" w:eastAsia="仿宋_GB2312" w:cs="仿宋_GB2312"/>
          <w:bCs/>
          <w:color w:val="auto"/>
          <w:sz w:val="32"/>
          <w:szCs w:val="32"/>
          <w:highlight w:val="none"/>
          <w:lang w:eastAsia="zh-CN" w:bidi="ar"/>
        </w:rPr>
        <w:t>友情提醒：</w:t>
      </w:r>
    </w:p>
    <w:bookmarkEnd w:id="0"/>
    <w:bookmarkEnd w:id="1"/>
    <w:bookmarkEnd w:id="2"/>
    <w:p w14:paraId="3D2B3B1B">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1．信息公布、招投标答疑:常州国家高新区管委会（新北区人民政府）网、江苏中和信工程咨询有限公司网、E交易网。</w:t>
      </w:r>
    </w:p>
    <w:p w14:paraId="6415661A">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２．投标人可在本公告发布网页的后续公告栏内查阅本次招投标的“公告发布、招标文件答疑澄清”等全部相关消息，因未能及时了解相关最新信息所引起的投标失误责任自负。</w:t>
      </w:r>
    </w:p>
    <w:p w14:paraId="0FD9F7CE">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３．投标人对招标公告及文件如有异议请联系招标人或招标代理机构。</w:t>
      </w:r>
    </w:p>
    <w:p w14:paraId="7301529E">
      <w:pPr>
        <w:keepNext w:val="0"/>
        <w:keepLines w:val="0"/>
        <w:pageBreakBefore w:val="0"/>
        <w:kinsoku/>
        <w:wordWrap/>
        <w:overflowPunct/>
        <w:topLinePunct w:val="0"/>
        <w:bidi w:val="0"/>
        <w:spacing w:line="560" w:lineRule="exact"/>
        <w:ind w:right="0" w:rightChars="0" w:firstLine="640" w:firstLineChars="200"/>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br w:type="page"/>
      </w:r>
    </w:p>
    <w:p w14:paraId="501F14C7">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firstLine="640" w:firstLineChars="200"/>
        <w:jc w:val="left"/>
        <w:textAlignment w:val="auto"/>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1</w:t>
      </w:r>
    </w:p>
    <w:p w14:paraId="6434F739">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资格审查办法（资格后审）</w:t>
      </w:r>
    </w:p>
    <w:p w14:paraId="2D22D6A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黑体" w:hAnsi="宋体" w:eastAsia="黑体" w:cs="黑体"/>
          <w:bCs/>
          <w:color w:val="auto"/>
          <w:sz w:val="32"/>
          <w:szCs w:val="32"/>
          <w:highlight w:val="none"/>
          <w:lang w:bidi="ar"/>
        </w:rPr>
        <w:t>一、本工程由招标人委托的评标委员会采用</w:t>
      </w:r>
      <w:r>
        <w:rPr>
          <w:rFonts w:hint="eastAsia" w:ascii="黑体" w:hAnsi="宋体" w:eastAsia="黑体" w:cs="黑体"/>
          <w:bCs/>
          <w:color w:val="auto"/>
          <w:sz w:val="32"/>
          <w:szCs w:val="32"/>
          <w:highlight w:val="none"/>
          <w:u w:val="single"/>
          <w:lang w:bidi="ar"/>
        </w:rPr>
        <w:t xml:space="preserve"> 资格后审 </w:t>
      </w:r>
      <w:r>
        <w:rPr>
          <w:rFonts w:hint="eastAsia" w:ascii="黑体" w:hAnsi="宋体" w:eastAsia="黑体" w:cs="黑体"/>
          <w:bCs/>
          <w:color w:val="auto"/>
          <w:sz w:val="32"/>
          <w:szCs w:val="32"/>
          <w:highlight w:val="none"/>
          <w:lang w:bidi="ar"/>
        </w:rPr>
        <w:t>对投标人进行资格审查。</w:t>
      </w:r>
      <w:r>
        <w:rPr>
          <w:rFonts w:hint="eastAsia" w:ascii="仿宋_GB2312" w:hAnsi="仿宋_GB2312" w:eastAsia="仿宋_GB2312" w:cs="仿宋_GB2312"/>
          <w:color w:val="auto"/>
          <w:sz w:val="32"/>
          <w:szCs w:val="32"/>
          <w:highlight w:val="none"/>
        </w:rPr>
        <w:t xml:space="preserve"> </w:t>
      </w:r>
    </w:p>
    <w:p w14:paraId="0D1B3C3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黑体" w:hAnsi="宋体" w:eastAsia="黑体" w:cs="黑体"/>
          <w:bCs/>
          <w:color w:val="auto"/>
          <w:sz w:val="32"/>
          <w:szCs w:val="32"/>
          <w:highlight w:val="none"/>
          <w:lang w:bidi="ar"/>
        </w:rPr>
        <w:t>二、本工程资审合格条件：</w:t>
      </w:r>
      <w:r>
        <w:rPr>
          <w:rFonts w:hint="eastAsia" w:ascii="仿宋_GB2312" w:hAnsi="仿宋_GB2312" w:eastAsia="仿宋_GB2312" w:cs="仿宋_GB2312"/>
          <w:color w:val="auto"/>
          <w:sz w:val="32"/>
          <w:szCs w:val="32"/>
          <w:highlight w:val="none"/>
        </w:rPr>
        <w:t xml:space="preserve"> </w:t>
      </w:r>
    </w:p>
    <w:p w14:paraId="13F5B6E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1．具有独立签订合同的能力； </w:t>
      </w:r>
    </w:p>
    <w:p w14:paraId="0FE5ED91">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2．未处于被责令停业、投标资格被取消状态； </w:t>
      </w:r>
    </w:p>
    <w:p w14:paraId="5AFC770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3．企业没有因骗取中标或者严重违约以及发生重大工程质量、安全生产事故等违法违规问题，被有关部门暂停投标资格并在暂停期内的；</w:t>
      </w:r>
    </w:p>
    <w:p w14:paraId="3AA2824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4．投标文件中的资格审查资料没有失真或者弄虚作假；</w:t>
      </w:r>
    </w:p>
    <w:p w14:paraId="26E9921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5．企业的资质类别、等级和项目负责人注册专业、资格等级符合国家有关规定；</w:t>
      </w:r>
    </w:p>
    <w:p w14:paraId="10CF02CD">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6．企业具备安全生产条件，并取得安全生产许可证（相关规定不作要求的除外）；</w:t>
      </w:r>
    </w:p>
    <w:p w14:paraId="1FAE1119">
      <w:pPr>
        <w:keepNext w:val="0"/>
        <w:keepLines w:val="0"/>
        <w:pageBreakBefore w:val="0"/>
        <w:kinsoku/>
        <w:wordWrap/>
        <w:overflowPunct/>
        <w:topLinePunct w:val="0"/>
        <w:bidi w:val="0"/>
        <w:spacing w:line="560" w:lineRule="exact"/>
        <w:ind w:left="0" w:leftChars="0" w:right="0" w:rightChars="0"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7．投标人在投标文件递交截止时间当日，对于本次招标文件中要求的企业资质，投标人的建筑业企业资质动态监管结果均不得处于不合格状态</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 xml:space="preserve"> </w:t>
      </w:r>
    </w:p>
    <w:p w14:paraId="48AA0FE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8．项目负责人必须满足下列条件：</w:t>
      </w:r>
    </w:p>
    <w:p w14:paraId="274D1872">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（1）投标人拟派项目负责人须具备</w:t>
      </w:r>
      <w:r>
        <w:rPr>
          <w:rFonts w:hint="eastAsia" w:ascii="仿宋_GB2312" w:hAnsi="仿宋_GB2312" w:eastAsia="仿宋_GB2312" w:cs="仿宋_GB2312"/>
          <w:b/>
          <w:bCs/>
          <w:color w:val="auto"/>
          <w:kern w:val="0"/>
          <w:sz w:val="32"/>
          <w:szCs w:val="32"/>
          <w:highlight w:val="none"/>
          <w:u w:val="single"/>
          <w:lang w:eastAsia="zh-CN"/>
        </w:rPr>
        <w:t>市政公用工程二级及以上注册建造师</w:t>
      </w:r>
      <w:r>
        <w:rPr>
          <w:rFonts w:hint="eastAsia" w:ascii="仿宋_GB2312" w:hAnsi="仿宋_GB2312" w:eastAsia="仿宋_GB2312" w:cs="仿宋_GB2312"/>
          <w:color w:val="auto"/>
          <w:sz w:val="32"/>
          <w:szCs w:val="32"/>
          <w:highlight w:val="none"/>
        </w:rPr>
        <w:t>。</w:t>
      </w:r>
    </w:p>
    <w:p w14:paraId="2346327F">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（2）项目负责人不得同时在两个或者两个以上单位受聘或者执业,且无在建工程。</w:t>
      </w:r>
    </w:p>
    <w:p w14:paraId="6E9495F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w:t>
      </w:r>
      <w:r>
        <w:rPr>
          <w:rFonts w:hint="eastAsia" w:ascii="仿宋_GB2312" w:hAnsi="仿宋_GB2312" w:eastAsia="仿宋_GB2312" w:cs="仿宋_GB2312"/>
          <w:color w:val="auto"/>
          <w:kern w:val="0"/>
          <w:sz w:val="32"/>
          <w:szCs w:val="32"/>
          <w:highlight w:val="none"/>
        </w:rPr>
        <w:t>工程属于同一工程项目</w:t>
      </w:r>
      <w:r>
        <w:rPr>
          <w:rFonts w:hint="eastAsia" w:ascii="仿宋_GB2312" w:hAnsi="仿宋_GB2312" w:eastAsia="仿宋_GB2312" w:cs="仿宋_GB2312"/>
          <w:color w:val="auto"/>
          <w:sz w:val="32"/>
          <w:szCs w:val="32"/>
          <w:highlight w:val="none"/>
        </w:rPr>
        <w:t>、同一项目批文、同一施工地点分段发包或分期施工的情况且总的工程规模在项目负责人执业范围之内。</w:t>
      </w:r>
    </w:p>
    <w:p w14:paraId="700F7C8D">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9．类似工程业绩要求：/</w:t>
      </w:r>
      <w:r>
        <w:rPr>
          <w:rFonts w:hint="eastAsia" w:ascii="仿宋_GB2312" w:hAnsi="仿宋_GB2312" w:eastAsia="仿宋_GB2312" w:cs="仿宋_GB2312"/>
          <w:color w:val="auto"/>
          <w:sz w:val="32"/>
          <w:szCs w:val="32"/>
          <w:highlight w:val="none"/>
          <w:lang w:eastAsia="zh-CN"/>
        </w:rPr>
        <w:t>；</w:t>
      </w:r>
    </w:p>
    <w:p w14:paraId="4015683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10．投标人及项目负责人其他要求：</w:t>
      </w:r>
    </w:p>
    <w:p w14:paraId="16E2CA9D">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（1）企业和拟派项目负责人近三个月（从投标截止时间往前推算）内均没有因串通投标、弄虚作假、以他人名义投标、骗取中标、转包、违法分包等违法行为受到建设等有关部门行政处罚的；</w:t>
      </w:r>
    </w:p>
    <w:p w14:paraId="3F9F30FF">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（2）企业近1年内（从投标截止日期往前推算）没有无正当理由放弃中标资格（不含项目负责人多投多中后放弃）、不与招标人订立合同、拒不提供履约担保情形的；</w:t>
      </w:r>
    </w:p>
    <w:p w14:paraId="70B698A3">
      <w:pPr>
        <w:keepNext w:val="0"/>
        <w:keepLines w:val="0"/>
        <w:pageBreakBefore w:val="0"/>
        <w:kinsoku/>
        <w:wordWrap/>
        <w:overflowPunct/>
        <w:topLinePunct w:val="0"/>
        <w:bidi w:val="0"/>
        <w:adjustRightInd w:val="0"/>
        <w:spacing w:line="560" w:lineRule="exact"/>
        <w:ind w:left="0" w:leftChars="0" w:right="0" w:rightChars="0" w:firstLine="640" w:firstLineChars="200"/>
        <w:jc w:val="left"/>
        <w:textAlignment w:val="baseline"/>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（3）企业近3个月（从投标截止时间往前推算）内没有因拖欠工人工资被招标项目所在地省、市、县（市、区）建设行政主管部门行政处罚的。（本条内容与招标文件中所载不一致的，以本招标公告为准）</w:t>
      </w:r>
      <w:r>
        <w:rPr>
          <w:rFonts w:hint="eastAsia" w:ascii="仿宋_GB2312" w:hAnsi="仿宋_GB2312" w:eastAsia="仿宋_GB2312" w:cs="仿宋_GB2312"/>
          <w:color w:val="auto"/>
          <w:sz w:val="32"/>
          <w:szCs w:val="32"/>
          <w:highlight w:val="none"/>
          <w:lang w:eastAsia="zh-CN"/>
        </w:rPr>
        <w:t>；</w:t>
      </w:r>
    </w:p>
    <w:p w14:paraId="2B36D78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11．本次招标</w:t>
      </w:r>
      <w:r>
        <w:rPr>
          <w:rFonts w:hint="eastAsia" w:ascii="仿宋_GB2312" w:hAnsi="仿宋_GB2312" w:eastAsia="仿宋_GB2312" w:cs="仿宋_GB2312"/>
          <w:b/>
          <w:bCs/>
          <w:color w:val="auto"/>
          <w:sz w:val="32"/>
          <w:szCs w:val="32"/>
          <w:highlight w:val="none"/>
          <w:u w:val="single"/>
        </w:rPr>
        <w:t>不接受（</w:t>
      </w:r>
      <w:r>
        <w:rPr>
          <w:rFonts w:hint="eastAsia" w:ascii="仿宋_GB2312" w:hAnsi="仿宋_GB2312" w:eastAsia="仿宋_GB2312" w:cs="仿宋_GB2312"/>
          <w:color w:val="auto"/>
          <w:sz w:val="32"/>
          <w:szCs w:val="32"/>
          <w:highlight w:val="none"/>
        </w:rPr>
        <w:t>接受/不接受）联合体投标</w:t>
      </w:r>
      <w:r>
        <w:rPr>
          <w:rFonts w:hint="eastAsia" w:ascii="仿宋_GB2312" w:hAnsi="仿宋_GB2312" w:eastAsia="仿宋_GB2312" w:cs="仿宋_GB2312"/>
          <w:color w:val="auto"/>
          <w:sz w:val="32"/>
          <w:szCs w:val="32"/>
          <w:highlight w:val="none"/>
          <w:lang w:eastAsia="zh-CN"/>
        </w:rPr>
        <w:t>；</w:t>
      </w:r>
    </w:p>
    <w:p w14:paraId="4EB12F95">
      <w:pPr>
        <w:keepNext w:val="0"/>
        <w:keepLines w:val="0"/>
        <w:pageBreakBefore w:val="0"/>
        <w:kinsoku/>
        <w:wordWrap/>
        <w:overflowPunct/>
        <w:topLinePunct w:val="0"/>
        <w:autoSpaceDE w:val="0"/>
        <w:autoSpaceDN w:val="0"/>
        <w:bidi w:val="0"/>
        <w:adjustRightInd w:val="0"/>
        <w:spacing w:line="560" w:lineRule="exact"/>
        <w:ind w:left="0" w:leftChars="0" w:right="0" w:rightChars="0"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12．投标人不得存在下列情形之一： </w:t>
      </w:r>
    </w:p>
    <w:p w14:paraId="6BED8A9B">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（1）为招标人不具有独立法人资格的附属机构（单位）； </w:t>
      </w:r>
    </w:p>
    <w:p w14:paraId="184AF83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（2）为本招标项目的监理人、代建人、项目管理人，以及为本招标项目提供招标代理、设计服务的； </w:t>
      </w:r>
    </w:p>
    <w:p w14:paraId="048B958F">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（3）与本招标项目的监理人、代建人、招标代理机构同为一个法定代表人的，或者相互控股、参股的； </w:t>
      </w:r>
    </w:p>
    <w:p w14:paraId="429B9FE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（4）与招标人存在利害关系可能影响招标公正性的； </w:t>
      </w:r>
    </w:p>
    <w:p w14:paraId="76E93D9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（5）单位负责人为同一人或者存在控股、管理关系的不同单位； </w:t>
      </w:r>
    </w:p>
    <w:p w14:paraId="472D957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（6）处于被责令停业、财产被接管、冻结和破产状态，以及投标资格被取消或者被暂停且在暂停期内； </w:t>
      </w:r>
    </w:p>
    <w:p w14:paraId="16BEC6C3">
      <w:pPr>
        <w:keepNext w:val="0"/>
        <w:keepLines w:val="0"/>
        <w:pageBreakBefore w:val="0"/>
        <w:kinsoku/>
        <w:wordWrap/>
        <w:overflowPunct/>
        <w:topLinePunct w:val="0"/>
        <w:autoSpaceDE w:val="0"/>
        <w:autoSpaceDN w:val="0"/>
        <w:bidi w:val="0"/>
        <w:adjustRightInd w:val="0"/>
        <w:spacing w:line="560" w:lineRule="exact"/>
        <w:ind w:left="0" w:leftChars="0" w:right="0" w:rightChars="0"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（7）因拖欠工人工资或者因发生质量安全事故被有关部门限制在招标项目所在地承接工程的； </w:t>
      </w:r>
    </w:p>
    <w:p w14:paraId="16FA374F">
      <w:pPr>
        <w:keepNext w:val="0"/>
        <w:keepLines w:val="0"/>
        <w:pageBreakBefore w:val="0"/>
        <w:kinsoku/>
        <w:wordWrap/>
        <w:overflowPunct/>
        <w:topLinePunct w:val="0"/>
        <w:autoSpaceDE w:val="0"/>
        <w:autoSpaceDN w:val="0"/>
        <w:bidi w:val="0"/>
        <w:adjustRightInd w:val="0"/>
        <w:spacing w:line="560" w:lineRule="exact"/>
        <w:ind w:left="0" w:leftChars="0" w:right="0" w:rightChars="0"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（8）</w:t>
      </w:r>
      <w:r>
        <w:rPr>
          <w:rFonts w:hint="eastAsia" w:ascii="仿宋_GB2312" w:hAnsi="仿宋_GB2312" w:eastAsia="仿宋_GB2312" w:cs="仿宋_GB2312"/>
          <w:color w:val="auto"/>
          <w:kern w:val="0"/>
          <w:sz w:val="32"/>
          <w:szCs w:val="32"/>
          <w:highlight w:val="none"/>
          <w:lang w:val="en-US" w:eastAsia="zh-CN"/>
        </w:rPr>
        <w:t>投标人近3年（自投标截止日期往前推算）内有行贿犯罪行为且被记录，或者法定代表人、项目负责人有行贿犯罪记录且自记录之日起未超过5年（自投标截止日期往前推算）的</w:t>
      </w:r>
      <w:r>
        <w:rPr>
          <w:rFonts w:hint="eastAsia" w:ascii="仿宋_GB2312" w:hAnsi="仿宋_GB2312" w:eastAsia="仿宋_GB2312" w:cs="仿宋_GB2312"/>
          <w:color w:val="auto"/>
          <w:kern w:val="0"/>
          <w:sz w:val="32"/>
          <w:szCs w:val="32"/>
          <w:highlight w:val="none"/>
        </w:rPr>
        <w:t>。</w:t>
      </w:r>
    </w:p>
    <w:p w14:paraId="1DE95587">
      <w:pPr>
        <w:keepNext w:val="0"/>
        <w:keepLines w:val="0"/>
        <w:pageBreakBefore w:val="0"/>
        <w:kinsoku/>
        <w:wordWrap/>
        <w:overflowPunct/>
        <w:topLinePunct w:val="0"/>
        <w:autoSpaceDE w:val="0"/>
        <w:autoSpaceDN w:val="0"/>
        <w:bidi w:val="0"/>
        <w:adjustRightInd w:val="0"/>
        <w:spacing w:line="560" w:lineRule="exact"/>
        <w:ind w:left="0" w:leftChars="0" w:right="0" w:rightChars="0"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13．符合法律、法规规定的其他条件。</w:t>
      </w:r>
    </w:p>
    <w:p w14:paraId="61EA3C39">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val="en-US" w:eastAsia="zh-CN" w:bidi="ar"/>
        </w:rPr>
        <w:t>三、由招标人委托的评标委员会实施对投标人的资格审查。</w:t>
      </w:r>
    </w:p>
    <w:p w14:paraId="016F9C32">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四、资格审查提交资料：</w:t>
      </w:r>
    </w:p>
    <w:p w14:paraId="5CAF3A71">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rPr>
        <w:t>1投标注册建造师第二代居民身份证；</w:t>
      </w:r>
    </w:p>
    <w:p w14:paraId="0EF72D87">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rPr>
        <w:t>2投标注册建造师注册证；</w:t>
      </w:r>
      <w:r>
        <w:rPr>
          <w:rFonts w:hint="eastAsia" w:ascii="仿宋_GB2312" w:hAnsi="仿宋_GB2312" w:eastAsia="仿宋_GB2312" w:cs="仿宋_GB2312"/>
          <w:b w:val="0"/>
          <w:bCs/>
          <w:color w:val="000000"/>
          <w:sz w:val="32"/>
          <w:szCs w:val="32"/>
        </w:rPr>
        <w:t>（注册建造师证书。若投标建造师证书为一级建造师电子证书的，建造师证书须符合《住房和城乡建设部办公厅关于全面实行一级建造师电子注册证书的通知》（建办市</w:t>
      </w:r>
      <w:r>
        <w:rPr>
          <w:rFonts w:hint="eastAsia" w:ascii="微软雅黑" w:hAnsi="微软雅黑" w:eastAsia="微软雅黑" w:cs="微软雅黑"/>
          <w:b w:val="0"/>
          <w:bCs/>
          <w:color w:val="000000"/>
          <w:sz w:val="32"/>
          <w:szCs w:val="32"/>
          <w:lang w:eastAsia="zh-CN"/>
        </w:rPr>
        <w:t>〔</w:t>
      </w:r>
      <w:r>
        <w:rPr>
          <w:rFonts w:hint="eastAsia" w:ascii="仿宋_GB2312" w:hAnsi="仿宋_GB2312" w:eastAsia="仿宋_GB2312" w:cs="仿宋_GB2312"/>
          <w:b w:val="0"/>
          <w:bCs/>
          <w:color w:val="000000"/>
          <w:sz w:val="32"/>
          <w:szCs w:val="32"/>
        </w:rPr>
        <w:t>2021</w:t>
      </w:r>
      <w:r>
        <w:rPr>
          <w:rFonts w:hint="eastAsia" w:ascii="微软雅黑" w:hAnsi="微软雅黑" w:eastAsia="微软雅黑" w:cs="微软雅黑"/>
          <w:b w:val="0"/>
          <w:bCs/>
          <w:color w:val="000000"/>
          <w:sz w:val="32"/>
          <w:szCs w:val="32"/>
          <w:lang w:eastAsia="zh-CN"/>
        </w:rPr>
        <w:t>〕</w:t>
      </w:r>
      <w:r>
        <w:rPr>
          <w:rFonts w:hint="eastAsia" w:ascii="仿宋_GB2312" w:hAnsi="仿宋_GB2312" w:eastAsia="仿宋_GB2312" w:cs="仿宋_GB2312"/>
          <w:b w:val="0"/>
          <w:bCs/>
          <w:color w:val="000000"/>
          <w:sz w:val="32"/>
          <w:szCs w:val="32"/>
        </w:rPr>
        <w:t>40号）要求。</w:t>
      </w:r>
      <w:r>
        <w:rPr>
          <w:rFonts w:hint="eastAsia" w:ascii="仿宋_GB2312" w:hAnsi="仿宋_GB2312" w:eastAsia="仿宋_GB2312" w:cs="仿宋_GB2312"/>
          <w:b w:val="0"/>
          <w:bCs/>
          <w:color w:val="000000"/>
          <w:sz w:val="32"/>
          <w:szCs w:val="32"/>
          <w:lang w:eastAsia="zh-CN"/>
        </w:rPr>
        <w:t>）</w:t>
      </w:r>
    </w:p>
    <w:p w14:paraId="181DFB8C">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安全生产考核合格证（B证）；</w:t>
      </w:r>
    </w:p>
    <w:p w14:paraId="76DD5330">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企业营业执照（副本）；企业资质等级证书（副本）；企业安全生产许可证（副本）；</w:t>
      </w:r>
    </w:p>
    <w:p w14:paraId="009932E8">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提供投标建造师相应社保机构出具的投标单位为其缴纳社会基本养老保险的缴纳凭证（加盖社保中心章或社保中心参保缴费证明电子专用章，非社保手册）,缴纳时间为</w:t>
      </w:r>
      <w:r>
        <w:rPr>
          <w:rFonts w:hint="eastAsia" w:ascii="仿宋_GB2312" w:hAnsi="仿宋_GB2312" w:eastAsia="仿宋_GB2312" w:cs="仿宋_GB2312"/>
          <w:b/>
          <w:bCs/>
          <w:color w:val="000000"/>
          <w:sz w:val="32"/>
          <w:szCs w:val="32"/>
          <w:lang w:eastAsia="zh-CN"/>
        </w:rPr>
        <w:t>2024年10月至2024年12月</w:t>
      </w:r>
      <w:r>
        <w:rPr>
          <w:rFonts w:hint="eastAsia" w:ascii="仿宋_GB2312" w:hAnsi="仿宋_GB2312" w:eastAsia="仿宋_GB2312" w:cs="仿宋_GB2312"/>
          <w:color w:val="000000"/>
          <w:sz w:val="32"/>
          <w:szCs w:val="32"/>
        </w:rPr>
        <w:t>连续三个月</w:t>
      </w:r>
      <w:r>
        <w:rPr>
          <w:rFonts w:hint="eastAsia" w:ascii="仿宋_GB2312" w:hAnsi="仿宋_GB2312" w:eastAsia="仿宋_GB2312" w:cs="仿宋_GB2312"/>
          <w:b/>
          <w:bCs/>
          <w:color w:val="000000"/>
          <w:sz w:val="32"/>
          <w:szCs w:val="32"/>
        </w:rPr>
        <w:t>（如为退休返聘人员须提供退休证明及返聘合同）</w:t>
      </w:r>
      <w:r>
        <w:rPr>
          <w:rFonts w:hint="eastAsia" w:ascii="仿宋_GB2312" w:hAnsi="仿宋_GB2312" w:eastAsia="仿宋_GB2312" w:cs="仿宋_GB2312"/>
          <w:color w:val="000000"/>
          <w:sz w:val="32"/>
          <w:szCs w:val="32"/>
        </w:rPr>
        <w:t>。</w:t>
      </w:r>
    </w:p>
    <w:p w14:paraId="0152CE57">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提供授权委托人相应社保机构出具的投标单位为其缴纳社会基本养老保险的缴纳凭证（加盖社保中心章或社保中心参保缴费证明电子专用章，非社保手册） ,缴纳时间为</w:t>
      </w:r>
      <w:r>
        <w:rPr>
          <w:rFonts w:hint="eastAsia" w:ascii="仿宋_GB2312" w:hAnsi="仿宋_GB2312" w:eastAsia="仿宋_GB2312" w:cs="仿宋_GB2312"/>
          <w:b/>
          <w:bCs/>
          <w:color w:val="000000"/>
          <w:sz w:val="32"/>
          <w:szCs w:val="32"/>
          <w:lang w:eastAsia="zh-CN"/>
        </w:rPr>
        <w:t>2024年10月至2024年12月</w:t>
      </w:r>
      <w:r>
        <w:rPr>
          <w:rFonts w:hint="eastAsia" w:ascii="仿宋_GB2312" w:hAnsi="仿宋_GB2312" w:eastAsia="仿宋_GB2312" w:cs="仿宋_GB2312"/>
          <w:color w:val="000000"/>
          <w:sz w:val="32"/>
          <w:szCs w:val="32"/>
        </w:rPr>
        <w:t>连续三个月</w:t>
      </w:r>
      <w:r>
        <w:rPr>
          <w:rFonts w:hint="eastAsia" w:ascii="仿宋_GB2312" w:hAnsi="仿宋_GB2312" w:eastAsia="仿宋_GB2312" w:cs="仿宋_GB2312"/>
          <w:b/>
          <w:bCs/>
          <w:color w:val="000000"/>
          <w:sz w:val="32"/>
          <w:szCs w:val="32"/>
        </w:rPr>
        <w:t>（如为退休返聘人员须提供退休证明及返聘合同）</w:t>
      </w:r>
      <w:r>
        <w:rPr>
          <w:rFonts w:hint="eastAsia" w:ascii="仿宋_GB2312" w:hAnsi="仿宋_GB2312" w:eastAsia="仿宋_GB2312" w:cs="仿宋_GB2312"/>
          <w:color w:val="000000"/>
          <w:sz w:val="32"/>
          <w:szCs w:val="32"/>
        </w:rPr>
        <w:t>。</w:t>
      </w:r>
    </w:p>
    <w:p w14:paraId="62A9F432">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授权委托人本人第二代居民身份证。</w:t>
      </w:r>
    </w:p>
    <w:p w14:paraId="16E2ADDA">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投标人的法定代表人或被委托人必须携带法定代表人资格书（加盖公章、格式详见</w:t>
      </w:r>
      <w:r>
        <w:rPr>
          <w:rFonts w:hint="eastAsia" w:ascii="仿宋_GB2312" w:hAnsi="仿宋_GB2312" w:eastAsia="仿宋_GB2312" w:cs="仿宋_GB2312"/>
          <w:color w:val="000000"/>
          <w:sz w:val="32"/>
          <w:szCs w:val="32"/>
          <w:lang w:eastAsia="zh-CN"/>
        </w:rPr>
        <w:t>附件三</w:t>
      </w:r>
      <w:r>
        <w:rPr>
          <w:rFonts w:hint="eastAsia" w:ascii="仿宋_GB2312" w:hAnsi="仿宋_GB2312" w:eastAsia="仿宋_GB2312" w:cs="仿宋_GB2312"/>
          <w:color w:val="000000"/>
          <w:sz w:val="32"/>
          <w:szCs w:val="32"/>
        </w:rPr>
        <w:t>）、法定代表人授权委托书（加盖公章、法人签章、格式详见</w:t>
      </w:r>
      <w:r>
        <w:rPr>
          <w:rFonts w:hint="eastAsia" w:ascii="仿宋_GB2312" w:hAnsi="仿宋_GB2312" w:eastAsia="仿宋_GB2312" w:cs="仿宋_GB2312"/>
          <w:color w:val="000000"/>
          <w:sz w:val="32"/>
          <w:szCs w:val="32"/>
          <w:lang w:eastAsia="zh-CN"/>
        </w:rPr>
        <w:t>附件三</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w:t>
      </w:r>
    </w:p>
    <w:p w14:paraId="3F1679F9">
      <w:pPr>
        <w:pStyle w:val="2"/>
        <w:keepNext w:val="0"/>
        <w:keepLines w:val="0"/>
        <w:pageBreakBefore w:val="0"/>
        <w:kinsoku/>
        <w:wordWrap/>
        <w:overflowPunct/>
        <w:topLinePunct w:val="0"/>
        <w:bidi w:val="0"/>
        <w:spacing w:after="0"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4.9投标保证金缴款回单。</w:t>
      </w:r>
    </w:p>
    <w:p w14:paraId="681A59F1">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lang w:eastAsia="zh-CN"/>
        </w:rPr>
        <w:t>投标人信用承诺书</w:t>
      </w:r>
      <w:r>
        <w:rPr>
          <w:rFonts w:hint="eastAsia" w:ascii="仿宋_GB2312" w:hAnsi="仿宋_GB2312" w:eastAsia="仿宋_GB2312" w:cs="仿宋_GB2312"/>
          <w:color w:val="000000"/>
          <w:sz w:val="32"/>
          <w:szCs w:val="32"/>
        </w:rPr>
        <w:t>（详见</w:t>
      </w:r>
      <w:r>
        <w:rPr>
          <w:rFonts w:hint="eastAsia" w:ascii="仿宋_GB2312" w:hAnsi="仿宋_GB2312" w:eastAsia="仿宋_GB2312" w:cs="仿宋_GB2312"/>
          <w:color w:val="000000"/>
          <w:sz w:val="32"/>
          <w:szCs w:val="32"/>
          <w:lang w:eastAsia="zh-CN"/>
        </w:rPr>
        <w:t>附件四</w:t>
      </w:r>
      <w:r>
        <w:rPr>
          <w:rFonts w:hint="eastAsia" w:ascii="仿宋_GB2312" w:hAnsi="仿宋_GB2312" w:eastAsia="仿宋_GB2312" w:cs="仿宋_GB2312"/>
          <w:color w:val="000000"/>
          <w:sz w:val="32"/>
          <w:szCs w:val="32"/>
        </w:rPr>
        <w:t>）。</w:t>
      </w:r>
    </w:p>
    <w:p w14:paraId="047E8EEF">
      <w:pPr>
        <w:keepNext w:val="0"/>
        <w:keepLines w:val="0"/>
        <w:pageBreakBefore w:val="0"/>
        <w:widowControl/>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特别提醒：</w:t>
      </w:r>
    </w:p>
    <w:p w14:paraId="54965617">
      <w:pPr>
        <w:pStyle w:val="15"/>
        <w:keepNext w:val="0"/>
        <w:keepLines w:val="0"/>
        <w:pageBreakBefore w:val="0"/>
        <w:widowControl/>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① 以上所有资料资格审查时必须提供有效复印件二份，复印件必须装订成册并加盖公章，如未提供或提供不全，作资格审查不通过处理，不接受补充资料。报名单位必须对其提供的资料的真实性负责。资审材料需单独装袋、密封（在封袋骑缝密封处加盖企业公章和企业法定代表人签章）。   </w:t>
      </w:r>
    </w:p>
    <w:p w14:paraId="6C87CE6F">
      <w:pPr>
        <w:keepNext w:val="0"/>
        <w:keepLines w:val="0"/>
        <w:pageBreakBefore w:val="0"/>
        <w:widowControl/>
        <w:tabs>
          <w:tab w:val="left" w:pos="8820"/>
        </w:tabs>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②除授权委托人身份证原件不用装袋、密封，其他资格审查资料必须一起装袋、密封（在封袋骑缝密封处加盖企业公章和企业法定代表人签章），在资格审查前一次性递交，资格审查截止时间后不再接受补充资料。</w:t>
      </w:r>
    </w:p>
    <w:p w14:paraId="253A6071">
      <w:pPr>
        <w:keepNext w:val="0"/>
        <w:keepLines w:val="0"/>
        <w:pageBreakBefore w:val="0"/>
        <w:widowControl/>
        <w:tabs>
          <w:tab w:val="left" w:pos="8820"/>
        </w:tabs>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 xml:space="preserve">③在规定时间内未能按上述要求提供以上资料的作资审不合格处理。 </w:t>
      </w:r>
    </w:p>
    <w:p w14:paraId="02622BBA">
      <w:pPr>
        <w:pStyle w:val="15"/>
        <w:keepNext w:val="0"/>
        <w:keepLines w:val="0"/>
        <w:pageBreakBefore w:val="0"/>
        <w:widowControl/>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④投标人在投标文件递交截止时间当日，对于本次招标公告中要求的企业资质，投标单位在江苏省建筑市场监管与诚信信息一体化平台动态监管不合格资质查询中显示不合格的，按资审不合格处理。</w:t>
      </w:r>
    </w:p>
    <w:p w14:paraId="18B82735">
      <w:pPr>
        <w:keepNext w:val="0"/>
        <w:keepLines w:val="0"/>
        <w:pageBreakBefore w:val="0"/>
        <w:numPr>
          <w:ilvl w:val="0"/>
          <w:numId w:val="0"/>
        </w:numPr>
        <w:kinsoku/>
        <w:wordWrap/>
        <w:overflowPunct/>
        <w:topLinePunct w:val="0"/>
        <w:bidi w:val="0"/>
        <w:adjustRightInd w:val="0"/>
        <w:spacing w:line="560" w:lineRule="exact"/>
        <w:ind w:left="0" w:leftChars="0" w:right="0" w:rightChars="0" w:firstLine="640" w:firstLineChars="200"/>
        <w:jc w:val="left"/>
        <w:textAlignment w:val="baseline"/>
        <w:rPr>
          <w:rFonts w:hint="eastAsia" w:ascii="仿宋_GB2312" w:hAnsi="仿宋_GB2312" w:eastAsia="仿宋_GB2312" w:cs="仿宋_GB2312"/>
          <w:color w:val="auto"/>
          <w:sz w:val="32"/>
          <w:szCs w:val="32"/>
          <w:highlight w:val="none"/>
        </w:rPr>
      </w:pPr>
      <w:r>
        <w:rPr>
          <w:rFonts w:hint="eastAsia" w:ascii="黑体" w:hAnsi="宋体" w:eastAsia="黑体" w:cs="黑体"/>
          <w:bCs/>
          <w:color w:val="auto"/>
          <w:sz w:val="32"/>
          <w:szCs w:val="32"/>
          <w:highlight w:val="none"/>
          <w:lang w:val="en-US" w:eastAsia="zh-CN" w:bidi="ar"/>
        </w:rPr>
        <w:t>五、开标（包括资格后审）时间、地点：</w:t>
      </w:r>
      <w:r>
        <w:rPr>
          <w:rFonts w:hint="eastAsia" w:ascii="仿宋_GB2312" w:hAnsi="仿宋_GB2312" w:eastAsia="仿宋_GB2312" w:cs="仿宋_GB2312"/>
          <w:color w:val="auto"/>
          <w:sz w:val="32"/>
          <w:szCs w:val="32"/>
          <w:highlight w:val="none"/>
        </w:rPr>
        <w:t>详见招标文件投标人须知。</w:t>
      </w:r>
    </w:p>
    <w:p w14:paraId="73EF53CF">
      <w:pPr>
        <w:pStyle w:val="2"/>
        <w:keepNext w:val="0"/>
        <w:keepLines w:val="0"/>
        <w:pageBreakBefore w:val="0"/>
        <w:kinsoku/>
        <w:wordWrap/>
        <w:overflowPunct/>
        <w:topLinePunct w:val="0"/>
        <w:bidi w:val="0"/>
        <w:spacing w:after="0" w:line="560" w:lineRule="exact"/>
        <w:ind w:right="0" w:rightChars="0" w:firstLine="640" w:firstLineChars="200"/>
        <w:rPr>
          <w:rFonts w:hint="eastAsia" w:ascii="黑体" w:hAnsi="宋体" w:eastAsia="黑体" w:cs="黑体"/>
          <w:bCs/>
          <w:color w:val="auto"/>
          <w:kern w:val="2"/>
          <w:sz w:val="32"/>
          <w:szCs w:val="32"/>
          <w:highlight w:val="none"/>
          <w:lang w:val="en-US" w:eastAsia="zh-CN" w:bidi="ar"/>
        </w:rPr>
      </w:pPr>
      <w:r>
        <w:rPr>
          <w:rFonts w:hint="eastAsia" w:ascii="黑体" w:hAnsi="宋体" w:eastAsia="黑体" w:cs="黑体"/>
          <w:bCs/>
          <w:color w:val="auto"/>
          <w:kern w:val="2"/>
          <w:sz w:val="32"/>
          <w:szCs w:val="32"/>
          <w:highlight w:val="none"/>
          <w:lang w:val="en-US" w:eastAsia="zh-CN" w:bidi="ar"/>
        </w:rPr>
        <w:t>六、投标人的法定代表人（或委托代理人）须携带第二代身份证原件于投标截止时间前到达开标现场并签到，并在招标人按开标程序进行点名时，向招标人提交本人第二代身份证原件，以证明其出席，未按以上要求，其投标文件将作无效投标予以否决。</w:t>
      </w:r>
    </w:p>
    <w:p w14:paraId="593252F7">
      <w:pPr>
        <w:pStyle w:val="2"/>
        <w:keepNext w:val="0"/>
        <w:keepLines w:val="0"/>
        <w:pageBreakBefore w:val="0"/>
        <w:kinsoku/>
        <w:wordWrap/>
        <w:overflowPunct/>
        <w:topLinePunct w:val="0"/>
        <w:bidi w:val="0"/>
        <w:spacing w:after="0" w:line="560" w:lineRule="exact"/>
        <w:ind w:right="0" w:rightChars="0" w:firstLine="640" w:firstLineChars="200"/>
        <w:rPr>
          <w:rFonts w:hint="eastAsia" w:ascii="仿宋_GB2312" w:hAnsi="仿宋_GB2312" w:eastAsia="仿宋_GB2312" w:cs="仿宋_GB2312"/>
          <w:color w:val="000000"/>
          <w:kern w:val="2"/>
          <w:sz w:val="32"/>
          <w:szCs w:val="32"/>
          <w:lang w:val="en-US" w:eastAsia="zh-CN" w:bidi="ar-SA"/>
        </w:rPr>
      </w:pPr>
    </w:p>
    <w:p w14:paraId="7A886476">
      <w:pPr>
        <w:pStyle w:val="2"/>
        <w:keepNext w:val="0"/>
        <w:keepLines w:val="0"/>
        <w:pageBreakBefore w:val="0"/>
        <w:numPr>
          <w:ilvl w:val="0"/>
          <w:numId w:val="0"/>
        </w:numPr>
        <w:kinsoku/>
        <w:wordWrap/>
        <w:overflowPunct/>
        <w:topLinePunct w:val="0"/>
        <w:bidi w:val="0"/>
        <w:spacing w:after="0" w:line="560" w:lineRule="exact"/>
        <w:ind w:right="0" w:rightChars="0"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备注：</w:t>
      </w:r>
    </w:p>
    <w:p w14:paraId="0982F9E3">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信息公布、招标文件（工程量清单、图纸）的下载、招标控制价的下载、招投标答疑：“</w:t>
      </w:r>
      <w:r>
        <w:rPr>
          <w:rFonts w:hint="eastAsia" w:ascii="仿宋_GB2312" w:hAnsi="仿宋_GB2312" w:eastAsia="仿宋_GB2312" w:cs="仿宋_GB2312"/>
          <w:color w:val="auto"/>
          <w:sz w:val="32"/>
          <w:szCs w:val="32"/>
          <w:highlight w:val="none"/>
          <w:lang w:eastAsia="zh-CN"/>
        </w:rPr>
        <w:t>E交易平台</w:t>
      </w:r>
      <w:r>
        <w:rPr>
          <w:rFonts w:hint="eastAsia" w:ascii="仿宋_GB2312" w:hAnsi="仿宋_GB2312" w:eastAsia="仿宋_GB2312" w:cs="仿宋_GB2312"/>
          <w:color w:val="auto"/>
          <w:sz w:val="32"/>
          <w:szCs w:val="32"/>
          <w:highlight w:val="none"/>
        </w:rPr>
        <w:t>”。</w:t>
      </w:r>
    </w:p>
    <w:p w14:paraId="57172FD9">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本工程所有的资审资料，都必须在有效期内。 </w:t>
      </w:r>
    </w:p>
    <w:p w14:paraId="1FCE30B0">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本工程不满3家投标将重新组织招标。</w:t>
      </w:r>
    </w:p>
    <w:p w14:paraId="718CEFD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本工程的图纸设计单位不得参与投标。</w:t>
      </w:r>
    </w:p>
    <w:p w14:paraId="6478DBBE">
      <w:pPr>
        <w:keepNext w:val="0"/>
        <w:keepLines w:val="0"/>
        <w:pageBreakBefore w:val="0"/>
        <w:kinsoku/>
        <w:wordWrap/>
        <w:overflowPunct/>
        <w:topLinePunct w:val="0"/>
        <w:bidi w:val="0"/>
        <w:spacing w:line="560" w:lineRule="exact"/>
        <w:ind w:right="0" w:rightChars="0" w:firstLine="640" w:firstLineChars="200"/>
        <w:rPr>
          <w:rFonts w:hint="eastAsia" w:ascii="仿宋_GB2312" w:hAnsi="仿宋_GB2312" w:eastAsia="仿宋_GB2312" w:cs="仿宋_GB2312"/>
          <w:color w:val="auto"/>
          <w:sz w:val="32"/>
          <w:szCs w:val="32"/>
          <w:highlight w:val="none"/>
        </w:rPr>
      </w:pPr>
    </w:p>
    <w:p w14:paraId="5EAC9625">
      <w:pPr>
        <w:keepNext w:val="0"/>
        <w:keepLines w:val="0"/>
        <w:pageBreakBefore w:val="0"/>
        <w:kinsoku/>
        <w:wordWrap/>
        <w:overflowPunct/>
        <w:topLinePunct w:val="0"/>
        <w:bidi w:val="0"/>
        <w:spacing w:line="560" w:lineRule="exact"/>
        <w:ind w:right="0" w:rightChars="0" w:firstLine="640" w:firstLineChars="200"/>
        <w:jc w:val="left"/>
        <w:rPr>
          <w:rFonts w:hint="eastAsia" w:ascii="仿宋_GB2312" w:hAnsi="仿宋_GB2312" w:eastAsia="黑体"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br w:type="page"/>
      </w: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2</w:t>
      </w:r>
    </w:p>
    <w:p w14:paraId="6394CD07">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评 标 细 则</w:t>
      </w:r>
    </w:p>
    <w:p w14:paraId="49886382">
      <w:pPr>
        <w:pStyle w:val="9"/>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本着公平、公正、公开的原则对各投标单位投标文件中的商务标等方面进行评分。具体办法如下：（共计100分） </w:t>
      </w:r>
    </w:p>
    <w:p w14:paraId="6069D49B">
      <w:pPr>
        <w:pStyle w:val="9"/>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第一步：投标文件能够满足招标文件的实质性要求； </w:t>
      </w:r>
    </w:p>
    <w:p w14:paraId="79AB3135">
      <w:pPr>
        <w:pStyle w:val="9"/>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第二步：符合性清标，商务标符合招标文件的实质性要求； </w:t>
      </w:r>
    </w:p>
    <w:p w14:paraId="6E0FC3A9">
      <w:pPr>
        <w:pStyle w:val="9"/>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第三步：投标报价得分。</w:t>
      </w:r>
    </w:p>
    <w:p w14:paraId="14055262">
      <w:pPr>
        <w:pStyle w:val="9"/>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一、投标报价（100 分） </w:t>
      </w:r>
    </w:p>
    <w:p w14:paraId="45A3B5CF">
      <w:pPr>
        <w:pStyle w:val="9"/>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1、确定有效投标报价。 </w:t>
      </w:r>
    </w:p>
    <w:p w14:paraId="06EDC5B6">
      <w:pPr>
        <w:pStyle w:val="9"/>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凡符合招标文件、招标答疑纪要等有关招标实质性要求，且在招标控制</w:t>
      </w:r>
      <w:r>
        <w:rPr>
          <w:rFonts w:hint="eastAsia" w:ascii="仿宋_GB2312" w:hAnsi="仿宋_GB2312" w:eastAsia="仿宋_GB2312" w:cs="仿宋_GB2312"/>
          <w:b w:val="0"/>
          <w:bCs w:val="0"/>
          <w:color w:val="auto"/>
          <w:sz w:val="32"/>
          <w:szCs w:val="32"/>
          <w:highlight w:val="none"/>
        </w:rPr>
        <w:t>价</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总价和综合单价</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rPr>
        <w:t xml:space="preserve">及以下的投标文件均为有效投标文件，未能实质性响应上述有关招标要求的投标文件为无效投标文件。 </w:t>
      </w:r>
    </w:p>
    <w:p w14:paraId="4312F429">
      <w:pPr>
        <w:pStyle w:val="9"/>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2、打分 </w:t>
      </w:r>
    </w:p>
    <w:p w14:paraId="1BAC367A">
      <w:pPr>
        <w:pStyle w:val="9"/>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以有效投标文件的最低评标价为评标基准价，评标价等于评标基准价的得满分；偏离评标基准价的，评标价相对评标基准价每高1%，扣0.3分，偏离不足1%的，按照插入法计算得分，得分保留二位小数。  </w:t>
      </w:r>
    </w:p>
    <w:p w14:paraId="74D61360">
      <w:pPr>
        <w:pStyle w:val="9"/>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定标办法</w:t>
      </w:r>
    </w:p>
    <w:p w14:paraId="30DAC129">
      <w:pPr>
        <w:pStyle w:val="9"/>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（1）以上得分最高者为第一中标候选人；若得分相同，则选择其中投标报价低者为中标候选人；若得分相同，投标报价也相同，当场按签到顺序抽签确定中标候选人。</w:t>
      </w:r>
    </w:p>
    <w:p w14:paraId="55068B99">
      <w:pPr>
        <w:keepNext w:val="0"/>
        <w:keepLines w:val="0"/>
        <w:pageBreakBefore w:val="0"/>
        <w:kinsoku/>
        <w:wordWrap/>
        <w:overflowPunct/>
        <w:topLinePunct w:val="0"/>
        <w:autoSpaceDE w:val="0"/>
        <w:autoSpaceDN w:val="0"/>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2）在评标结束前，评标委员会应在“信用中国”、中国执行信息公开网网站上对拟推荐为“中标候选人”的信用情况进行查询。投标人、项目负责人及其联合体中任何一个成员正被列为失信被执行人等情形的，评标委员会不得推荐为“中标候选人”，取消拟推荐为“中标候选人”资格后，评标委员会应按评标排名进行依次递补。</w:t>
      </w:r>
    </w:p>
    <w:p w14:paraId="64427C8D">
      <w:pPr>
        <w:keepNext w:val="0"/>
        <w:keepLines w:val="0"/>
        <w:pageBreakBefore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注意事项：</w:t>
      </w:r>
    </w:p>
    <w:p w14:paraId="79D3CC7C">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１．</w:t>
      </w:r>
      <w:r>
        <w:rPr>
          <w:rFonts w:hint="eastAsia" w:ascii="仿宋_GB2312" w:hAnsi="仿宋_GB2312" w:eastAsia="仿宋_GB2312" w:cs="仿宋_GB2312"/>
          <w:color w:val="auto"/>
          <w:sz w:val="32"/>
          <w:szCs w:val="32"/>
        </w:rPr>
        <w:t xml:space="preserve">一旦发现中标候选单位的投标建造师已有在建或已另有工程中标的，则取消其中标候选人资格，同时按相关法律法规处罚。 </w:t>
      </w:r>
    </w:p>
    <w:p w14:paraId="1188C8A9">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２．</w:t>
      </w:r>
      <w:r>
        <w:rPr>
          <w:rFonts w:hint="eastAsia" w:ascii="仿宋_GB2312" w:hAnsi="仿宋_GB2312" w:eastAsia="仿宋_GB2312" w:cs="仿宋_GB2312"/>
          <w:color w:val="auto"/>
          <w:sz w:val="32"/>
          <w:szCs w:val="32"/>
        </w:rPr>
        <w:t xml:space="preserve">一旦发现中标单位存在非法转包、转让、挂靠等行为的， 将依法进行处理 ，给招标人造成损失的，依法承担赔偿责任。 </w:t>
      </w:r>
    </w:p>
    <w:p w14:paraId="3E09B397">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３．</w:t>
      </w:r>
      <w:r>
        <w:rPr>
          <w:rFonts w:hint="eastAsia" w:ascii="仿宋_GB2312" w:hAnsi="仿宋_GB2312" w:eastAsia="仿宋_GB2312" w:cs="仿宋_GB2312"/>
          <w:color w:val="auto"/>
          <w:sz w:val="32"/>
          <w:szCs w:val="32"/>
        </w:rPr>
        <w:t>本工程招标公告中的评标细则与招标文件中的评标细则不一致时，以招标公告中的评标细则为准。</w:t>
      </w:r>
    </w:p>
    <w:p w14:paraId="67D11F2B">
      <w:pPr>
        <w:keepNext w:val="0"/>
        <w:keepLines w:val="0"/>
        <w:pageBreakBefore w:val="0"/>
        <w:widowControl w:val="0"/>
        <w:tabs>
          <w:tab w:val="left" w:pos="540"/>
          <w:tab w:val="left" w:pos="720"/>
          <w:tab w:val="left" w:pos="900"/>
          <w:tab w:val="left" w:pos="1080"/>
        </w:tabs>
        <w:kinsoku/>
        <w:wordWrap/>
        <w:overflowPunct/>
        <w:topLinePunct w:val="0"/>
        <w:bidi w:val="0"/>
        <w:adjustRightInd/>
        <w:snapToGrid/>
        <w:spacing w:beforeAutospacing="0" w:afterAutospacing="0" w:line="560" w:lineRule="exact"/>
        <w:ind w:left="0" w:leftChars="0" w:right="0" w:rightChars="0" w:firstLine="643" w:firstLineChars="200"/>
        <w:textAlignment w:val="auto"/>
        <w:rPr>
          <w:rFonts w:hint="eastAsia" w:ascii="仿宋_GB2312" w:hAnsi="仿宋_GB2312" w:eastAsia="仿宋_GB2312" w:cs="仿宋_GB2312"/>
          <w:b/>
          <w:color w:val="auto"/>
          <w:sz w:val="32"/>
          <w:szCs w:val="32"/>
        </w:rPr>
        <w:sectPr>
          <w:headerReference r:id="rId3" w:type="default"/>
          <w:footerReference r:id="rId4" w:type="default"/>
          <w:footerReference r:id="rId5" w:type="even"/>
          <w:pgSz w:w="11906" w:h="16838"/>
          <w:pgMar w:top="1134" w:right="1134" w:bottom="1134" w:left="1134" w:header="851" w:footer="992" w:gutter="0"/>
          <w:cols w:space="720" w:num="1"/>
          <w:titlePg/>
          <w:docGrid w:type="lines" w:linePitch="312" w:charSpace="0"/>
        </w:sectPr>
      </w:pPr>
    </w:p>
    <w:p w14:paraId="67E3E2B8">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firstLine="640" w:firstLineChars="200"/>
        <w:jc w:val="left"/>
        <w:textAlignment w:val="auto"/>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3</w:t>
      </w:r>
    </w:p>
    <w:p w14:paraId="3EECCC27">
      <w:pPr>
        <w:keepNext w:val="0"/>
        <w:keepLines w:val="0"/>
        <w:pageBreakBefore w:val="0"/>
        <w:tabs>
          <w:tab w:val="left" w:pos="0"/>
        </w:tabs>
        <w:kinsoku/>
        <w:wordWrap/>
        <w:overflowPunct/>
        <w:topLinePunct w:val="0"/>
        <w:bidi w:val="0"/>
        <w:spacing w:line="560" w:lineRule="exact"/>
        <w:ind w:left="0" w:leftChars="0" w:right="0" w:rightChars="0" w:firstLine="643" w:firstLineChars="200"/>
        <w:jc w:val="center"/>
        <w:rPr>
          <w:rFonts w:hint="eastAsia" w:ascii="仿宋_GB2312" w:hAnsi="仿宋_GB2312" w:eastAsia="仿宋_GB2312" w:cs="仿宋_GB2312"/>
          <w:b/>
          <w:color w:val="auto"/>
          <w:sz w:val="32"/>
          <w:szCs w:val="32"/>
        </w:rPr>
      </w:pPr>
    </w:p>
    <w:p w14:paraId="14EDD8F5">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法定代表人资格书</w:t>
      </w:r>
    </w:p>
    <w:p w14:paraId="7E1DB027">
      <w:pPr>
        <w:pStyle w:val="6"/>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单位名称：</w:t>
      </w:r>
    </w:p>
    <w:p w14:paraId="0B5A705C">
      <w:pPr>
        <w:pStyle w:val="6"/>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w:t>
      </w:r>
    </w:p>
    <w:p w14:paraId="34B42C37">
      <w:pPr>
        <w:pStyle w:val="6"/>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姓名：             性别：          年龄：          职务：</w:t>
      </w:r>
    </w:p>
    <w:p w14:paraId="7DD4B2CB">
      <w:pPr>
        <w:pStyle w:val="6"/>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系</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的法定代表人。为施工、竣工和保修</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的工程，签署上述工程的报名材料、资审材料、投标文件、进行合同谈判、签署合同和处理与之有关的一切事务。</w:t>
      </w:r>
    </w:p>
    <w:p w14:paraId="05EF9F01">
      <w:pPr>
        <w:pStyle w:val="6"/>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特此证明。</w:t>
      </w:r>
    </w:p>
    <w:p w14:paraId="2909BFD2">
      <w:pPr>
        <w:pStyle w:val="6"/>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投标人：(盖章)</w:t>
      </w:r>
    </w:p>
    <w:p w14:paraId="113FF05B">
      <w:pPr>
        <w:pStyle w:val="6"/>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日期：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14:paraId="0E6A9ECF">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5359309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231140</wp:posOffset>
                </wp:positionH>
                <wp:positionV relativeFrom="paragraph">
                  <wp:posOffset>258445</wp:posOffset>
                </wp:positionV>
                <wp:extent cx="4933950" cy="2882900"/>
                <wp:effectExtent l="4445" t="4445" r="14605" b="8255"/>
                <wp:wrapNone/>
                <wp:docPr id="4" name="文本框 4"/>
                <wp:cNvGraphicFramePr/>
                <a:graphic xmlns:a="http://schemas.openxmlformats.org/drawingml/2006/main">
                  <a:graphicData uri="http://schemas.microsoft.com/office/word/2010/wordprocessingShape">
                    <wps:wsp>
                      <wps:cNvSpPr txBox="1"/>
                      <wps:spPr>
                        <a:xfrm>
                          <a:off x="0" y="0"/>
                          <a:ext cx="4933950" cy="2882900"/>
                        </a:xfrm>
                        <a:prstGeom prst="rect">
                          <a:avLst/>
                        </a:prstGeom>
                        <a:noFill/>
                        <a:ln w="9525" cap="flat" cmpd="sng">
                          <a:solidFill>
                            <a:srgbClr val="000000"/>
                          </a:solidFill>
                          <a:prstDash val="solid"/>
                          <a:miter/>
                          <a:headEnd type="none" w="med" len="med"/>
                          <a:tailEnd type="none" w="med" len="med"/>
                        </a:ln>
                        <a:effectLst/>
                      </wps:spPr>
                      <wps:txbx>
                        <w:txbxContent>
                          <w:p w14:paraId="41187F43">
                            <w:pPr>
                              <w:rPr>
                                <w:b/>
                              </w:rPr>
                            </w:pPr>
                            <w:r>
                              <w:rPr>
                                <w:rFonts w:hint="eastAsia"/>
                                <w:b/>
                              </w:rPr>
                              <w:t>（此处为法定代表人身份证复印件粘贴处，未提供复印件的视为无效身份证明）</w:t>
                            </w:r>
                          </w:p>
                          <w:p w14:paraId="16741D64"/>
                        </w:txbxContent>
                      </wps:txbx>
                      <wps:bodyPr upright="1"/>
                    </wps:wsp>
                  </a:graphicData>
                </a:graphic>
              </wp:anchor>
            </w:drawing>
          </mc:Choice>
          <mc:Fallback>
            <w:pict>
              <v:shape id="_x0000_s1026" o:spid="_x0000_s1026" o:spt="202" type="#_x0000_t202" style="position:absolute;left:0pt;margin-left:18.2pt;margin-top:20.35pt;height:227pt;width:388.5pt;z-index:251659264;mso-width-relative:page;mso-height-relative:page;" filled="f" stroked="t" coordsize="21600,21600" o:gfxdata="UEsDBAoAAAAAAIdO4kAAAAAAAAAAAAAAAAAEAAAAZHJzL1BLAwQUAAAACACHTuJAepie99YAAAAJ&#10;AQAADwAAAGRycy9kb3ducmV2LnhtbE2PzU7DMBCE70i8g7VI3KidJmraEKcHCncIBa6beJtExHYU&#10;uz/w9CwnOO7M7Oy35fZiR3GiOQzeaUgWCgS51pvBdRr2r093axAhojM4ekcavijAtrq+KrEw/uxe&#10;6FTHTnCJCwVq6GOcCilD25PFsPATOfYOfrYYeZw7aWY8c7kd5VKplbQ4OL7Q40QPPbWf9dEyxvJj&#10;n+6ea8pzbNLd4/fb5vA+an17k6h7EJEu8S8Mv/i8AxUzNf7oTBCjhnSVcVJDpnIQ7K+TlIWGhU2W&#10;g6xK+f+D6gdQSwMEFAAAAAgAh07iQBlM+dgOAgAAHAQAAA4AAABkcnMvZTJvRG9jLnhtbK1TzY7T&#10;MBC+I/EOlu803W6L2qrpSlCWCwKkhQdwnUliyX/yuE36AvAGnLhw57n6HDt2umXZvfSwOThjz/ib&#10;+b4Zr256o9keAipnS341GnMGVrpK2abk37/dvplzhlHYSmhnoeQHQH6zfv1q1fklTFzrdAWBEYjF&#10;ZedL3sbol0WBsgUjcOQ8WHLWLhgRaRuaogqiI3Sji8l4/LboXKh8cBIQ6XQzOPkJMVwC6OpaSdg4&#10;uTNg44AaQItIlLBVHvk6V1vXIOOXukaITJecmMa8UhKyt2kt1iuxbILwrZKnEsQlJTzhZISylPQM&#10;tRFRsF1Qz6CMksGhq+NIOlMMRLIixOJq/ESbu1Z4yFxIavRn0fHlYOXn/dfAVFXyKWdWGGr48dfP&#10;4++/xz8/2DTJ03lcUtSdp7jYv3M9Dc3DOdJhYt3XwaQ/8WHkJ3EPZ3Ghj0zS4XRxfb2YkUuSbzKf&#10;TxbjLH/x77oPGD+CMywZJQ/UvSyq2H/CSKVQ6ENIymbdrdI6d1Bb1pV8MZvMCF/QVNY0DWQaT8zQ&#10;NhkGnVZVupIuY2i273Vge5EmI3+JFaX4Lyzl2whsh7jsGmbGqAgh525BVB9sxeLBk3qWHg1PxRio&#10;ONNAbyxZOTIKpS+JpCK0TUVCnuAT+dSIQfBkxX7bE2gyt646UHN2PqimJd1ye4rkoaHJlE4Dnqby&#10;8Z7sx496f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mJ731gAAAAkBAAAPAAAAAAAAAAEAIAAA&#10;ACIAAABkcnMvZG93bnJldi54bWxQSwECFAAUAAAACACHTuJAGUz52A4CAAAcBAAADgAAAAAAAAAB&#10;ACAAAAAlAQAAZHJzL2Uyb0RvYy54bWxQSwUGAAAAAAYABgBZAQAApQUAAAAA&#10;">
                <v:fill on="f" focussize="0,0"/>
                <v:stroke color="#000000" joinstyle="miter"/>
                <v:imagedata o:title=""/>
                <o:lock v:ext="edit" aspectratio="f"/>
                <v:textbox>
                  <w:txbxContent>
                    <w:p w14:paraId="41187F43">
                      <w:pPr>
                        <w:rPr>
                          <w:b/>
                        </w:rPr>
                      </w:pPr>
                      <w:r>
                        <w:rPr>
                          <w:rFonts w:hint="eastAsia"/>
                          <w:b/>
                        </w:rPr>
                        <w:t>（此处为法定代表人身份证复印件粘贴处，未提供复印件的视为无效身份证明）</w:t>
                      </w:r>
                    </w:p>
                    <w:p w14:paraId="16741D64"/>
                  </w:txbxContent>
                </v:textbox>
              </v:shape>
            </w:pict>
          </mc:Fallback>
        </mc:AlternateContent>
      </w:r>
    </w:p>
    <w:p w14:paraId="50127DD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6C2D516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7455A67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5230B12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31DB741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63AE49B2">
      <w:pPr>
        <w:keepNext w:val="0"/>
        <w:keepLines w:val="0"/>
        <w:pageBreakBefore w:val="0"/>
        <w:tabs>
          <w:tab w:val="left" w:pos="0"/>
        </w:tabs>
        <w:kinsoku/>
        <w:wordWrap/>
        <w:overflowPunct/>
        <w:topLinePunct w:val="0"/>
        <w:bidi w:val="0"/>
        <w:spacing w:line="560" w:lineRule="exact"/>
        <w:ind w:left="0" w:leftChars="0" w:right="0" w:rightChars="0" w:firstLine="643" w:firstLineChars="200"/>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br w:type="page"/>
      </w:r>
      <w:r>
        <w:rPr>
          <w:rFonts w:hint="eastAsia" w:ascii="方正小标宋简体" w:hAnsi="Times New Roman" w:eastAsia="方正小标宋简体" w:cs="方正小标宋简体"/>
          <w:bCs/>
          <w:color w:val="auto"/>
          <w:kern w:val="44"/>
          <w:sz w:val="44"/>
          <w:szCs w:val="44"/>
          <w:highlight w:val="none"/>
          <w:lang w:bidi="ar"/>
        </w:rPr>
        <w:t>授权委托书</w:t>
      </w:r>
    </w:p>
    <w:p w14:paraId="47556DA7">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本授权委托书声明：本人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（姓名）系</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（投标人名称）的法定代表人，现授权委托</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（单位名称）的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（姓名）为我公司代理人，参加</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（招标人）的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工程的投标活动。代理人在报名、资审、开标、评标、合同谈判过程中所签署的一切文件和处理与之有关的一切事务，我均予以承认。</w:t>
      </w:r>
    </w:p>
    <w:p w14:paraId="420C5615">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代理人无转委权。特此委托。</w:t>
      </w:r>
    </w:p>
    <w:p w14:paraId="38A15DA6">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代理人：     性别：    出生日期：</w:t>
      </w:r>
    </w:p>
    <w:p w14:paraId="08AA43DB">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       部门：    职务：</w:t>
      </w:r>
    </w:p>
    <w:p w14:paraId="18D0F0A2">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投标人：（盖章）</w:t>
      </w:r>
    </w:p>
    <w:p w14:paraId="45AC1DF6">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法定代表人：（签字或盖章）</w:t>
      </w:r>
    </w:p>
    <w:p w14:paraId="0A543072">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14:paraId="40A43DE1">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342265</wp:posOffset>
                </wp:positionH>
                <wp:positionV relativeFrom="paragraph">
                  <wp:posOffset>196850</wp:posOffset>
                </wp:positionV>
                <wp:extent cx="4933950" cy="2330450"/>
                <wp:effectExtent l="4445" t="4445" r="14605" b="12065"/>
                <wp:wrapNone/>
                <wp:docPr id="5" name="文本框 5"/>
                <wp:cNvGraphicFramePr/>
                <a:graphic xmlns:a="http://schemas.openxmlformats.org/drawingml/2006/main">
                  <a:graphicData uri="http://schemas.microsoft.com/office/word/2010/wordprocessingShape">
                    <wps:wsp>
                      <wps:cNvSpPr txBox="1"/>
                      <wps:spPr>
                        <a:xfrm>
                          <a:off x="0" y="0"/>
                          <a:ext cx="4933950" cy="2330450"/>
                        </a:xfrm>
                        <a:prstGeom prst="rect">
                          <a:avLst/>
                        </a:prstGeom>
                        <a:noFill/>
                        <a:ln w="9525" cap="flat" cmpd="sng">
                          <a:solidFill>
                            <a:srgbClr val="000000"/>
                          </a:solidFill>
                          <a:prstDash val="solid"/>
                          <a:miter/>
                          <a:headEnd type="none" w="med" len="med"/>
                          <a:tailEnd type="none" w="med" len="med"/>
                        </a:ln>
                        <a:effectLst/>
                      </wps:spPr>
                      <wps:txbx>
                        <w:txbxContent>
                          <w:p w14:paraId="352C301D">
                            <w:pPr>
                              <w:rPr>
                                <w:b/>
                              </w:rPr>
                            </w:pPr>
                            <w:r>
                              <w:rPr>
                                <w:rFonts w:hint="eastAsia"/>
                                <w:b/>
                              </w:rPr>
                              <w:t>（此处为被委托人身份证复印件粘贴处，未提供复印件的视为无效身份证明）</w:t>
                            </w:r>
                          </w:p>
                          <w:p w14:paraId="099E6201"/>
                        </w:txbxContent>
                      </wps:txbx>
                      <wps:bodyPr upright="1"/>
                    </wps:wsp>
                  </a:graphicData>
                </a:graphic>
              </wp:anchor>
            </w:drawing>
          </mc:Choice>
          <mc:Fallback>
            <w:pict>
              <v:shape id="_x0000_s1026" o:spid="_x0000_s1026" o:spt="202" type="#_x0000_t202" style="position:absolute;left:0pt;margin-left:26.95pt;margin-top:15.5pt;height:183.5pt;width:388.5pt;z-index:251660288;mso-width-relative:page;mso-height-relative:page;" filled="f" stroked="t" coordsize="21600,21600" o:gfxdata="UEsDBAoAAAAAAIdO4kAAAAAAAAAAAAAAAAAEAAAAZHJzL1BLAwQUAAAACACHTuJA3eB9/NMAAAAJ&#10;AQAADwAAAGRycy9kb3ducmV2LnhtbE1PyU7DMBC9I/EP1iD1Ru3UgiYhTg+03CEUuDrxNInwEsXu&#10;Al/PcILjvG3eqzYXZ9kJ5zgGryBbCmDou2BG3yvYvz7d5sBi0t5oGzwq+MIIm/r6qtKlCWf/gqcm&#10;9YxCfCy1giGlqeQ8dgM6HZdhQk/cIcxOJzrnnptZnyncWb4S4p47PXr6MOgJHwfsPpujoxqrj73c&#10;Pje4XutWbnffb8Xh3Sq1uMnEA7CEl/Qnht/65IGaOrXh6E1kVsGdLEipQGY0ifhcCgJaAopcAK8r&#10;/n9B/QNQSwMEFAAAAAgAh07iQNDq6j0KAgAAHAQAAA4AAABkcnMvZTJvRG9jLnhtbK1TzY7TMBC+&#10;I/EOlu803XaLaNR0JSjLBQHSwgO4ziSx5D953CZ9AXgDTly481x9DsZOt+zPpQdycMae8TfzfTNe&#10;3QxGsz0EVM5W/Goy5QysdLWybcW/fb199YYzjMLWQjsLFT8A8pv1yxer3pcwc53TNQRGIBbL3le8&#10;i9GXRYGyAyNw4jxYcjYuGBFpG9qiDqIndKOL2XT6uuhdqH1wEhDpdDM6+QkxXALomkZJ2Di5M2Dj&#10;iBpAi0iUsFMe+TpX2zQg4+emQYhMV5yYxrxSErK3aS3WK1G2QfhOyVMJ4pISnnAyQllKeobaiCjY&#10;LqhnUEbJ4NA1cSKdKUYiWRFicTV9os1dJzxkLiQ1+rPo+P9g5af9l8BUXfEFZ1YYavjx54/jrz/H&#10;39/ZIsnTeywp6s5TXBzeuoGG5v4c6TCxHppg0p/4MPKTuIezuDBEJunwejmfLxfkkuSbzefTa9oQ&#10;fvHvug8YP4AzLBkVD9S9LKrYf8Q4ht6HpGzW3Sqtcwe1ZX3Fl4sZsZCCprKhaSDTeGKGts0w6LSq&#10;05V0GUO7facD24s0Gfk7VfMoLOXbCOzGuOxKYaI0KkLIVgeifm9rFg+e1LP0aHgqxkDNmQZ6Y8nK&#10;kVEofUkkSaJtSgJ5gk/kUyNGwZMVh+1AoMncuvpAzdn5oNqOdMvtKZKHhiYLfBrwNJUP92Q/fNT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3gffzTAAAACQEAAA8AAAAAAAAAAQAgAAAAIgAAAGRy&#10;cy9kb3ducmV2LnhtbFBLAQIUABQAAAAIAIdO4kDQ6uo9CgIAABwEAAAOAAAAAAAAAAEAIAAAACIB&#10;AABkcnMvZTJvRG9jLnhtbFBLBQYAAAAABgAGAFkBAACeBQAAAAA=&#10;">
                <v:fill on="f" focussize="0,0"/>
                <v:stroke color="#000000" joinstyle="miter"/>
                <v:imagedata o:title=""/>
                <o:lock v:ext="edit" aspectratio="f"/>
                <v:textbox>
                  <w:txbxContent>
                    <w:p w14:paraId="352C301D">
                      <w:pPr>
                        <w:rPr>
                          <w:b/>
                        </w:rPr>
                      </w:pPr>
                      <w:r>
                        <w:rPr>
                          <w:rFonts w:hint="eastAsia"/>
                          <w:b/>
                        </w:rPr>
                        <w:t>（此处为被委托人身份证复印件粘贴处，未提供复印件的视为无效身份证明）</w:t>
                      </w:r>
                    </w:p>
                    <w:p w14:paraId="099E6201"/>
                  </w:txbxContent>
                </v:textbox>
              </v:shape>
            </w:pict>
          </mc:Fallback>
        </mc:AlternateContent>
      </w:r>
    </w:p>
    <w:p w14:paraId="2AA13E6F">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64FC59A6">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5CD355F5">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011C627A">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27445726">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08C31327">
      <w:pPr>
        <w:keepNext w:val="0"/>
        <w:keepLines w:val="0"/>
        <w:pageBreakBefore w:val="0"/>
        <w:tabs>
          <w:tab w:val="left" w:pos="0"/>
          <w:tab w:val="left" w:pos="993"/>
          <w:tab w:val="left" w:pos="1134"/>
        </w:tabs>
        <w:kinsoku/>
        <w:wordWrap/>
        <w:overflowPunct/>
        <w:topLinePunct w:val="0"/>
        <w:bidi w:val="0"/>
        <w:adjustRightInd w:val="0"/>
        <w:snapToGrid w:val="0"/>
        <w:spacing w:line="560" w:lineRule="exact"/>
        <w:ind w:left="0" w:leftChars="0" w:right="0" w:rightChars="0" w:firstLine="643" w:firstLineChars="200"/>
        <w:rPr>
          <w:rFonts w:hint="eastAsia" w:ascii="仿宋_GB2312" w:hAnsi="仿宋_GB2312" w:eastAsia="仿宋_GB2312" w:cs="仿宋_GB2312"/>
          <w:b/>
          <w:color w:val="auto"/>
          <w:sz w:val="32"/>
          <w:szCs w:val="32"/>
        </w:rPr>
      </w:pPr>
    </w:p>
    <w:p w14:paraId="03C4FD1E">
      <w:pPr>
        <w:keepNext w:val="0"/>
        <w:keepLines w:val="0"/>
        <w:pageBreakBefore w:val="0"/>
        <w:kinsoku/>
        <w:wordWrap/>
        <w:overflowPunct/>
        <w:topLinePunct w:val="0"/>
        <w:bidi w:val="0"/>
        <w:spacing w:line="560" w:lineRule="exact"/>
        <w:ind w:right="0" w:rightChars="0" w:firstLine="640" w:firstLineChars="200"/>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br w:type="page"/>
      </w:r>
    </w:p>
    <w:p w14:paraId="644F7BA6">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firstLine="640" w:firstLineChars="200"/>
        <w:jc w:val="left"/>
        <w:textAlignment w:val="auto"/>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4</w:t>
      </w:r>
    </w:p>
    <w:p w14:paraId="6F3FD4EA">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投标人信用承诺书</w:t>
      </w:r>
    </w:p>
    <w:p w14:paraId="05FA9390">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本单位及法定代表人，清楚知晓并参与本项目的招投标活动，并作出承诺如下：</w:t>
      </w:r>
    </w:p>
    <w:p w14:paraId="16DF6A9D">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一、遵循公开、公平、公正和诚实信用的原则，依法依规参与本项目招投标活动。</w:t>
      </w:r>
    </w:p>
    <w:p w14:paraId="78300E99">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二、严格按照本次招标文件中的投标人资格要求提供相应投标资料，并在</w:t>
      </w:r>
      <w:r>
        <w:rPr>
          <w:rFonts w:hint="eastAsia" w:ascii="仿宋_GB2312" w:hAnsi="仿宋_GB2312" w:eastAsia="仿宋_GB2312" w:cs="仿宋_GB2312"/>
          <w:color w:val="auto"/>
          <w:sz w:val="32"/>
          <w:szCs w:val="32"/>
          <w:highlight w:val="none"/>
          <w:lang w:eastAsia="zh-CN"/>
        </w:rPr>
        <w:t>E交易平台</w:t>
      </w:r>
      <w:r>
        <w:rPr>
          <w:rFonts w:hint="eastAsia" w:ascii="仿宋_GB2312" w:hAnsi="仿宋_GB2312" w:eastAsia="仿宋_GB2312" w:cs="仿宋_GB2312"/>
          <w:color w:val="auto"/>
          <w:sz w:val="32"/>
          <w:szCs w:val="32"/>
          <w:highlight w:val="none"/>
        </w:rPr>
        <w:t xml:space="preserve"> 中录入的所有企业信息和上传的企业资料都是真实、有效、准确且合法的，没有弄虚作假的情形。</w:t>
      </w:r>
    </w:p>
    <w:p w14:paraId="6A5C51A1">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三、在参与本项目招标投标活动中，不存在任何围标串标活动，也不存在以他人名义投标的行为。</w:t>
      </w:r>
    </w:p>
    <w:p w14:paraId="0E7F5DD3">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四、在参与本项目招投标活动中，投标项目负责人无在建工程。</w:t>
      </w:r>
    </w:p>
    <w:p w14:paraId="01A59609">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五、在参与本项目招投标活动中，若投标人或项目负责人为失信被执行人的，自愿放弃本次投标资格。</w:t>
      </w:r>
    </w:p>
    <w:p w14:paraId="40E00A19">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六、正确履行法律法规规定的投标人权利和义务，遵纪守法，清正廉洁，不徇私枉法，服从建设等行政主管部门监管，接受社会监督。</w:t>
      </w:r>
    </w:p>
    <w:p w14:paraId="30CEA936">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以上承诺是本单位及法定代表人真实意思的表示。若有违背上述承诺，存在违法违规、弄虚作假情形的，本单位及法定代表人自愿接受招标人否决本单位的投标资格或中标结果，承担相应法律责任，接受相应的行政处罚、失信惩戒、扣除信用分。</w:t>
      </w:r>
    </w:p>
    <w:p w14:paraId="2505E318">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本承诺书一经签订即作为中标合同的组成部分，对本单位参与本项目招投标活动的行为具有法律约束力。 </w:t>
      </w:r>
    </w:p>
    <w:p w14:paraId="329CC087">
      <w:pPr>
        <w:keepNext w:val="0"/>
        <w:keepLines w:val="0"/>
        <w:pageBreakBefore w:val="0"/>
        <w:kinsoku/>
        <w:wordWrap/>
        <w:overflowPunct/>
        <w:topLinePunct w:val="0"/>
        <w:bidi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投标人（盖章）：</w:t>
      </w:r>
    </w:p>
    <w:p w14:paraId="4206B067">
      <w:pPr>
        <w:keepNext w:val="0"/>
        <w:keepLines w:val="0"/>
        <w:pageBreakBefore w:val="0"/>
        <w:kinsoku/>
        <w:wordWrap/>
        <w:overflowPunct/>
        <w:topLinePunct w:val="0"/>
        <w:bidi w:val="0"/>
        <w:snapToGrid w:val="0"/>
        <w:spacing w:line="560" w:lineRule="exact"/>
        <w:ind w:left="0" w:leftChars="0" w:right="0" w:rightChars="0" w:firstLine="640" w:firstLineChars="200"/>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法定代表人（签字或盖章）：    </w:t>
      </w:r>
    </w:p>
    <w:p w14:paraId="3262F171">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453CD32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7FE6A16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0C474D6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00AEB73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1805E7D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704AE43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5A9AAEBB">
      <w:pPr>
        <w:keepNext w:val="0"/>
        <w:keepLines w:val="0"/>
        <w:pageBreakBefore w:val="0"/>
        <w:kinsoku/>
        <w:wordWrap/>
        <w:overflowPunct/>
        <w:topLinePunct w:val="0"/>
        <w:autoSpaceDE w:val="0"/>
        <w:autoSpaceDN w:val="0"/>
        <w:bidi w:val="0"/>
        <w:spacing w:line="560" w:lineRule="exact"/>
        <w:ind w:left="0" w:leftChars="0" w:right="0" w:rightChars="0" w:firstLine="624" w:firstLineChars="200"/>
        <w:textAlignment w:val="auto"/>
        <w:rPr>
          <w:rFonts w:hint="eastAsia" w:ascii="仿宋_GB2312" w:hAnsi="仿宋_GB2312" w:eastAsia="仿宋_GB2312" w:cs="仿宋_GB2312"/>
          <w:color w:val="auto"/>
          <w:spacing w:val="-4"/>
          <w:sz w:val="32"/>
          <w:szCs w:val="32"/>
          <w:highlight w:val="none"/>
        </w:rPr>
      </w:pPr>
    </w:p>
    <w:p w14:paraId="2047592D">
      <w:pPr>
        <w:keepNext w:val="0"/>
        <w:keepLines w:val="0"/>
        <w:pageBreakBefore w:val="0"/>
        <w:kinsoku/>
        <w:wordWrap/>
        <w:overflowPunct/>
        <w:topLinePunct w:val="0"/>
        <w:autoSpaceDE w:val="0"/>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p>
    <w:p w14:paraId="7055284A">
      <w:pPr>
        <w:keepNext w:val="0"/>
        <w:keepLines w:val="0"/>
        <w:pageBreakBefore w:val="0"/>
        <w:kinsoku/>
        <w:wordWrap/>
        <w:overflowPunct/>
        <w:topLinePunct w:val="0"/>
        <w:autoSpaceDE w:val="0"/>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p>
    <w:p w14:paraId="7AF596E8">
      <w:pPr>
        <w:keepNext w:val="0"/>
        <w:keepLines w:val="0"/>
        <w:pageBreakBefore w:val="0"/>
        <w:kinsoku/>
        <w:wordWrap/>
        <w:overflowPunct/>
        <w:topLinePunct w:val="0"/>
        <w:autoSpaceDE w:val="0"/>
        <w:autoSpaceDN w:val="0"/>
        <w:bidi w:val="0"/>
        <w:spacing w:line="560" w:lineRule="exact"/>
        <w:ind w:left="0" w:leftChars="0" w:right="0" w:rightChars="0" w:firstLine="624" w:firstLineChars="200"/>
        <w:textAlignment w:val="auto"/>
        <w:rPr>
          <w:rFonts w:hint="eastAsia" w:ascii="仿宋_GB2312" w:hAnsi="仿宋_GB2312" w:eastAsia="仿宋_GB2312" w:cs="仿宋_GB2312"/>
          <w:color w:val="auto"/>
          <w:spacing w:val="-4"/>
          <w:sz w:val="32"/>
          <w:szCs w:val="32"/>
          <w:highlight w:val="none"/>
          <w:lang w:val="en-US" w:eastAsia="zh-CN"/>
        </w:rPr>
      </w:pPr>
    </w:p>
    <w:sectPr>
      <w:footerReference r:id="rId6" w:type="default"/>
      <w:pgSz w:w="11906" w:h="16838"/>
      <w:pgMar w:top="1928" w:right="1361" w:bottom="2154" w:left="147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9E52E">
    <w:pPr>
      <w:pStyle w:val="7"/>
      <w:framePr w:wrap="around" w:vAnchor="text" w:hAnchor="margin" w:xAlign="center" w:y="2"/>
      <w:rPr>
        <w:rStyle w:val="13"/>
      </w:rPr>
    </w:pPr>
    <w:r>
      <w:fldChar w:fldCharType="begin"/>
    </w:r>
    <w:r>
      <w:rPr>
        <w:rStyle w:val="13"/>
      </w:rPr>
      <w:instrText xml:space="preserve">PAGE  </w:instrText>
    </w:r>
    <w:r>
      <w:fldChar w:fldCharType="separate"/>
    </w:r>
    <w:r>
      <w:rPr>
        <w:rStyle w:val="13"/>
      </w:rPr>
      <w:t>2</w:t>
    </w:r>
    <w:r>
      <w:fldChar w:fldCharType="end"/>
    </w:r>
  </w:p>
  <w:p w14:paraId="1E8D8E9A">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CFFF9">
    <w:pPr>
      <w:pStyle w:val="7"/>
      <w:framePr w:wrap="around" w:vAnchor="text" w:hAnchor="margin" w:xAlign="center" w:y="2"/>
      <w:rPr>
        <w:rStyle w:val="13"/>
      </w:rPr>
    </w:pPr>
    <w:r>
      <w:fldChar w:fldCharType="begin"/>
    </w:r>
    <w:r>
      <w:rPr>
        <w:rStyle w:val="13"/>
      </w:rPr>
      <w:instrText xml:space="preserve">PAGE  </w:instrText>
    </w:r>
    <w:r>
      <w:fldChar w:fldCharType="end"/>
    </w:r>
  </w:p>
  <w:p w14:paraId="0E894B15">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A79E1">
    <w:pPr>
      <w:pStyle w:val="7"/>
      <w:ind w:firstLine="360"/>
    </w:pPr>
    <w:r>
      <mc:AlternateContent>
        <mc:Choice Requires="wps">
          <w:drawing>
            <wp:anchor distT="0" distB="0" distL="114300" distR="114300" simplePos="0" relativeHeight="251659264" behindDoc="0" locked="0" layoutInCell="1" allowOverlap="1">
              <wp:simplePos x="0" y="0"/>
              <wp:positionH relativeFrom="margin">
                <wp:posOffset>2546985</wp:posOffset>
              </wp:positionH>
              <wp:positionV relativeFrom="paragraph">
                <wp:posOffset>-130810</wp:posOffset>
              </wp:positionV>
              <wp:extent cx="602615" cy="281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02615" cy="281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57BD48">
                          <w:pPr>
                            <w:pStyle w:val="7"/>
                            <w:jc w:val="center"/>
                            <w:rPr>
                              <w:sz w:val="28"/>
                            </w:rPr>
                          </w:pPr>
                          <w:r>
                            <w:rPr>
                              <w:sz w:val="28"/>
                            </w:rPr>
                            <w:fldChar w:fldCharType="begin"/>
                          </w:r>
                          <w:r>
                            <w:rPr>
                              <w:sz w:val="28"/>
                            </w:rPr>
                            <w:instrText xml:space="preserve"> PAGE  \* MERGEFORMAT </w:instrText>
                          </w:r>
                          <w:r>
                            <w:rPr>
                              <w:sz w:val="28"/>
                            </w:rPr>
                            <w:fldChar w:fldCharType="separate"/>
                          </w:r>
                          <w:r>
                            <w:rPr>
                              <w:sz w:val="28"/>
                            </w:rPr>
                            <w:t>1</w:t>
                          </w:r>
                          <w:r>
                            <w:rPr>
                              <w:sz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0.55pt;margin-top:-10.3pt;height:22.2pt;width:47.45pt;mso-position-horizontal-relative:margin;z-index:251659264;mso-width-relative:page;mso-height-relative:page;" filled="f" stroked="f" coordsize="21600,21600" o:gfxdata="UEsDBAoAAAAAAIdO4kAAAAAAAAAAAAAAAAAEAAAAZHJzL1BLAwQUAAAACACHTuJAdJHc2dkAAAAK&#10;AQAADwAAAGRycy9kb3ducmV2LnhtbE2Py07DMBBF90j8gzVI7FrboYpKiNMFjx2PUloJdk5ikgh7&#10;HNlOWv6eYQXL0Rzde265OTnLZhPi4FGBXApgBhvfDtgp2L89LNbAYtLYauvRKPg2ETbV+Vmpi9Yf&#10;8dXMu9QxCsFYaAV9SmPBeWx643Rc+tEg/T59cDrRGTreBn2kcGd5JkTOnR6QGno9mtveNF+7ySmw&#10;7zE81iJ9zHfdU9q+8OlwL5+VuryQ4gZYMqf0B8OvPqlDRU61n7CNzCpYCSkJVbDIRA6MiNV1Tutq&#10;BdnVGnhV8v8Tqh9QSwMEFAAAAAgAh07iQL0tbdQvAgAAVQQAAA4AAABkcnMvZTJvRG9jLnhtbK1U&#10;y24TMRTdI/EPlvd0kkCrEnVShUZFSBWtVBBrx+PJjGT7GtvpTPkA+ANWbNjzXfkOjj2TFBUWXbBx&#10;7vg+z7nHOTvvjWZ3yoeWbMmnRxPOlJVUtXZT8o8fLl+cchaisJXQZFXJ71Xg54vnz846N1czakhX&#10;yjMUsWHeuZI3Mbp5UQTZKCPCETll4azJGxHx6TdF5UWH6kYXs8nkpOjIV86TVCHgdjU4+VjRP6Ug&#10;1XUr1Yrk1igbh6peaREBKTStC3yRp61rJeN1XQcVmS45kMZ8ognsdTqLxZmYb7xwTSvHEcRTRniE&#10;yYjWoumh1EpEwba+/auUaaWnQHU8kmSKAUhmBCimk0fc3DbCqYwFVAd3ID38v7Ly/d2NZ20FJXBm&#10;hcHCd9+/7X782v38yqaJns6FOaJuHeJi/4b6FDreB1wm1H3tTfoFHgY/yL0/kKv6yCQuTyazk+kx&#10;ZxKu2en09atMfvGQ7HyIbxUZloySe+wuUyrurkJEQ4TuQ1IvS5et1nl/2rIODV4eT3LCwYMMbZGY&#10;IAyjJiv2636cf03VPWB5GnQRnLxs0fxKhHgjPIQAJHgq8RpHrQlNaLQ4a8h/+dd9isd+4OWsg7BK&#10;Hj5vhVec6XcWm0sq3Bt+b6z3ht2aC4JWsQ1Mk00k+Kj3Zu3JfMILWqYucAkr0avkcW9exEHeeIFS&#10;LZc5CFpzIl7ZWydT6YG+5TZS3WZmEy0DFyNbUFsmfHwZSc5/fueoh3+D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0kdzZ2QAAAAoBAAAPAAAAAAAAAAEAIAAAACIAAABkcnMvZG93bnJldi54bWxQ&#10;SwECFAAUAAAACACHTuJAvS1t1C8CAABVBAAADgAAAAAAAAABACAAAAAoAQAAZHJzL2Uyb0RvYy54&#10;bWxQSwUGAAAAAAYABgBZAQAAyQUAAAAA&#10;">
              <v:fill on="f" focussize="0,0"/>
              <v:stroke on="f" weight="0.5pt"/>
              <v:imagedata o:title=""/>
              <o:lock v:ext="edit" aspectratio="f"/>
              <v:textbox inset="0mm,0mm,0mm,0mm">
                <w:txbxContent>
                  <w:p w14:paraId="3E57BD48">
                    <w:pPr>
                      <w:pStyle w:val="7"/>
                      <w:jc w:val="center"/>
                      <w:rPr>
                        <w:sz w:val="28"/>
                      </w:rPr>
                    </w:pPr>
                    <w:r>
                      <w:rPr>
                        <w:sz w:val="28"/>
                      </w:rPr>
                      <w:fldChar w:fldCharType="begin"/>
                    </w:r>
                    <w:r>
                      <w:rPr>
                        <w:sz w:val="28"/>
                      </w:rPr>
                      <w:instrText xml:space="preserve"> PAGE  \* MERGEFORMAT </w:instrText>
                    </w:r>
                    <w:r>
                      <w:rPr>
                        <w:sz w:val="28"/>
                      </w:rPr>
                      <w:fldChar w:fldCharType="separate"/>
                    </w:r>
                    <w:r>
                      <w:rPr>
                        <w:sz w:val="28"/>
                      </w:rPr>
                      <w:t>1</w:t>
                    </w:r>
                    <w:r>
                      <w:rPr>
                        <w:sz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7CA5D">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MDJhOGQyNjk0MWY4MjFkYWRjODc3ZmY5YzM2OGQifQ=="/>
  </w:docVars>
  <w:rsids>
    <w:rsidRoot w:val="4E7A625A"/>
    <w:rsid w:val="00A01A0A"/>
    <w:rsid w:val="00B51FAF"/>
    <w:rsid w:val="00C220B7"/>
    <w:rsid w:val="00F0589F"/>
    <w:rsid w:val="013851DA"/>
    <w:rsid w:val="01722330"/>
    <w:rsid w:val="018E14F6"/>
    <w:rsid w:val="01BE1198"/>
    <w:rsid w:val="029137FA"/>
    <w:rsid w:val="03647853"/>
    <w:rsid w:val="054144F3"/>
    <w:rsid w:val="05CB4E38"/>
    <w:rsid w:val="06033F82"/>
    <w:rsid w:val="06236B88"/>
    <w:rsid w:val="06690735"/>
    <w:rsid w:val="068E3768"/>
    <w:rsid w:val="06940536"/>
    <w:rsid w:val="073C3880"/>
    <w:rsid w:val="08AD2EF4"/>
    <w:rsid w:val="08CC4A1B"/>
    <w:rsid w:val="090048DC"/>
    <w:rsid w:val="0A305844"/>
    <w:rsid w:val="0AC63F81"/>
    <w:rsid w:val="0BBE4019"/>
    <w:rsid w:val="0C10591B"/>
    <w:rsid w:val="0C7B72F6"/>
    <w:rsid w:val="0E96630C"/>
    <w:rsid w:val="0F362BEE"/>
    <w:rsid w:val="10495085"/>
    <w:rsid w:val="105E7254"/>
    <w:rsid w:val="10623011"/>
    <w:rsid w:val="113B44EC"/>
    <w:rsid w:val="11B81FE1"/>
    <w:rsid w:val="12396644"/>
    <w:rsid w:val="13B33406"/>
    <w:rsid w:val="1407618A"/>
    <w:rsid w:val="140A17A1"/>
    <w:rsid w:val="141E6E98"/>
    <w:rsid w:val="157C2289"/>
    <w:rsid w:val="1586742B"/>
    <w:rsid w:val="161964C6"/>
    <w:rsid w:val="168D7598"/>
    <w:rsid w:val="17251F02"/>
    <w:rsid w:val="191507FE"/>
    <w:rsid w:val="19694374"/>
    <w:rsid w:val="1B213295"/>
    <w:rsid w:val="1B4A3ACE"/>
    <w:rsid w:val="1B4C2CD0"/>
    <w:rsid w:val="1B565763"/>
    <w:rsid w:val="1C391C39"/>
    <w:rsid w:val="1C3D736A"/>
    <w:rsid w:val="1CB117C2"/>
    <w:rsid w:val="1D777799"/>
    <w:rsid w:val="1DD65CC8"/>
    <w:rsid w:val="1E54175F"/>
    <w:rsid w:val="1E56319D"/>
    <w:rsid w:val="1F163E84"/>
    <w:rsid w:val="1F325180"/>
    <w:rsid w:val="1F8343DB"/>
    <w:rsid w:val="20396400"/>
    <w:rsid w:val="20480747"/>
    <w:rsid w:val="2164555B"/>
    <w:rsid w:val="218B0B78"/>
    <w:rsid w:val="219C367C"/>
    <w:rsid w:val="21DD7533"/>
    <w:rsid w:val="21FD729B"/>
    <w:rsid w:val="220B1557"/>
    <w:rsid w:val="22993263"/>
    <w:rsid w:val="24A7216D"/>
    <w:rsid w:val="24AA7A3F"/>
    <w:rsid w:val="24BB4C9A"/>
    <w:rsid w:val="25CA2B30"/>
    <w:rsid w:val="269F1681"/>
    <w:rsid w:val="26B618CC"/>
    <w:rsid w:val="27DE2FC0"/>
    <w:rsid w:val="27EA561F"/>
    <w:rsid w:val="28CA01D8"/>
    <w:rsid w:val="2A614A98"/>
    <w:rsid w:val="2C244FA1"/>
    <w:rsid w:val="2C6142AE"/>
    <w:rsid w:val="2CCF4C96"/>
    <w:rsid w:val="2E417D09"/>
    <w:rsid w:val="2EA3406A"/>
    <w:rsid w:val="2F124E51"/>
    <w:rsid w:val="2F4733FE"/>
    <w:rsid w:val="2F913390"/>
    <w:rsid w:val="2FBD0A5E"/>
    <w:rsid w:val="2FE619F1"/>
    <w:rsid w:val="30731155"/>
    <w:rsid w:val="33081F33"/>
    <w:rsid w:val="33D32CCC"/>
    <w:rsid w:val="34FD1935"/>
    <w:rsid w:val="384977AD"/>
    <w:rsid w:val="3CFD4441"/>
    <w:rsid w:val="3D6F7BC4"/>
    <w:rsid w:val="3DDE0DD4"/>
    <w:rsid w:val="3DF8713D"/>
    <w:rsid w:val="3E0A4B97"/>
    <w:rsid w:val="3EA9688B"/>
    <w:rsid w:val="3EBA0082"/>
    <w:rsid w:val="3EFD02AE"/>
    <w:rsid w:val="3F6F2FB1"/>
    <w:rsid w:val="3FE24949"/>
    <w:rsid w:val="40774C14"/>
    <w:rsid w:val="410200B3"/>
    <w:rsid w:val="425158A3"/>
    <w:rsid w:val="42AC759A"/>
    <w:rsid w:val="42C002CF"/>
    <w:rsid w:val="44FA347A"/>
    <w:rsid w:val="45290F50"/>
    <w:rsid w:val="452B1BAF"/>
    <w:rsid w:val="45812155"/>
    <w:rsid w:val="484D176C"/>
    <w:rsid w:val="48F32012"/>
    <w:rsid w:val="4A7B65EB"/>
    <w:rsid w:val="4B751DCD"/>
    <w:rsid w:val="4D1865A3"/>
    <w:rsid w:val="4E3E6DEE"/>
    <w:rsid w:val="4E7A625A"/>
    <w:rsid w:val="4EDD74E8"/>
    <w:rsid w:val="4F020368"/>
    <w:rsid w:val="4F80608F"/>
    <w:rsid w:val="4FC43323"/>
    <w:rsid w:val="503572C0"/>
    <w:rsid w:val="511757F2"/>
    <w:rsid w:val="511D4F82"/>
    <w:rsid w:val="51B3364F"/>
    <w:rsid w:val="55850EFA"/>
    <w:rsid w:val="55AD03B6"/>
    <w:rsid w:val="566B3D9C"/>
    <w:rsid w:val="57DA1D5C"/>
    <w:rsid w:val="57DD440B"/>
    <w:rsid w:val="57F24E68"/>
    <w:rsid w:val="58BB30A2"/>
    <w:rsid w:val="58EF4377"/>
    <w:rsid w:val="58F447C2"/>
    <w:rsid w:val="594E12AA"/>
    <w:rsid w:val="59537B91"/>
    <w:rsid w:val="5966217F"/>
    <w:rsid w:val="59C15A6E"/>
    <w:rsid w:val="59F2097D"/>
    <w:rsid w:val="5A186745"/>
    <w:rsid w:val="5AB3021C"/>
    <w:rsid w:val="5B432946"/>
    <w:rsid w:val="5BD73D3B"/>
    <w:rsid w:val="5C1473E0"/>
    <w:rsid w:val="5E137A36"/>
    <w:rsid w:val="5E5553C7"/>
    <w:rsid w:val="607C3927"/>
    <w:rsid w:val="612B684E"/>
    <w:rsid w:val="61527712"/>
    <w:rsid w:val="63176E75"/>
    <w:rsid w:val="637A5646"/>
    <w:rsid w:val="639A01CB"/>
    <w:rsid w:val="63F4603A"/>
    <w:rsid w:val="63FA4B54"/>
    <w:rsid w:val="64093F70"/>
    <w:rsid w:val="651346D9"/>
    <w:rsid w:val="654C5013"/>
    <w:rsid w:val="65923B91"/>
    <w:rsid w:val="66017F6E"/>
    <w:rsid w:val="66D90E30"/>
    <w:rsid w:val="68110444"/>
    <w:rsid w:val="68352BB8"/>
    <w:rsid w:val="68AB6990"/>
    <w:rsid w:val="69173724"/>
    <w:rsid w:val="6AA40BD1"/>
    <w:rsid w:val="6BEB5FCA"/>
    <w:rsid w:val="6BFA3EFD"/>
    <w:rsid w:val="6E2C2368"/>
    <w:rsid w:val="6F257305"/>
    <w:rsid w:val="70162D6E"/>
    <w:rsid w:val="704045D3"/>
    <w:rsid w:val="70B22A76"/>
    <w:rsid w:val="70E76A1A"/>
    <w:rsid w:val="71726A12"/>
    <w:rsid w:val="72223297"/>
    <w:rsid w:val="73B75D5F"/>
    <w:rsid w:val="73E0463F"/>
    <w:rsid w:val="74231ACE"/>
    <w:rsid w:val="748553D3"/>
    <w:rsid w:val="76527987"/>
    <w:rsid w:val="773E295A"/>
    <w:rsid w:val="77B57F4F"/>
    <w:rsid w:val="77D15D7E"/>
    <w:rsid w:val="78091B5E"/>
    <w:rsid w:val="782B1ACF"/>
    <w:rsid w:val="783B658D"/>
    <w:rsid w:val="786C52AB"/>
    <w:rsid w:val="78AD248D"/>
    <w:rsid w:val="7A4C17D5"/>
    <w:rsid w:val="7C865339"/>
    <w:rsid w:val="7C907F65"/>
    <w:rsid w:val="7C98391B"/>
    <w:rsid w:val="7D64046A"/>
    <w:rsid w:val="7D8A04D8"/>
    <w:rsid w:val="7DC26768"/>
    <w:rsid w:val="7E5D61B0"/>
    <w:rsid w:val="7EB70070"/>
    <w:rsid w:val="7FC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next w:val="1"/>
    <w:autoRedefine/>
    <w:qFormat/>
    <w:uiPriority w:val="0"/>
    <w:pPr>
      <w:spacing w:after="100" w:line="440" w:lineRule="exact"/>
      <w:ind w:right="-2" w:rightChars="-1"/>
    </w:pPr>
    <w:rPr>
      <w:rFonts w:ascii="宋体" w:hAnsi="宋体"/>
      <w:sz w:val="28"/>
    </w:rPr>
  </w:style>
  <w:style w:type="paragraph" w:styleId="4">
    <w:name w:val="Body Text Indent"/>
    <w:basedOn w:val="1"/>
    <w:next w:val="5"/>
    <w:autoRedefine/>
    <w:qFormat/>
    <w:uiPriority w:val="0"/>
    <w:pPr>
      <w:spacing w:line="360" w:lineRule="auto"/>
      <w:ind w:firstLine="570"/>
    </w:pPr>
    <w:rPr>
      <w:sz w:val="24"/>
    </w:rPr>
  </w:style>
  <w:style w:type="paragraph" w:styleId="5">
    <w:name w:val="Body Text First Indent 2"/>
    <w:basedOn w:val="1"/>
    <w:next w:val="1"/>
    <w:autoRedefine/>
    <w:qFormat/>
    <w:uiPriority w:val="99"/>
    <w:pPr>
      <w:spacing w:after="120"/>
      <w:ind w:left="420" w:leftChars="200" w:firstLine="420"/>
    </w:pPr>
    <w:rPr>
      <w:color w:val="000000"/>
      <w:sz w:val="20"/>
    </w:rPr>
  </w:style>
  <w:style w:type="paragraph" w:styleId="6">
    <w:name w:val="Plain Text"/>
    <w:basedOn w:val="1"/>
    <w:qFormat/>
    <w:uiPriority w:val="0"/>
    <w:rPr>
      <w:rFonts w:ascii="宋体" w:hAnsi="Courier New"/>
      <w:szCs w:val="24"/>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basedOn w:val="11"/>
    <w:autoRedefine/>
    <w:qFormat/>
    <w:uiPriority w:val="22"/>
    <w:rPr>
      <w:b/>
      <w:bCs/>
    </w:rPr>
  </w:style>
  <w:style w:type="character" w:styleId="13">
    <w:name w:val="page number"/>
    <w:qFormat/>
    <w:uiPriority w:val="0"/>
  </w:style>
  <w:style w:type="character" w:styleId="14">
    <w:name w:val="Hyperlink"/>
    <w:basedOn w:val="11"/>
    <w:autoRedefine/>
    <w:qFormat/>
    <w:uiPriority w:val="0"/>
    <w:rPr>
      <w:color w:val="0000FF"/>
      <w:u w:val="single"/>
    </w:rPr>
  </w:style>
  <w:style w:type="paragraph" w:customStyle="1" w:styleId="15">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5417</Words>
  <Characters>5600</Characters>
  <Lines>19</Lines>
  <Paragraphs>5</Paragraphs>
  <TotalTime>51</TotalTime>
  <ScaleCrop>false</ScaleCrop>
  <LinksUpToDate>false</LinksUpToDate>
  <CharactersWithSpaces>5873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2024-01-31T19:09:00Z</dcterms:created>
  <dc:creator>糖果</dc:creator>
  <cp:lastModifiedBy>刘潍</cp:lastModifiedBy>
  <dcterms:modified xsi:type="dcterms:W3CDTF">2025-02-14T00:47:10Z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23E0CDF9B77747A09F194D22751DA1A5_13</vt:lpwstr>
  </property>
  <property fmtid="{D5CDD505-2E9C-101B-9397-08002B2CF9AE}" pid="4" name="KSOTemplateDocerSaveRecord">
    <vt:lpwstr>eyJoZGlkIjoiMDc3OTNlYWQ1N2NiMGU1ODNiOTdkNWRiYjRlY2Q5ZTciLCJ1c2VySWQiOiI2MDg1NjgyMTAifQ==</vt:lpwstr>
  </property>
</Properties>
</file>