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83" w:rsidRDefault="00BC7683">
      <w:pPr>
        <w:overflowPunct w:val="0"/>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政</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府</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工</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作</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报</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告</w:t>
      </w:r>
    </w:p>
    <w:p w:rsidR="00092E83" w:rsidRDefault="00BC7683">
      <w:pPr>
        <w:overflowPunct w:val="0"/>
        <w:spacing w:line="500" w:lineRule="exact"/>
        <w:jc w:val="center"/>
        <w:rPr>
          <w:rFonts w:ascii="楷体_GB2312" w:eastAsia="楷体_GB2312"/>
          <w:sz w:val="32"/>
          <w:szCs w:val="32"/>
        </w:rPr>
      </w:pPr>
      <w:bookmarkStart w:id="0" w:name="OLE_LINK3"/>
      <w:bookmarkStart w:id="1" w:name="OLE_LINK4"/>
      <w:r>
        <w:rPr>
          <w:rFonts w:hint="eastAsia"/>
          <w:spacing w:val="-10"/>
          <w:sz w:val="28"/>
          <w:szCs w:val="28"/>
        </w:rPr>
        <w:t>——</w:t>
      </w:r>
      <w:r>
        <w:rPr>
          <w:rFonts w:ascii="楷体_GB2312" w:eastAsia="楷体_GB2312" w:hint="eastAsia"/>
          <w:sz w:val="32"/>
          <w:szCs w:val="32"/>
        </w:rPr>
        <w:t>2025年1月4日在常州市新北区</w:t>
      </w:r>
    </w:p>
    <w:p w:rsidR="00092E83" w:rsidRDefault="00BC7683">
      <w:pPr>
        <w:overflowPunct w:val="0"/>
        <w:spacing w:line="500" w:lineRule="exact"/>
        <w:jc w:val="center"/>
        <w:rPr>
          <w:rFonts w:ascii="楷体_GB2312" w:eastAsia="楷体_GB2312"/>
          <w:sz w:val="32"/>
          <w:szCs w:val="32"/>
        </w:rPr>
      </w:pPr>
      <w:r>
        <w:rPr>
          <w:rFonts w:ascii="楷体_GB2312" w:eastAsia="楷体_GB2312" w:hint="eastAsia"/>
          <w:sz w:val="32"/>
          <w:szCs w:val="32"/>
        </w:rPr>
        <w:t>第五届人民代表大会第四次会议上</w:t>
      </w:r>
    </w:p>
    <w:p w:rsidR="00092E83" w:rsidRDefault="00BC7683">
      <w:pPr>
        <w:overflowPunct w:val="0"/>
        <w:spacing w:line="500" w:lineRule="exact"/>
        <w:jc w:val="center"/>
        <w:rPr>
          <w:rFonts w:ascii="楷体_GB2312" w:eastAsia="楷体_GB2312" w:hAnsi="Times New Roman" w:cs="Times New Roman"/>
          <w:sz w:val="32"/>
          <w:szCs w:val="32"/>
        </w:rPr>
      </w:pPr>
      <w:r>
        <w:rPr>
          <w:rFonts w:ascii="楷体_GB2312" w:eastAsia="楷体_GB2312" w:hAnsi="Times New Roman" w:cs="Times New Roman" w:hint="eastAsia"/>
          <w:sz w:val="32"/>
          <w:szCs w:val="32"/>
        </w:rPr>
        <w:t>石旭涌</w:t>
      </w:r>
    </w:p>
    <w:p w:rsidR="00092E83" w:rsidRDefault="00092E83">
      <w:pPr>
        <w:overflowPunct w:val="0"/>
        <w:spacing w:line="500" w:lineRule="exact"/>
        <w:jc w:val="center"/>
        <w:rPr>
          <w:rFonts w:ascii="Times New Roman" w:eastAsia="仿宋_GB2312" w:hAnsi="Times New Roman" w:cs="Times New Roman"/>
          <w:sz w:val="32"/>
          <w:szCs w:val="32"/>
        </w:rPr>
      </w:pPr>
    </w:p>
    <w:p w:rsidR="00092E83" w:rsidRDefault="00BC7683">
      <w:pPr>
        <w:overflowPunct w:val="0"/>
        <w:spacing w:line="500" w:lineRule="exact"/>
        <w:rPr>
          <w:rFonts w:ascii="仿宋_GB2312" w:eastAsia="仿宋_GB2312" w:hAnsi="宋体"/>
          <w:sz w:val="32"/>
          <w:szCs w:val="32"/>
        </w:rPr>
      </w:pPr>
      <w:r>
        <w:rPr>
          <w:rFonts w:ascii="仿宋_GB2312" w:eastAsia="仿宋_GB2312" w:hAnsi="宋体" w:cs="仿宋_GB2312" w:hint="eastAsia"/>
          <w:sz w:val="32"/>
          <w:szCs w:val="32"/>
        </w:rPr>
        <w:t>各位代表、同志们：</w:t>
      </w:r>
    </w:p>
    <w:p w:rsidR="00092E83" w:rsidRDefault="00BC7683">
      <w:pPr>
        <w:overflowPunct w:val="0"/>
        <w:spacing w:line="500" w:lineRule="exact"/>
        <w:ind w:firstLineChars="200" w:firstLine="640"/>
        <w:jc w:val="left"/>
        <w:rPr>
          <w:rFonts w:ascii="黑体" w:eastAsia="黑体" w:hAnsi="黑体"/>
          <w:sz w:val="32"/>
          <w:szCs w:val="32"/>
        </w:rPr>
      </w:pPr>
      <w:r>
        <w:rPr>
          <w:rFonts w:ascii="仿宋_GB2312" w:eastAsia="仿宋_GB2312" w:cs="仿宋_GB2312" w:hint="eastAsia"/>
          <w:kern w:val="0"/>
          <w:sz w:val="32"/>
          <w:szCs w:val="32"/>
        </w:rPr>
        <w:t>现在，我代表区人民政府向大会报告工作，请予审议，并请各位政协委员</w:t>
      </w:r>
      <w:r>
        <w:rPr>
          <w:rFonts w:ascii="仿宋_GB2312" w:eastAsia="仿宋_GB2312" w:hAnsi="宋体" w:cs="仿宋_GB2312" w:hint="eastAsia"/>
          <w:kern w:val="0"/>
          <w:sz w:val="32"/>
          <w:szCs w:val="32"/>
        </w:rPr>
        <w:t>和其他列席会议的同志提出意见和建议。</w:t>
      </w:r>
    </w:p>
    <w:p w:rsidR="00092E83" w:rsidRDefault="00092E83">
      <w:pPr>
        <w:overflowPunct w:val="0"/>
        <w:spacing w:line="500" w:lineRule="exact"/>
        <w:rPr>
          <w:rFonts w:ascii="黑体" w:eastAsia="黑体" w:hAnsi="黑体"/>
          <w:sz w:val="32"/>
          <w:szCs w:val="32"/>
        </w:rPr>
      </w:pPr>
    </w:p>
    <w:p w:rsidR="00092E83" w:rsidRDefault="00BC7683">
      <w:pPr>
        <w:overflowPunct w:val="0"/>
        <w:spacing w:line="500" w:lineRule="exact"/>
        <w:jc w:val="center"/>
        <w:rPr>
          <w:rFonts w:ascii="黑体" w:eastAsia="黑体" w:hAnsi="黑体"/>
          <w:sz w:val="32"/>
          <w:szCs w:val="32"/>
        </w:rPr>
      </w:pPr>
      <w:r>
        <w:rPr>
          <w:rFonts w:ascii="黑体" w:eastAsia="黑体" w:hAnsi="黑体" w:hint="eastAsia"/>
          <w:sz w:val="32"/>
          <w:szCs w:val="32"/>
        </w:rPr>
        <w:t>一、2024年工作回顾</w:t>
      </w:r>
    </w:p>
    <w:p w:rsidR="00092E83" w:rsidRDefault="00BC7683">
      <w:pPr>
        <w:overflowPunct w:val="0"/>
        <w:spacing w:line="500" w:lineRule="exact"/>
        <w:ind w:firstLineChars="200" w:firstLine="640"/>
        <w:rPr>
          <w:rFonts w:ascii="仿宋_GB2312" w:eastAsia="仿宋_GB2312" w:hAnsi="宋体" w:cs="仿宋_GB2312"/>
          <w:kern w:val="0"/>
          <w:sz w:val="32"/>
          <w:szCs w:val="32"/>
          <w:highlight w:val="yellow"/>
        </w:rPr>
      </w:pPr>
      <w:r>
        <w:rPr>
          <w:rFonts w:ascii="仿宋_GB2312" w:eastAsia="仿宋_GB2312" w:hAnsi="宋体" w:cs="仿宋_GB2312" w:hint="eastAsia"/>
          <w:kern w:val="0"/>
          <w:sz w:val="32"/>
          <w:szCs w:val="32"/>
        </w:rPr>
        <w:t>刚刚过去的2024年，是实现“十四五”规划目标任务的关键一年，也是常州“万亿之城再出发”的第一年。一年来，我们坚持以习近平新时代中国特色社会主义思想为指引，全面贯彻落实党的二十大和二十届二中、三中全会精神以及习近平总书记对江苏工作重要讲话精神，在上级和区委的坚强领导下，在区人大、区政协的监督支持下，坚持稳中求进工作总基调，顶住外部压力、克服内部困难，各项工作取得新进展新成效。</w:t>
      </w:r>
    </w:p>
    <w:p w:rsidR="00092E83" w:rsidRDefault="00BC7683">
      <w:pPr>
        <w:overflowPunct w:val="0"/>
        <w:spacing w:line="500" w:lineRule="exact"/>
        <w:ind w:firstLine="641"/>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回望这一年，</w:t>
      </w:r>
      <w:r>
        <w:rPr>
          <w:rFonts w:ascii="楷体_GB2312" w:eastAsia="楷体_GB2312" w:hAnsi="楷体_GB2312" w:cs="楷体_GB2312" w:hint="eastAsia"/>
          <w:b/>
          <w:bCs/>
          <w:kern w:val="0"/>
          <w:sz w:val="32"/>
          <w:szCs w:val="32"/>
        </w:rPr>
        <w:t>我们全力巩固回升向好态势，“新北答卷”尽显韧劲。</w:t>
      </w:r>
      <w:r w:rsidRPr="00A15C79">
        <w:rPr>
          <w:rFonts w:ascii="仿宋_GB2312" w:eastAsia="仿宋_GB2312" w:hAnsi="宋体" w:cs="仿宋_GB2312" w:hint="eastAsia"/>
          <w:kern w:val="0"/>
          <w:sz w:val="32"/>
          <w:szCs w:val="32"/>
        </w:rPr>
        <w:t>全年地区生产总值超2200亿元，同比增长6.2%，人均GDP首超24万元；一般公共预算收入突破150亿元，同比增长4.6%；规上工业总产值近4000亿元；完成固定资产投资495.1亿元，其中工业投资280.7亿元、同比增长9.6%；服务业全口径开票销售超过3400亿元，稳居全市第一；全年新增“四上”单位近360家，总数超3760家、全市第一。全力以赴稳外资稳外贸，实现进出口总额1327.9亿元、实际利用外资5.2亿美元。</w:t>
      </w:r>
      <w:r>
        <w:rPr>
          <w:rFonts w:ascii="仿宋_GB2312" w:eastAsia="仿宋_GB2312" w:hAnsi="宋体" w:cs="仿宋_GB2312" w:hint="eastAsia"/>
          <w:kern w:val="0"/>
          <w:sz w:val="32"/>
          <w:szCs w:val="32"/>
        </w:rPr>
        <w:t>新北区已连续四年</w:t>
      </w:r>
      <w:r>
        <w:rPr>
          <w:rFonts w:ascii="仿宋_GB2312" w:eastAsia="仿宋_GB2312" w:hAnsi="宋体" w:cs="仿宋_GB2312" w:hint="eastAsia"/>
          <w:kern w:val="0"/>
          <w:sz w:val="32"/>
          <w:szCs w:val="32"/>
        </w:rPr>
        <w:lastRenderedPageBreak/>
        <w:t>获评全省高质量发展先进区，“十四五”规划中的50项主要目标已有近三分之一提前一年达成。</w:t>
      </w:r>
      <w:r>
        <w:rPr>
          <w:rFonts w:ascii="楷体_GB2312" w:eastAsia="楷体_GB2312" w:hAnsi="楷体_GB2312" w:cs="楷体_GB2312" w:hint="eastAsia"/>
          <w:b/>
          <w:bCs/>
          <w:kern w:val="0"/>
          <w:sz w:val="32"/>
          <w:szCs w:val="32"/>
        </w:rPr>
        <w:t>我们坚持全面深化改革开放，“新北发展”活力澎湃。</w:t>
      </w:r>
      <w:r>
        <w:rPr>
          <w:rFonts w:ascii="仿宋_GB2312" w:eastAsia="仿宋_GB2312" w:hAnsi="宋体" w:cs="仿宋_GB2312" w:hint="eastAsia"/>
          <w:kern w:val="0"/>
          <w:sz w:val="32"/>
          <w:szCs w:val="32"/>
        </w:rPr>
        <w:t>总投资20亿美元的安米新能源软磁项目成为全市历史上、全省近年来单体投资最大的外资项目，15家企业获评市级突出贡献外资企业、占全市“半壁江山”。</w:t>
      </w:r>
      <w:r>
        <w:rPr>
          <w:rFonts w:ascii="仿宋_GB2312" w:eastAsia="仿宋_GB2312" w:hAnsi="仿宋_GB2312" w:cs="仿宋_GB2312" w:hint="eastAsia"/>
          <w:sz w:val="32"/>
          <w:szCs w:val="32"/>
        </w:rPr>
        <w:t>常州瑞士中心盛大开幕，瑞士驻华大使亲临现场见证</w:t>
      </w:r>
      <w:r>
        <w:rPr>
          <w:rFonts w:ascii="仿宋_GB2312" w:eastAsia="仿宋_GB2312" w:hAnsi="宋体" w:cs="仿宋_GB2312" w:hint="eastAsia"/>
          <w:kern w:val="0"/>
          <w:sz w:val="32"/>
          <w:szCs w:val="32"/>
        </w:rPr>
        <w:t>。比亚迪“常州号”滚装船扬帆起航，超</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万辆新能源汽车从常州基地驶向海外，更多新北智造阔步走向世界舞台。重点领域改革扎实推进，全省首推“建设项目服务清单”改革，常态化实现“拿地即开工”，营商环境综合评价连续三年位列全省城区前三；省内首宗“限地价、竞税收”工业地块成功落槌，工业用地亩均税收近三年年均增长25.9%，“亩均论英雄”导向越发鲜明；春江街道权责清单全国试点经验获全省推广，基层减负走深走实；实施新一轮国企改革深化提升行动，国资办实现实体化运作，全区国企资产规模超2600亿元。</w:t>
      </w:r>
      <w:r>
        <w:rPr>
          <w:rFonts w:ascii="楷体_GB2312" w:eastAsia="楷体_GB2312" w:hAnsi="楷体_GB2312" w:cs="楷体_GB2312" w:hint="eastAsia"/>
          <w:b/>
          <w:bCs/>
          <w:kern w:val="0"/>
          <w:sz w:val="32"/>
          <w:szCs w:val="32"/>
        </w:rPr>
        <w:t>我们聚焦产城人融合发展，“新北面貌”日新月异。</w:t>
      </w:r>
      <w:r>
        <w:rPr>
          <w:rFonts w:ascii="仿宋_GB2312" w:eastAsia="仿宋_GB2312" w:hAnsi="宋体" w:cs="仿宋_GB2312" w:hint="eastAsia"/>
          <w:kern w:val="0"/>
          <w:sz w:val="32"/>
          <w:szCs w:val="32"/>
        </w:rPr>
        <w:t>常泰长江大桥合龙贯通，龙江路高架北延项目进度过半，跨江融合发展之势加快形成。高铁新城“站城湖一体化”发展迈入快车道，国际人才广场、创智大厦竣备入市，星耀城风貌初步展现，五星级酒店索菲特签约落户，核心区已累计吸引天合富家、华润化学等超30家企业总部或区域总部入驻。“家门口”的三甲医院市一院高新院区正式开工，城市新地标市第二工人文化宫启动建设，“三大运动中心”相继落成。飞龙吾悦广场等商业综合体火爆开业，盒马鲜生等一批品牌首店、旗舰店登陆亮相，“以旧换新”拉动家电、汽车等消费超17亿元。高铁新城森林半程马拉松万人激情开跑，新龙音乐季霸榜刷屏，越来越多的人奔赴新北、融入新北。</w:t>
      </w:r>
    </w:p>
    <w:p w:rsidR="00092E83" w:rsidRDefault="00BC7683">
      <w:pPr>
        <w:overflowPunct w:val="0"/>
        <w:spacing w:line="50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一年来，我们主要做了以下六个方面的工作：</w:t>
      </w:r>
    </w:p>
    <w:p w:rsidR="00092E83" w:rsidRDefault="00BC7683">
      <w:pPr>
        <w:overflowPunct w:val="0"/>
        <w:spacing w:line="500" w:lineRule="exact"/>
        <w:ind w:firstLineChars="200" w:firstLine="640"/>
        <w:rPr>
          <w:rFonts w:ascii="仿宋_GB2312" w:eastAsia="仿宋_GB2312"/>
          <w:sz w:val="32"/>
          <w:szCs w:val="32"/>
        </w:rPr>
      </w:pPr>
      <w:r>
        <w:rPr>
          <w:rFonts w:ascii="楷体_GB2312" w:eastAsia="楷体_GB2312" w:hint="eastAsia"/>
          <w:sz w:val="32"/>
          <w:szCs w:val="32"/>
        </w:rPr>
        <w:t>（一）坚定不移发展实体经济，产业能级在转型升级中加快跃升。</w:t>
      </w:r>
      <w:r>
        <w:rPr>
          <w:rFonts w:ascii="仿宋_GB2312" w:eastAsia="仿宋_GB2312" w:hint="eastAsia"/>
          <w:b/>
          <w:bCs/>
          <w:sz w:val="32"/>
          <w:szCs w:val="32"/>
        </w:rPr>
        <w:t>项目引育强劲有力。</w:t>
      </w:r>
      <w:r>
        <w:rPr>
          <w:rFonts w:ascii="仿宋_GB2312" w:eastAsia="仿宋_GB2312" w:hint="eastAsia"/>
          <w:sz w:val="32"/>
          <w:szCs w:val="32"/>
        </w:rPr>
        <w:t>举办瑞士-常州智能制造创新日等重大经贸活动10余场，招商足迹遍布国内外40多座城市，累计招引优质项目154个，其中，总投资超百亿元项目2个、超10亿元或1亿美元项目20个，连续3年有百亿项目落地新北。加快构建重点项目全生命周期管理体系，8个省重大产业项目全部开工，市重点项目列统投资贡献度全市第一，新阳蛋白质合成原料生产基地等一批重大项目竣工投产。</w:t>
      </w:r>
      <w:r>
        <w:rPr>
          <w:rFonts w:ascii="仿宋_GB2312" w:eastAsia="仿宋_GB2312" w:hint="eastAsia"/>
          <w:b/>
          <w:bCs/>
          <w:sz w:val="32"/>
          <w:szCs w:val="32"/>
        </w:rPr>
        <w:t>产业质效稳步提升。</w:t>
      </w:r>
      <w:r>
        <w:rPr>
          <w:rFonts w:ascii="仿宋_GB2312" w:eastAsia="仿宋_GB2312" w:hint="eastAsia"/>
          <w:sz w:val="32"/>
          <w:szCs w:val="32"/>
        </w:rPr>
        <w:t>全面落实省委省政府支持常州新能源产业高质量发展的文件精神，新能源产业规模突破2300亿元，贡献了全区50%以上的规上工业产值和入库税收，比亚迪新能源汽车核心零部件产业园全面开工，优咔科技建成全市首个“端管云边”自动驾驶云算力平台。“四新两智”</w:t>
      </w:r>
      <w:r>
        <w:rPr>
          <w:rFonts w:ascii="仿宋_GB2312" w:eastAsia="仿宋_GB2312"/>
          <w:sz w:val="32"/>
          <w:szCs w:val="32"/>
        </w:rPr>
        <w:t>主导产业实现</w:t>
      </w:r>
      <w:r>
        <w:rPr>
          <w:rFonts w:ascii="仿宋_GB2312" w:eastAsia="仿宋_GB2312" w:hint="eastAsia"/>
          <w:sz w:val="32"/>
          <w:szCs w:val="32"/>
        </w:rPr>
        <w:t>工业</w:t>
      </w:r>
      <w:r>
        <w:rPr>
          <w:rFonts w:ascii="仿宋_GB2312" w:eastAsia="仿宋_GB2312"/>
          <w:sz w:val="32"/>
          <w:szCs w:val="32"/>
        </w:rPr>
        <w:t>产值</w:t>
      </w:r>
      <w:r>
        <w:rPr>
          <w:rFonts w:ascii="仿宋_GB2312" w:eastAsia="仿宋_GB2312" w:hint="eastAsia"/>
          <w:sz w:val="32"/>
          <w:szCs w:val="32"/>
        </w:rPr>
        <w:t>3200</w:t>
      </w:r>
      <w:r>
        <w:rPr>
          <w:rFonts w:ascii="仿宋_GB2312" w:eastAsia="仿宋_GB2312"/>
          <w:sz w:val="32"/>
          <w:szCs w:val="32"/>
        </w:rPr>
        <w:t>亿元</w:t>
      </w:r>
      <w:r>
        <w:rPr>
          <w:rFonts w:ascii="仿宋_GB2312" w:eastAsia="仿宋_GB2312" w:hint="eastAsia"/>
          <w:sz w:val="32"/>
          <w:szCs w:val="32"/>
        </w:rPr>
        <w:t>，碳纤维及复合材料产业集群上榜省中小企业特色产业集群。</w:t>
      </w:r>
      <w:r w:rsidRPr="00A15C79">
        <w:rPr>
          <w:rFonts w:ascii="仿宋_GB2312" w:eastAsia="仿宋_GB2312" w:hint="eastAsia"/>
          <w:sz w:val="32"/>
          <w:szCs w:val="32"/>
        </w:rPr>
        <w:t>传统产业转型升级，完成工业技改投资141.9亿元，占全区工业投资一半以上。</w:t>
      </w:r>
      <w:r>
        <w:rPr>
          <w:rFonts w:ascii="仿宋_GB2312" w:eastAsia="仿宋_GB2312" w:hint="eastAsia"/>
          <w:sz w:val="32"/>
          <w:szCs w:val="32"/>
        </w:rPr>
        <w:t>未来产业加快布局，获批省未来产业先行集聚发展试点（合成生物），新落户赛桥生物、峪兰生物等合成生物项目30个、总投资122亿元，投产的</w:t>
      </w:r>
      <w:r>
        <w:rPr>
          <w:rFonts w:ascii="仿宋_GB2312" w:eastAsia="仿宋_GB2312"/>
          <w:sz w:val="32"/>
          <w:szCs w:val="32"/>
        </w:rPr>
        <w:t>61</w:t>
      </w:r>
      <w:r>
        <w:rPr>
          <w:rFonts w:ascii="仿宋_GB2312" w:eastAsia="仿宋_GB2312" w:hint="eastAsia"/>
          <w:sz w:val="32"/>
          <w:szCs w:val="32"/>
        </w:rPr>
        <w:t>家合成生物企业实现产值</w:t>
      </w:r>
      <w:r>
        <w:rPr>
          <w:rFonts w:ascii="仿宋_GB2312" w:eastAsia="仿宋_GB2312"/>
          <w:sz w:val="32"/>
          <w:szCs w:val="32"/>
        </w:rPr>
        <w:t>105</w:t>
      </w:r>
      <w:r>
        <w:rPr>
          <w:rFonts w:ascii="仿宋_GB2312" w:eastAsia="仿宋_GB2312" w:hint="eastAsia"/>
          <w:sz w:val="32"/>
          <w:szCs w:val="32"/>
        </w:rPr>
        <w:t>亿元、全市贡献度超</w:t>
      </w:r>
      <w:r>
        <w:rPr>
          <w:rFonts w:ascii="仿宋_GB2312" w:eastAsia="仿宋_GB2312"/>
          <w:sz w:val="32"/>
          <w:szCs w:val="32"/>
        </w:rPr>
        <w:t>80%</w:t>
      </w:r>
      <w:r>
        <w:rPr>
          <w:rFonts w:ascii="仿宋_GB2312" w:eastAsia="仿宋_GB2312" w:hint="eastAsia"/>
          <w:sz w:val="32"/>
          <w:szCs w:val="32"/>
        </w:rPr>
        <w:t>；全球最大货运无人机白鲸航线W5000亮相珠海航展。</w:t>
      </w:r>
      <w:r>
        <w:rPr>
          <w:rFonts w:ascii="仿宋_GB2312" w:eastAsia="仿宋_GB2312" w:hint="eastAsia"/>
          <w:b/>
          <w:bCs/>
          <w:sz w:val="32"/>
          <w:szCs w:val="32"/>
        </w:rPr>
        <w:t>重点企业亮点频现。</w:t>
      </w:r>
      <w:r>
        <w:rPr>
          <w:rFonts w:ascii="仿宋_GB2312" w:eastAsia="仿宋_GB2312" w:hint="eastAsia"/>
          <w:sz w:val="32"/>
          <w:szCs w:val="32"/>
        </w:rPr>
        <w:t>“1115”大企业集团矩阵持续壮大，全年销售超10亿元企业新增3家、总数突破60家。天合富家、辰瑞光学上榜胡润全球独角兽榜，天合光能、新阳科技荣登中国民营企业500强，乐萌压力容器、天地自动化成功入选国家制造业单项冠军企业，瑞华技术成为全市第100家上市企业。</w:t>
      </w:r>
      <w:r>
        <w:rPr>
          <w:rFonts w:ascii="仿宋_GB2312" w:eastAsia="仿宋_GB2312" w:hint="eastAsia"/>
          <w:b/>
          <w:bCs/>
          <w:sz w:val="32"/>
          <w:szCs w:val="32"/>
        </w:rPr>
        <w:t>发展要素支撑有力。</w:t>
      </w:r>
      <w:r>
        <w:rPr>
          <w:rFonts w:ascii="仿宋_GB2312" w:eastAsia="仿宋_GB2312" w:hint="eastAsia"/>
          <w:bCs/>
          <w:sz w:val="32"/>
          <w:szCs w:val="32"/>
        </w:rPr>
        <w:t>“五个一万亩”纵深推进，</w:t>
      </w:r>
      <w:r>
        <w:rPr>
          <w:rFonts w:ascii="仿宋_GB2312" w:eastAsia="仿宋_GB2312" w:hint="eastAsia"/>
          <w:sz w:val="32"/>
          <w:szCs w:val="32"/>
        </w:rPr>
        <w:lastRenderedPageBreak/>
        <w:t>实施工业用地提质增效3520亩，龙江路西侧万亩产业园建设加码提速，新材料产业园跻身全国化工园区第11位。中瑞产业园二期等一批高品质产业载体竣工交付，全区产业和科创载体竣工130万平方米，新开工113万平方米。落地“两重”“两新”超长期特别国债及专项债超30亿元。全面落实助企纾困政策，兑现各类退税近</w:t>
      </w:r>
      <w:r>
        <w:rPr>
          <w:rFonts w:ascii="仿宋_GB2312" w:eastAsia="仿宋_GB2312"/>
          <w:sz w:val="32"/>
          <w:szCs w:val="32"/>
        </w:rPr>
        <w:t>84</w:t>
      </w:r>
      <w:r>
        <w:rPr>
          <w:rFonts w:ascii="仿宋_GB2312" w:eastAsia="仿宋_GB2312" w:hint="eastAsia"/>
          <w:sz w:val="32"/>
          <w:szCs w:val="32"/>
        </w:rPr>
        <w:t>亿元，“园区保”对473户小微企业给予54.41亿元支持、规模全市第一。</w:t>
      </w:r>
    </w:p>
    <w:p w:rsidR="00092E83" w:rsidRDefault="00BC7683">
      <w:pPr>
        <w:overflowPunct w:val="0"/>
        <w:spacing w:line="500" w:lineRule="exact"/>
        <w:ind w:firstLine="640"/>
        <w:rPr>
          <w:rFonts w:ascii="仿宋_GB2312" w:eastAsia="仿宋_GB2312" w:hAnsi="仿宋_GB2312" w:cs="仿宋_GB2312"/>
          <w:sz w:val="32"/>
          <w:szCs w:val="32"/>
        </w:rPr>
      </w:pPr>
      <w:r>
        <w:rPr>
          <w:rFonts w:ascii="楷体_GB2312" w:eastAsia="楷体_GB2312" w:hint="eastAsia"/>
          <w:sz w:val="32"/>
          <w:szCs w:val="32"/>
        </w:rPr>
        <w:t>（二）坚定不移迈好创新步伐，科创高地在集聚整合中蓬勃崛起。</w:t>
      </w:r>
      <w:r>
        <w:rPr>
          <w:rFonts w:ascii="仿宋_GB2312" w:eastAsia="仿宋_GB2312" w:hAnsi="仿宋_GB2312" w:cs="仿宋_GB2312" w:hint="eastAsia"/>
          <w:b/>
          <w:bCs/>
          <w:sz w:val="32"/>
          <w:szCs w:val="32"/>
        </w:rPr>
        <w:t>创新活力竞相奔涌。</w:t>
      </w:r>
      <w:r w:rsidRPr="00A15C79">
        <w:rPr>
          <w:rFonts w:ascii="仿宋_GB2312" w:eastAsia="仿宋_GB2312" w:hAnsi="仿宋_GB2312" w:cs="仿宋_GB2312" w:hint="eastAsia"/>
          <w:sz w:val="32"/>
          <w:szCs w:val="32"/>
        </w:rPr>
        <w:t>完成高技术投资114.9亿元，实现高新技术产业产值2788.2亿元、占规上工业产值超70%</w:t>
      </w:r>
      <w:r>
        <w:rPr>
          <w:rFonts w:ascii="仿宋_GB2312" w:eastAsia="仿宋_GB2312" w:hAnsi="仿宋_GB2312" w:cs="仿宋_GB2312" w:hint="eastAsia"/>
          <w:sz w:val="32"/>
          <w:szCs w:val="32"/>
        </w:rPr>
        <w:t>，全社会研发投入占GDP比重达到4.15%、全市第一。荣获2023年度江苏省科技进步奖7项，天合光能获江</w:t>
      </w:r>
      <w:bookmarkStart w:id="2" w:name="_GoBack"/>
      <w:bookmarkEnd w:id="2"/>
      <w:r>
        <w:rPr>
          <w:rFonts w:ascii="仿宋_GB2312" w:eastAsia="仿宋_GB2312" w:hAnsi="仿宋_GB2312" w:cs="仿宋_GB2312" w:hint="eastAsia"/>
          <w:sz w:val="32"/>
          <w:szCs w:val="32"/>
        </w:rPr>
        <w:t>苏省</w:t>
      </w:r>
      <w:r>
        <w:rPr>
          <w:rFonts w:ascii="仿宋_GB2312" w:eastAsia="仿宋_GB2312" w:hAnsi="仿宋_GB2312" w:cs="仿宋_GB2312" w:hint="eastAsia"/>
          <w:sz w:val="32"/>
        </w:rPr>
        <w:t>企业技术创新奖</w:t>
      </w:r>
      <w:r>
        <w:rPr>
          <w:rFonts w:ascii="仿宋_GB2312" w:eastAsia="仿宋_GB2312" w:hAnsi="仿宋_GB2312" w:cs="仿宋_GB2312" w:hint="eastAsia"/>
          <w:sz w:val="32"/>
          <w:szCs w:val="32"/>
        </w:rPr>
        <w:t>、全市唯一。新增发布国家标准45项、行业标准32项，万人发明专利拥有量达123件、全市第一。申报技术合同登记成交额175.7亿元，全市第一。药明康德高端创新药研发中心正式启用，聚和新材料等4家企业建成国家级博士后科研工作站，累计17家、全市第一。</w:t>
      </w:r>
      <w:r>
        <w:rPr>
          <w:rFonts w:ascii="仿宋_GB2312" w:eastAsia="仿宋_GB2312" w:hAnsi="仿宋_GB2312" w:cs="仿宋_GB2312" w:hint="eastAsia"/>
          <w:b/>
          <w:bCs/>
          <w:sz w:val="32"/>
          <w:szCs w:val="32"/>
        </w:rPr>
        <w:t>创新主体培育壮大。</w:t>
      </w:r>
      <w:r>
        <w:rPr>
          <w:rFonts w:ascii="仿宋_GB2312" w:eastAsia="仿宋_GB2312" w:hint="eastAsia"/>
          <w:sz w:val="32"/>
          <w:szCs w:val="32"/>
        </w:rPr>
        <w:t>高新技术企业总数超1550家、全市第一，引育“三高一资”项目83个，落户优质科技型中小企业102家。新增国家级专精特新“小巨人”企业15家、省级专精特新企业168家，新认定潜在独角兽企业4家、瞪羚企业33家，四项新增数均居全市第一。数实融合加快推进，新增国家级5G工厂3家，国家级绿色工厂2家，省级“五星上云”企业13家，省级智能制造示范工厂（车间）34个。新增人才总量2.8万人，入选国家重大人才工程A类人才33名、B类人才2名，均居全市第一</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创新生态持续优化。</w:t>
      </w:r>
      <w:r>
        <w:rPr>
          <w:rFonts w:ascii="仿宋_GB2312" w:eastAsia="仿宋_GB2312" w:hAnsi="仿宋_GB2312" w:cs="仿宋_GB2312" w:hint="eastAsia"/>
          <w:sz w:val="32"/>
          <w:szCs w:val="32"/>
        </w:rPr>
        <w:t>南师大合成生物研究院概念验证平台、中试平台投入运行</w:t>
      </w:r>
      <w:r>
        <w:rPr>
          <w:rFonts w:ascii="仿宋_GB2312" w:eastAsia="仿宋_GB2312" w:hint="eastAsia"/>
          <w:sz w:val="32"/>
          <w:szCs w:val="32"/>
        </w:rPr>
        <w:t>，</w:t>
      </w:r>
      <w:r>
        <w:rPr>
          <w:rFonts w:ascii="仿宋_GB2312" w:eastAsia="仿宋_GB2312" w:hint="eastAsia"/>
          <w:sz w:val="32"/>
          <w:szCs w:val="32"/>
        </w:rPr>
        <w:lastRenderedPageBreak/>
        <w:t>长三角碳纤维中心科创工场初步建成，</w:t>
      </w:r>
      <w:r>
        <w:rPr>
          <w:rFonts w:ascii="仿宋_GB2312" w:eastAsia="仿宋_GB2312" w:hAnsi="仿宋_GB2312" w:cs="仿宋_GB2312" w:hint="eastAsia"/>
          <w:sz w:val="32"/>
          <w:szCs w:val="32"/>
        </w:rPr>
        <w:t>天合光能全国重点实验室提档升级，天汇空间建成全区第6家省级院士工作站。常州工学院首次获批硕士点，“新工科”科创学院启动建设。</w:t>
      </w:r>
      <w:r>
        <w:rPr>
          <w:rFonts w:ascii="仿宋_GB2312" w:eastAsia="仿宋_GB2312" w:hint="eastAsia"/>
          <w:sz w:val="32"/>
          <w:szCs w:val="32"/>
        </w:rPr>
        <w:t>新增省、市级工程研究中心13家，</w:t>
      </w:r>
      <w:r>
        <w:rPr>
          <w:rFonts w:ascii="仿宋_GB2312" w:eastAsia="仿宋_GB2312" w:hAnsi="仿宋_GB2312" w:cs="仿宋_GB2312" w:hint="eastAsia"/>
          <w:sz w:val="32"/>
          <w:szCs w:val="32"/>
        </w:rPr>
        <w:t>省级标杆孵化器2家，</w:t>
      </w:r>
      <w:r>
        <w:rPr>
          <w:rFonts w:ascii="仿宋_GB2312" w:eastAsia="仿宋_GB2312" w:hint="eastAsia"/>
          <w:sz w:val="32"/>
          <w:szCs w:val="32"/>
        </w:rPr>
        <w:t>规上高企研发机构覆盖率提升至86.6%。申报15亿元科创债，“科创积分贷”等金融产品累计为科技企业融资达30亿元。</w:t>
      </w:r>
      <w:r>
        <w:rPr>
          <w:rFonts w:ascii="仿宋_GB2312" w:eastAsia="仿宋_GB2312" w:hAnsi="仿宋_GB2312" w:cs="仿宋_GB2312" w:hint="eastAsia"/>
          <w:sz w:val="32"/>
          <w:szCs w:val="32"/>
        </w:rPr>
        <w:t>成功举办“顶尖科学家江苏行”（常州站）等高能级创新活动10余场，吸引诺贝尔奖获得者、高校院士等超过200名专家大咖齐聚新北、共谋发展。</w:t>
      </w:r>
    </w:p>
    <w:p w:rsidR="00092E83" w:rsidRDefault="00BC7683">
      <w:pPr>
        <w:overflowPunct w:val="0"/>
        <w:spacing w:line="500" w:lineRule="exact"/>
        <w:ind w:firstLineChars="200" w:firstLine="640"/>
        <w:rPr>
          <w:rFonts w:ascii="仿宋_GB2312" w:eastAsia="仿宋_GB2312"/>
          <w:sz w:val="32"/>
          <w:szCs w:val="32"/>
        </w:rPr>
      </w:pPr>
      <w:r>
        <w:rPr>
          <w:rFonts w:ascii="楷体_GB2312" w:eastAsia="楷体_GB2312" w:hint="eastAsia"/>
          <w:sz w:val="32"/>
          <w:szCs w:val="32"/>
        </w:rPr>
        <w:t>（三）坚定不移统筹区域发展，城乡品质在建管并举中蝶变焕新。</w:t>
      </w:r>
      <w:r>
        <w:rPr>
          <w:rFonts w:ascii="仿宋_GB2312" w:eastAsia="仿宋_GB2312" w:hint="eastAsia"/>
          <w:b/>
          <w:bCs/>
          <w:sz w:val="32"/>
          <w:szCs w:val="32"/>
        </w:rPr>
        <w:t>基础设施日趋完善。</w:t>
      </w:r>
      <w:r>
        <w:rPr>
          <w:rFonts w:ascii="仿宋_GB2312" w:eastAsia="仿宋_GB2312" w:hint="eastAsia"/>
          <w:sz w:val="32"/>
          <w:szCs w:val="32"/>
        </w:rPr>
        <w:t>常州北站改造提升工程加快推进，站南片区城市更新试点工作稳步实施，环新龙湖景观风貌改善提升。魏村枢纽建成通航，德胜河航道整治工程正式启动，机场航站区改扩建工程进展顺利，全年旅客吞吐量刷新历史峰值。新增公交站台12个、口袋公园4个。</w:t>
      </w:r>
      <w:r>
        <w:rPr>
          <w:rFonts w:ascii="仿宋_GB2312" w:eastAsia="仿宋_GB2312" w:hAnsi="仿宋_GB2312" w:cs="仿宋_GB2312" w:hint="eastAsia"/>
          <w:sz w:val="32"/>
          <w:szCs w:val="32"/>
        </w:rPr>
        <w:t>新建市政污水管网6公里，完成污水处理提质增效达标区建设3个</w:t>
      </w:r>
      <w:r>
        <w:rPr>
          <w:rFonts w:ascii="仿宋_GB2312" w:eastAsia="仿宋_GB2312" w:hint="eastAsia"/>
          <w:sz w:val="32"/>
          <w:szCs w:val="32"/>
        </w:rPr>
        <w:t>，建成骨干幸福河湖1条、市级幸福河湖2条</w:t>
      </w:r>
      <w:r>
        <w:rPr>
          <w:rFonts w:ascii="仿宋_GB2312" w:eastAsia="仿宋_GB2312" w:hAnsi="仿宋_GB2312" w:cs="仿宋_GB2312" w:hint="eastAsia"/>
          <w:sz w:val="32"/>
          <w:szCs w:val="32"/>
        </w:rPr>
        <w:t>，全区行政村生活污水治理率达100%。</w:t>
      </w:r>
      <w:r>
        <w:rPr>
          <w:rFonts w:ascii="仿宋_GB2312" w:eastAsia="仿宋_GB2312" w:hint="eastAsia"/>
          <w:b/>
          <w:bCs/>
          <w:sz w:val="32"/>
          <w:szCs w:val="32"/>
        </w:rPr>
        <w:t>智慧城市加快建设。</w:t>
      </w:r>
      <w:r>
        <w:rPr>
          <w:rFonts w:ascii="仿宋_GB2312" w:eastAsia="仿宋_GB2312" w:hint="eastAsia"/>
          <w:sz w:val="32"/>
          <w:szCs w:val="32"/>
        </w:rPr>
        <w:t>“</w:t>
      </w:r>
      <w:r>
        <w:rPr>
          <w:rFonts w:ascii="仿宋_GB2312" w:eastAsia="仿宋_GB2312" w:hAnsi="仿宋_GB2312" w:cs="仿宋_GB2312" w:hint="eastAsia"/>
          <w:sz w:val="32"/>
          <w:szCs w:val="32"/>
        </w:rPr>
        <w:t>一网通办</w:t>
      </w:r>
      <w:r>
        <w:rPr>
          <w:rFonts w:ascii="仿宋_GB2312" w:eastAsia="仿宋_GB2312" w:hint="eastAsia"/>
          <w:sz w:val="32"/>
          <w:szCs w:val="32"/>
        </w:rPr>
        <w:t>”“一网统管”纵深推进，</w:t>
      </w:r>
      <w:r>
        <w:rPr>
          <w:rFonts w:ascii="仿宋_GB2312" w:eastAsia="仿宋_GB2312" w:hAnsi="仿宋_GB2312" w:cs="仿宋_GB2312" w:hint="eastAsia"/>
          <w:sz w:val="32"/>
          <w:szCs w:val="32"/>
        </w:rPr>
        <w:t>全省首推政务服务数字人“小新”，建成政务服务智能AI自助服务体验中心</w:t>
      </w:r>
      <w:r>
        <w:rPr>
          <w:rFonts w:ascii="仿宋_GB2312" w:eastAsia="仿宋_GB2312" w:hint="eastAsia"/>
          <w:sz w:val="32"/>
          <w:szCs w:val="32"/>
        </w:rPr>
        <w:t>。“城市大管家”实体业务和“智慧管家”平台覆盖全区，全市首推“无感支付”停车系统，新增无感支付泊位4万余个。创新“探头站岗”智能监管，引入无人机巡航技术实现全方位监控。</w:t>
      </w:r>
      <w:r>
        <w:rPr>
          <w:rFonts w:ascii="仿宋_GB2312" w:eastAsia="仿宋_GB2312" w:hint="eastAsia"/>
          <w:b/>
          <w:bCs/>
          <w:sz w:val="32"/>
          <w:szCs w:val="32"/>
        </w:rPr>
        <w:t>乡村振兴蹄疾步稳。</w:t>
      </w:r>
      <w:r>
        <w:rPr>
          <w:rFonts w:ascii="仿宋_GB2312" w:eastAsia="仿宋_GB2312" w:hint="eastAsia"/>
          <w:sz w:val="32"/>
          <w:szCs w:val="32"/>
        </w:rPr>
        <w:t>建成高标准农田6750亩，新增4家市级农业龙头企业，孟河镇顺利通过国家农业产业强镇评估，新北区农业生产信息数字化管理平台入选全省智慧农业典型案例。</w:t>
      </w:r>
      <w:r>
        <w:rPr>
          <w:rFonts w:ascii="仿宋_GB2312" w:eastAsia="仿宋_GB2312" w:hAnsi="仿宋_GB2312" w:cs="仿宋_GB2312" w:hint="eastAsia"/>
          <w:sz w:val="32"/>
          <w:szCs w:val="32"/>
        </w:rPr>
        <w:t>新北软米、新北江</w:t>
      </w:r>
      <w:r>
        <w:rPr>
          <w:rFonts w:ascii="Times New Roman" w:eastAsia="仿宋_GB2312" w:hAnsi="Times New Roman" w:cs="Times New Roman"/>
          <w:sz w:val="32"/>
          <w:szCs w:val="32"/>
        </w:rPr>
        <w:t>水蟹品牌入选全国名特优新农产品</w:t>
      </w:r>
      <w:r>
        <w:rPr>
          <w:rFonts w:ascii="Times New Roman" w:eastAsia="仿宋_GB2312" w:hAnsi="Times New Roman" w:cs="Times New Roman" w:hint="eastAsia"/>
          <w:sz w:val="32"/>
          <w:szCs w:val="32"/>
        </w:rPr>
        <w:t>、占全市三分之二，</w:t>
      </w:r>
      <w:r>
        <w:rPr>
          <w:rFonts w:ascii="仿宋_GB2312" w:eastAsia="仿宋_GB2312" w:hint="eastAsia"/>
          <w:sz w:val="32"/>
          <w:szCs w:val="32"/>
        </w:rPr>
        <w:t>绿色优质农产</w:t>
      </w:r>
      <w:r>
        <w:rPr>
          <w:rFonts w:ascii="仿宋_GB2312" w:eastAsia="仿宋_GB2312" w:hint="eastAsia"/>
          <w:sz w:val="32"/>
          <w:szCs w:val="32"/>
        </w:rPr>
        <w:lastRenderedPageBreak/>
        <w:t>品比重超过75%。</w:t>
      </w:r>
      <w:r>
        <w:rPr>
          <w:rFonts w:ascii="Times New Roman" w:eastAsia="仿宋_GB2312" w:hAnsi="Times New Roman" w:cs="Times New Roman"/>
          <w:sz w:val="32"/>
          <w:szCs w:val="32"/>
        </w:rPr>
        <w:t>新增省</w:t>
      </w:r>
      <w:r>
        <w:rPr>
          <w:rFonts w:ascii="仿宋_GB2312" w:eastAsia="仿宋_GB2312" w:hAnsi="仿宋_GB2312" w:cs="仿宋_GB2312" w:hint="eastAsia"/>
          <w:sz w:val="32"/>
          <w:szCs w:val="32"/>
        </w:rPr>
        <w:t>级宜居宜业和美乡</w:t>
      </w:r>
      <w:r>
        <w:rPr>
          <w:rFonts w:ascii="Times New Roman" w:eastAsia="仿宋_GB2312" w:hAnsi="Times New Roman" w:cs="Times New Roman"/>
          <w:sz w:val="32"/>
          <w:szCs w:val="32"/>
        </w:rPr>
        <w:t>村</w:t>
      </w:r>
      <w:r>
        <w:rPr>
          <w:rFonts w:ascii="仿宋_GB2312" w:eastAsia="仿宋_GB2312" w:hAnsi="仿宋_GB2312" w:cs="仿宋_GB2312" w:hint="eastAsia"/>
          <w:sz w:val="32"/>
          <w:szCs w:val="32"/>
        </w:rPr>
        <w:t>9</w:t>
      </w:r>
      <w:r>
        <w:rPr>
          <w:rFonts w:ascii="Times New Roman" w:eastAsia="仿宋_GB2312" w:hAnsi="Times New Roman" w:cs="Times New Roman"/>
          <w:sz w:val="32"/>
          <w:szCs w:val="32"/>
        </w:rPr>
        <w:t>个</w:t>
      </w:r>
      <w:r>
        <w:rPr>
          <w:rFonts w:ascii="仿宋_GB2312" w:eastAsia="仿宋_GB2312" w:hint="eastAsia"/>
          <w:sz w:val="32"/>
          <w:szCs w:val="32"/>
        </w:rPr>
        <w:t>。</w:t>
      </w:r>
      <w:r>
        <w:rPr>
          <w:rFonts w:ascii="仿宋_GB2312" w:eastAsia="仿宋_GB2312" w:hint="eastAsia"/>
          <w:b/>
          <w:bCs/>
          <w:sz w:val="32"/>
          <w:szCs w:val="32"/>
        </w:rPr>
        <w:t>生态底色不断擦亮。</w:t>
      </w:r>
      <w:r>
        <w:rPr>
          <w:rFonts w:ascii="仿宋_GB2312" w:eastAsia="仿宋_GB2312" w:hint="eastAsia"/>
          <w:sz w:val="32"/>
          <w:szCs w:val="32"/>
        </w:rPr>
        <w:t>配合保障新一轮中央生态环境保护督察工作，金属表面处理循环产业中心项目入选全省正面典型案例。全区8个国省考断面优Ⅲ比例连续八年保持100%，PM</w:t>
      </w:r>
      <w:r>
        <w:rPr>
          <w:rFonts w:ascii="仿宋_GB2312" w:eastAsia="仿宋_GB2312" w:hint="eastAsia"/>
          <w:sz w:val="32"/>
          <w:szCs w:val="32"/>
          <w:vertAlign w:val="subscript"/>
        </w:rPr>
        <w:t>2.5</w:t>
      </w:r>
      <w:r>
        <w:rPr>
          <w:rFonts w:ascii="仿宋_GB2312" w:eastAsia="仿宋_GB2312" w:hint="eastAsia"/>
          <w:sz w:val="32"/>
          <w:szCs w:val="32"/>
        </w:rPr>
        <w:t>浓度连续三年达国家二级标准、达到近年最好水平，优良天数比率保持80%以上，新材料产业园</w:t>
      </w:r>
      <w:r>
        <w:rPr>
          <w:rFonts w:ascii="仿宋_GB2312" w:eastAsia="仿宋_GB2312" w:hAnsi="仿宋_GB2312" w:cs="仿宋_GB2312" w:hint="eastAsia"/>
          <w:sz w:val="32"/>
          <w:szCs w:val="32"/>
        </w:rPr>
        <w:t>VOCs治理经验获全省推广学习</w:t>
      </w:r>
      <w:r>
        <w:rPr>
          <w:rFonts w:ascii="仿宋_GB2312" w:eastAsia="仿宋_GB2312" w:hint="eastAsia"/>
          <w:sz w:val="32"/>
          <w:szCs w:val="32"/>
        </w:rPr>
        <w:t>。稳步推进能源绿色低碳转型，在全省率先实现绿电绿证服务站（点）全覆盖，全年新增光伏装机并网容量超200兆瓦，分布式光伏并网数累计超过3200户，印染技术研究示范中心项目正式签约，中瑞产业园一期、光伏产业园上榜全市首批近零碳园区试点名单，生态环境宣传教育基地成功入选全国绿色低碳典型案例。</w:t>
      </w:r>
    </w:p>
    <w:p w:rsidR="00092E83" w:rsidRDefault="00BC7683">
      <w:pPr>
        <w:overflowPunct w:val="0"/>
        <w:spacing w:line="500" w:lineRule="exact"/>
        <w:ind w:firstLine="640"/>
        <w:rPr>
          <w:rFonts w:ascii="仿宋_GB2312" w:eastAsia="仿宋_GB2312" w:hAnsi="仿宋_GB2312" w:cs="仿宋_GB2312"/>
          <w:sz w:val="32"/>
          <w:szCs w:val="32"/>
        </w:rPr>
      </w:pPr>
      <w:r>
        <w:rPr>
          <w:rFonts w:ascii="楷体_GB2312" w:eastAsia="楷体_GB2312" w:hint="eastAsia"/>
          <w:sz w:val="32"/>
          <w:szCs w:val="32"/>
        </w:rPr>
        <w:t>（四）坚定不移办好民生实事，幸福指数在普惠共享中节节攀升。</w:t>
      </w:r>
      <w:r>
        <w:rPr>
          <w:rFonts w:ascii="仿宋_GB2312" w:eastAsia="仿宋_GB2312" w:hint="eastAsia"/>
          <w:b/>
          <w:bCs/>
          <w:sz w:val="32"/>
          <w:szCs w:val="32"/>
        </w:rPr>
        <w:t>民生保障扎实有力。</w:t>
      </w:r>
      <w:r w:rsidRPr="00A15C79">
        <w:rPr>
          <w:rFonts w:ascii="仿宋_GB2312" w:eastAsia="仿宋_GB2312" w:hAnsi="仿宋" w:cs="仿宋" w:hint="eastAsia"/>
          <w:color w:val="000000"/>
          <w:sz w:val="32"/>
          <w:szCs w:val="32"/>
        </w:rPr>
        <w:t>全年城乡居民人均可支配收入超6.5万元，同比增长5.1%。</w:t>
      </w:r>
      <w:r>
        <w:rPr>
          <w:rFonts w:ascii="仿宋_GB2312" w:eastAsia="仿宋_GB2312" w:hAnsi="仿宋" w:cs="仿宋" w:hint="eastAsia"/>
          <w:color w:val="000000"/>
          <w:sz w:val="32"/>
          <w:szCs w:val="32"/>
        </w:rPr>
        <w:t>城镇新增就业人数超2.3万人，</w:t>
      </w:r>
      <w:r>
        <w:rPr>
          <w:rFonts w:ascii="仿宋_GB2312" w:eastAsia="仿宋_GB2312" w:hint="eastAsia"/>
          <w:sz w:val="32"/>
          <w:szCs w:val="32"/>
        </w:rPr>
        <w:t>全市首推交通枢纽“出站即上岗”就业用工服务，累计举办各类招聘会110场、供岗5.9万个。企业职工养老保险在职参保44.24万人，工伤保险参保40.56万人，均为全市第一。</w:t>
      </w:r>
      <w:r>
        <w:rPr>
          <w:rFonts w:ascii="仿宋_GB2312" w:eastAsia="仿宋_GB2312" w:hAnsi="仿宋" w:cs="仿宋" w:hint="eastAsia"/>
          <w:color w:val="000000"/>
          <w:sz w:val="32"/>
          <w:szCs w:val="32"/>
        </w:rPr>
        <w:t>提升改造老旧小区13个、农贸市场</w:t>
      </w:r>
      <w:r>
        <w:rPr>
          <w:rFonts w:ascii="仿宋_GB2312" w:eastAsia="仿宋_GB2312" w:hAnsi="仿宋" w:cs="仿宋"/>
          <w:color w:val="000000"/>
          <w:sz w:val="32"/>
          <w:szCs w:val="32"/>
        </w:rPr>
        <w:t>9</w:t>
      </w:r>
      <w:r>
        <w:rPr>
          <w:rFonts w:ascii="仿宋_GB2312" w:eastAsia="仿宋_GB2312" w:hAnsi="仿宋" w:cs="仿宋" w:hint="eastAsia"/>
          <w:color w:val="000000"/>
          <w:sz w:val="32"/>
          <w:szCs w:val="32"/>
        </w:rPr>
        <w:t>家，实现全区安置小区老旧住宅电梯加装物联网设备全覆盖。</w:t>
      </w:r>
      <w:r>
        <w:rPr>
          <w:rFonts w:ascii="仿宋_GB2312" w:eastAsia="仿宋_GB2312" w:hint="eastAsia"/>
          <w:b/>
          <w:bCs/>
          <w:sz w:val="32"/>
          <w:szCs w:val="32"/>
        </w:rPr>
        <w:t>用心守护“一老一小”。</w:t>
      </w:r>
      <w:r>
        <w:rPr>
          <w:rFonts w:ascii="仿宋_GB2312" w:eastAsia="仿宋_GB2312" w:hint="eastAsia"/>
          <w:sz w:val="32"/>
          <w:szCs w:val="32"/>
        </w:rPr>
        <w:t>完成2000户老年人家庭适老化改造，养老助餐总量同比上升23%，入选“第二批省级标准居家社区养老服务网络地区”。新增备案托育机构22家、托位1050个，累计托位超4000个，创成省普惠托育机构2家、总数达12家。“三中心”阵地为1000余名学生提供“一对一”心理咨询服务，未成年人心理健康云平台投入使用。</w:t>
      </w:r>
      <w:r>
        <w:rPr>
          <w:rFonts w:ascii="仿宋_GB2312" w:eastAsia="仿宋_GB2312" w:hint="eastAsia"/>
          <w:b/>
          <w:bCs/>
          <w:sz w:val="32"/>
          <w:szCs w:val="32"/>
        </w:rPr>
        <w:t>社会事业欣欣向荣。</w:t>
      </w:r>
      <w:r>
        <w:rPr>
          <w:rFonts w:ascii="仿宋_GB2312" w:eastAsia="仿宋_GB2312" w:hAnsi="仿宋" w:cs="仿宋" w:hint="eastAsia"/>
          <w:color w:val="000000"/>
          <w:sz w:val="32"/>
          <w:szCs w:val="32"/>
        </w:rPr>
        <w:t>常州工学院二期正式投用，在校师生达1.8万人。</w:t>
      </w:r>
      <w:r>
        <w:rPr>
          <w:rFonts w:ascii="仿宋_GB2312" w:eastAsia="仿宋_GB2312" w:hAnsi="仿宋" w:cs="仿宋" w:hint="eastAsia"/>
          <w:bCs/>
          <w:sz w:val="32"/>
          <w:szCs w:val="32"/>
        </w:rPr>
        <w:t>局小新龙湖分校、三井第</w:t>
      </w:r>
      <w:r>
        <w:rPr>
          <w:rFonts w:ascii="仿宋_GB2312" w:eastAsia="仿宋_GB2312" w:hAnsi="仿宋" w:cs="仿宋" w:hint="eastAsia"/>
          <w:bCs/>
          <w:sz w:val="32"/>
          <w:szCs w:val="32"/>
        </w:rPr>
        <w:lastRenderedPageBreak/>
        <w:t>二实验小学开学迎新</w:t>
      </w:r>
      <w:r>
        <w:rPr>
          <w:rFonts w:ascii="仿宋_GB2312" w:eastAsia="仿宋_GB2312" w:hAnsi="仿宋" w:cs="仿宋" w:hint="eastAsia"/>
          <w:color w:val="000000"/>
          <w:sz w:val="32"/>
          <w:szCs w:val="32"/>
        </w:rPr>
        <w:t>，实施泰山实验学校等新建、改扩建项目1</w:t>
      </w:r>
      <w:r>
        <w:rPr>
          <w:rFonts w:ascii="仿宋_GB2312" w:eastAsia="仿宋_GB2312" w:hAnsi="仿宋" w:cs="仿宋" w:hint="eastAsia"/>
          <w:bCs/>
          <w:sz w:val="32"/>
          <w:szCs w:val="32"/>
        </w:rPr>
        <w:t>3个，新增学位3000余个</w:t>
      </w:r>
      <w:r w:rsidR="0043495C">
        <w:rPr>
          <w:rFonts w:ascii="仿宋_GB2312" w:eastAsia="仿宋_GB2312" w:hAnsi="仿宋" w:cs="仿宋" w:hint="eastAsia"/>
          <w:bCs/>
          <w:sz w:val="32"/>
          <w:szCs w:val="32"/>
        </w:rPr>
        <w:t>，</w:t>
      </w:r>
      <w:r>
        <w:rPr>
          <w:rFonts w:ascii="仿宋_GB2312" w:eastAsia="仿宋_GB2312" w:hAnsi="仿宋" w:cs="仿宋" w:hint="eastAsia"/>
          <w:bCs/>
          <w:sz w:val="32"/>
          <w:szCs w:val="32"/>
        </w:rPr>
        <w:t>成功创建省级义务教育优质均衡发展区。</w:t>
      </w:r>
      <w:r>
        <w:rPr>
          <w:rFonts w:ascii="仿宋_GB2312" w:eastAsia="仿宋_GB2312" w:hAnsi="仿宋_GB2312" w:cs="仿宋_GB2312" w:hint="eastAsia"/>
          <w:sz w:val="32"/>
          <w:szCs w:val="32"/>
        </w:rPr>
        <w:t>奔牛人民医院、孟河中医医院成功获评二级甲等基层医疗机构，新创市级基层重点特色科室4家。</w:t>
      </w:r>
      <w:r>
        <w:rPr>
          <w:rFonts w:ascii="仿宋_GB2312" w:eastAsia="仿宋_GB2312" w:hint="eastAsia"/>
          <w:b/>
          <w:bCs/>
          <w:sz w:val="32"/>
          <w:szCs w:val="32"/>
        </w:rPr>
        <w:t>文化赋能持续深化。</w:t>
      </w:r>
      <w:r>
        <w:rPr>
          <w:rFonts w:ascii="仿宋_GB2312" w:eastAsia="仿宋_GB2312" w:hint="eastAsia"/>
          <w:sz w:val="32"/>
          <w:szCs w:val="32"/>
        </w:rPr>
        <w:t>深入挖掘长江文化内涵，发布常州长江国家文化公园核心区规划，成功举办“春江花月夜”长江文化周活动，创新推出“常小豚”IP形象。“两馆一中心”服务效能全面提升，开展各类文化推广活动150余场，图书馆到馆读者同比增长20%</w:t>
      </w:r>
      <w:r>
        <w:rPr>
          <w:rFonts w:ascii="仿宋_GB2312" w:eastAsia="仿宋_GB2312" w:hAnsi="仿宋_GB2312" w:cs="仿宋_GB2312" w:hint="eastAsia"/>
          <w:sz w:val="32"/>
          <w:szCs w:val="32"/>
        </w:rPr>
        <w:t>。创意产业园获批江苏省广播电视和网络视听产业集聚区，园区企业参与投资的《雄狮少年2》口碑持续攀升。</w:t>
      </w:r>
    </w:p>
    <w:p w:rsidR="00092E83" w:rsidRDefault="00BC7683">
      <w:pPr>
        <w:overflowPunct w:val="0"/>
        <w:spacing w:line="500" w:lineRule="exact"/>
        <w:ind w:firstLine="640"/>
        <w:rPr>
          <w:rFonts w:ascii="仿宋_GB2312" w:eastAsia="仿宋_GB2312" w:hAnsi="仿宋_GB2312" w:cs="仿宋_GB2312"/>
          <w:sz w:val="32"/>
          <w:szCs w:val="32"/>
        </w:rPr>
      </w:pPr>
      <w:r>
        <w:rPr>
          <w:rFonts w:ascii="楷体_GB2312" w:eastAsia="楷体_GB2312" w:hint="eastAsia"/>
          <w:sz w:val="32"/>
          <w:szCs w:val="32"/>
        </w:rPr>
        <w:t>（五）坚定不移提升治理能力，安全形势在常抓不懈中保持平稳。</w:t>
      </w:r>
      <w:r>
        <w:rPr>
          <w:rFonts w:ascii="仿宋_GB2312" w:eastAsia="仿宋_GB2312" w:hint="eastAsia"/>
          <w:b/>
          <w:bCs/>
          <w:sz w:val="32"/>
          <w:szCs w:val="32"/>
        </w:rPr>
        <w:t>生产安全筑牢防线。</w:t>
      </w:r>
      <w:r>
        <w:rPr>
          <w:rFonts w:ascii="仿宋_GB2312" w:eastAsia="仿宋_GB2312" w:hAnsi="仿宋_GB2312" w:cs="仿宋_GB2312" w:hint="eastAsia"/>
          <w:sz w:val="32"/>
          <w:szCs w:val="32"/>
        </w:rPr>
        <w:t>全力推进治本攻坚三年行动、粉尘涉爆专项整治、“厂中厂”综合治理和社会面小场所安全治理等重点工作，深入实施化工和危化品等6个“一件事”全链条安全治理，工矿商贸事故起数、亡人数同比均下降30%以上，压降至近年最低。巩固拓展畅通消防“生命通道”、“除患治违”专项行动，累计拆违面积97.6万平方米、力度全市最大，火灾警情同比下降21.2%。</w:t>
      </w:r>
      <w:r>
        <w:rPr>
          <w:rFonts w:ascii="仿宋_GB2312" w:eastAsia="仿宋_GB2312" w:hint="eastAsia"/>
          <w:b/>
          <w:bCs/>
          <w:sz w:val="32"/>
          <w:szCs w:val="32"/>
        </w:rPr>
        <w:t>韧性安全全面增强。</w:t>
      </w:r>
      <w:r>
        <w:rPr>
          <w:rFonts w:ascii="仿宋_GB2312" w:eastAsia="仿宋_GB2312" w:hAnsi="仿宋_GB2312" w:cs="仿宋_GB2312" w:hint="eastAsia"/>
          <w:sz w:val="32"/>
          <w:szCs w:val="32"/>
        </w:rPr>
        <w:t>工业厂房“先评后租”、餐饮场所“审管联动”持续完善，省药监局审评核查常州高新区工作站揭牌成立。“瓶改管”“气改电”惠及居民</w:t>
      </w:r>
      <w:r>
        <w:rPr>
          <w:rFonts w:ascii="仿宋_GB2312" w:eastAsia="仿宋_GB2312" w:hAnsi="仿宋_GB2312" w:cs="仿宋_GB2312" w:hint="eastAsia"/>
          <w:sz w:val="32"/>
          <w:szCs w:val="32"/>
          <w:lang w:val="zh-CN"/>
        </w:rPr>
        <w:t>19</w:t>
      </w:r>
      <w:r>
        <w:rPr>
          <w:rFonts w:ascii="仿宋_GB2312" w:eastAsia="仿宋_GB2312" w:hAnsi="仿宋_GB2312" w:cs="仿宋_GB2312" w:hint="eastAsia"/>
          <w:sz w:val="32"/>
          <w:szCs w:val="32"/>
        </w:rPr>
        <w:t>00余</w:t>
      </w:r>
      <w:r>
        <w:rPr>
          <w:rFonts w:ascii="仿宋_GB2312" w:eastAsia="仿宋_GB2312" w:hAnsi="仿宋_GB2312" w:cs="仿宋_GB2312" w:hint="eastAsia"/>
          <w:sz w:val="32"/>
          <w:szCs w:val="32"/>
          <w:lang w:val="zh-CN"/>
        </w:rPr>
        <w:t>户，</w:t>
      </w:r>
      <w:r>
        <w:rPr>
          <w:rFonts w:ascii="仿宋_GB2312" w:eastAsia="仿宋_GB2312" w:hAnsi="仿宋_GB2312" w:cs="仿宋_GB2312" w:hint="eastAsia"/>
          <w:sz w:val="32"/>
          <w:szCs w:val="32"/>
        </w:rPr>
        <w:t>龙虎塘街道率先实现辖区无瓶化</w:t>
      </w:r>
      <w:r>
        <w:rPr>
          <w:rFonts w:ascii="仿宋_GB2312" w:eastAsia="仿宋_GB2312" w:hAnsi="仿宋_GB2312" w:cs="仿宋_GB2312" w:hint="eastAsia"/>
          <w:sz w:val="32"/>
          <w:szCs w:val="32"/>
          <w:lang w:val="zh-CN"/>
        </w:rPr>
        <w:t>。</w:t>
      </w:r>
      <w:r>
        <w:rPr>
          <w:rFonts w:ascii="仿宋_GB2312" w:eastAsia="仿宋_GB2312" w:hAnsi="仿宋_GB2312" w:cs="仿宋_GB2312" w:hint="eastAsia"/>
          <w:sz w:val="32"/>
          <w:szCs w:val="32"/>
        </w:rPr>
        <w:t>扎实推进海绵城市建设，积极应对汛期考验，有效抵御台风“贝碧嘉”等极端天气影响。常态化站好校园“护学岗”，校园安全“防护网”织密织牢。</w:t>
      </w:r>
      <w:r>
        <w:rPr>
          <w:rFonts w:ascii="仿宋_GB2312" w:eastAsia="仿宋_GB2312" w:hint="eastAsia"/>
          <w:b/>
          <w:bCs/>
          <w:sz w:val="32"/>
          <w:szCs w:val="32"/>
        </w:rPr>
        <w:t>社会大局和谐稳定。</w:t>
      </w:r>
      <w:r>
        <w:rPr>
          <w:rFonts w:ascii="仿宋_GB2312" w:eastAsia="仿宋_GB2312" w:hAnsi="仿宋_GB2312" w:cs="仿宋_GB2312" w:hint="eastAsia"/>
          <w:sz w:val="32"/>
          <w:szCs w:val="32"/>
        </w:rPr>
        <w:t>区镇两级“一站式”矛调中心实体化运行，信访事项一次性化解率98.5%，越级进京访量同比下降</w:t>
      </w:r>
      <w:r>
        <w:rPr>
          <w:rFonts w:ascii="仿宋_GB2312" w:eastAsia="仿宋_GB2312" w:hAnsi="仿宋_GB2312" w:cs="仿宋_GB2312"/>
          <w:sz w:val="32"/>
          <w:szCs w:val="32"/>
        </w:rPr>
        <w:t>56.6%</w:t>
      </w:r>
      <w:r>
        <w:rPr>
          <w:rFonts w:ascii="仿宋_GB2312" w:eastAsia="仿宋_GB2312" w:hAnsi="仿宋_GB2312" w:cs="仿宋_GB2312" w:hint="eastAsia"/>
          <w:sz w:val="32"/>
          <w:szCs w:val="32"/>
        </w:rPr>
        <w:t>。积极稳妥化解房地产风险，保交楼保交房</w:t>
      </w:r>
      <w:r>
        <w:rPr>
          <w:rFonts w:ascii="仿宋_GB2312" w:eastAsia="仿宋_GB2312" w:hAnsi="仿宋_GB2312" w:cs="仿宋_GB2312" w:hint="eastAsia"/>
          <w:sz w:val="32"/>
          <w:szCs w:val="32"/>
        </w:rPr>
        <w:lastRenderedPageBreak/>
        <w:t>工作平稳有序。平安建设扎实推进，常态化开展扫黑除恶斗争，刑事案件发案数、违法犯罪警情数、电信网络诈骗警情数同比分别下降21.6%、11.7%、36.7%，反诈知晓率全市第一。</w:t>
      </w:r>
    </w:p>
    <w:p w:rsidR="00092E83" w:rsidRDefault="00BC7683">
      <w:pPr>
        <w:overflowPunct w:val="0"/>
        <w:spacing w:line="480" w:lineRule="exact"/>
        <w:ind w:firstLineChars="200" w:firstLine="640"/>
        <w:rPr>
          <w:rFonts w:ascii="仿宋_GB2312" w:eastAsia="仿宋_GB2312" w:hAnsi="仿宋_GB2312" w:cs="仿宋_GB2312"/>
          <w:sz w:val="32"/>
          <w:szCs w:val="32"/>
        </w:rPr>
      </w:pPr>
      <w:r>
        <w:rPr>
          <w:rFonts w:ascii="楷体_GB2312" w:eastAsia="楷体_GB2312" w:hint="eastAsia"/>
          <w:sz w:val="32"/>
          <w:szCs w:val="32"/>
        </w:rPr>
        <w:t>（六）坚定不移加强自身建设，作风效能在真抓实干中巩固提升。</w:t>
      </w:r>
      <w:r>
        <w:rPr>
          <w:rFonts w:ascii="仿宋_GB2312" w:eastAsia="仿宋_GB2312" w:hint="eastAsia"/>
          <w:b/>
          <w:bCs/>
          <w:sz w:val="32"/>
          <w:szCs w:val="32"/>
        </w:rPr>
        <w:t>政治建设不断强化。</w:t>
      </w:r>
      <w:r>
        <w:rPr>
          <w:rFonts w:ascii="仿宋_GB2312" w:eastAsia="仿宋_GB2312" w:hAnsi="仿宋_GB2312" w:cs="仿宋_GB2312" w:hint="eastAsia"/>
          <w:sz w:val="32"/>
          <w:szCs w:val="32"/>
        </w:rPr>
        <w:t>坚持不懈用习近平新时代中国特色社会主义思想凝心铸魂，坚定拥护“两个确立”、坚决做到“两个维护”，自觉在思想上政治上行动上同以习近平同志为核心的党中央保持高度一致。全面贯彻落实中央关于财政、金融、就业、产业、贸易等一揽子宏观增量政策，最大程度释放政策利好，累计争取上级专项资金15亿元。积极融入长江经济带、长三角一体化发展，正式加入长三角主要城市中心城区高质量发展联盟。</w:t>
      </w:r>
      <w:r>
        <w:rPr>
          <w:rFonts w:ascii="仿宋_GB2312" w:eastAsia="仿宋_GB2312" w:hint="eastAsia"/>
          <w:b/>
          <w:bCs/>
          <w:sz w:val="32"/>
          <w:szCs w:val="32"/>
        </w:rPr>
        <w:t>作风建设走深走实。</w:t>
      </w:r>
      <w:r>
        <w:rPr>
          <w:rFonts w:ascii="仿宋_GB2312" w:eastAsia="仿宋_GB2312" w:hAnsi="仿宋_GB2312" w:cs="仿宋_GB2312" w:hint="eastAsia"/>
          <w:sz w:val="32"/>
          <w:szCs w:val="32"/>
        </w:rPr>
        <w:t>深入开展党纪学习教育，严格落实中央八项规定及其实施细则精神，坚决纠治形式主义、官僚主义。认真做好巡视、巡察、审计发现问题整改，加强工程结算审计结果监督复核，核减工程投资1636万元。坚决树牢正确政绩观，以更大力度推进解决长期困扰群众的急难愁盼问题，民生领域支出占一般公共预算支出80%以上。</w:t>
      </w:r>
      <w:r>
        <w:rPr>
          <w:rFonts w:ascii="仿宋_GB2312" w:eastAsia="仿宋_GB2312" w:hint="eastAsia"/>
          <w:b/>
          <w:bCs/>
          <w:sz w:val="32"/>
          <w:szCs w:val="32"/>
        </w:rPr>
        <w:t>法治建设纵深推进。</w:t>
      </w:r>
      <w:r>
        <w:rPr>
          <w:rFonts w:ascii="仿宋_GB2312" w:eastAsia="仿宋_GB2312" w:hint="eastAsia"/>
          <w:sz w:val="32"/>
          <w:szCs w:val="32"/>
        </w:rPr>
        <w:t>入选全国首批县域国家级专利侵权纠纷行政裁决规范化建设试点，全省首个港口公共法律服务室正式揭牌，全区村（社区）公共法律服务室、法律援助联络点覆盖率100%，接待法律咨询群众同比增长19.1%。自觉接受人大依法监督和政协民主监督，高质量办理区人大代表建议118件、政协委员提案153件，代表与委员满意和基本满意率达100%。</w:t>
      </w:r>
    </w:p>
    <w:p w:rsidR="00092E83" w:rsidRDefault="00BC7683">
      <w:pPr>
        <w:overflowPunct w:val="0"/>
        <w:spacing w:line="480" w:lineRule="exact"/>
        <w:ind w:firstLineChars="200" w:firstLine="640"/>
        <w:rPr>
          <w:rFonts w:ascii="仿宋_GB2312" w:eastAsia="仿宋_GB2312"/>
          <w:sz w:val="32"/>
          <w:szCs w:val="32"/>
        </w:rPr>
      </w:pPr>
      <w:r>
        <w:rPr>
          <w:rFonts w:ascii="仿宋_GB2312" w:eastAsia="仿宋_GB2312" w:cs="仿宋_GB2312" w:hint="eastAsia"/>
          <w:sz w:val="32"/>
          <w:szCs w:val="32"/>
        </w:rPr>
        <w:t>此外，对口支援协作合作、民族宗教、国防动员、军民融合、退役军人事务、双拥、司法、外事侨台、工商联、档案方志、工会、共青团、妇女儿童、残疾人和红十字会等各方面、各领域工作全面推进，取得了积极成效。</w:t>
      </w:r>
    </w:p>
    <w:p w:rsidR="00092E83" w:rsidRDefault="00BC7683">
      <w:pPr>
        <w:overflowPunct w:val="0"/>
        <w:spacing w:line="50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lastRenderedPageBreak/>
        <w:t>各位代表！盘点过去的2024年，我们深切感受到，这一年的成绩来之不易，这是习近平新时代中国特色社会主义思想科学指引的结果，是省、市和区委坚强领导的结果，是区人大、区政协有效监督、鼎力支持的结果，是全区人民锐意进取、团结奋斗的结果。在此，我谨代表区人民政府，向辛勤工作在全区各行各业的广大人民群众，向区人大代表、政协委员，</w:t>
      </w:r>
      <w:r>
        <w:rPr>
          <w:rFonts w:ascii="仿宋_GB2312" w:eastAsia="仿宋_GB2312" w:hint="eastAsia"/>
          <w:sz w:val="32"/>
          <w:szCs w:val="32"/>
        </w:rPr>
        <w:t>向驻区机关、部队、院校、企事业单位和各民主党派、工商联、无党派人士、人民团体、各界人士和离退休老同志，</w:t>
      </w:r>
      <w:r>
        <w:rPr>
          <w:rFonts w:ascii="仿宋_GB2312" w:eastAsia="仿宋_GB2312" w:hAnsi="Times New Roman" w:cs="Times New Roman" w:hint="eastAsia"/>
          <w:kern w:val="0"/>
          <w:sz w:val="32"/>
          <w:szCs w:val="32"/>
        </w:rPr>
        <w:t>以及所有关心、支持、参与新北区发展的海内外朋友，表示崇高的敬意和衷心的感谢！</w:t>
      </w:r>
    </w:p>
    <w:p w:rsidR="00092E83" w:rsidRDefault="00BC7683">
      <w:pPr>
        <w:overflowPunct w:val="0"/>
        <w:spacing w:line="500" w:lineRule="exact"/>
        <w:ind w:firstLineChars="200" w:firstLine="640"/>
        <w:rPr>
          <w:rFonts w:ascii="黑体" w:eastAsia="黑体" w:hAnsi="黑体"/>
          <w:sz w:val="32"/>
          <w:szCs w:val="32"/>
        </w:rPr>
      </w:pPr>
      <w:r>
        <w:rPr>
          <w:rFonts w:ascii="仿宋_GB2312" w:eastAsia="仿宋_GB2312" w:hAnsi="黑体" w:hint="eastAsia"/>
          <w:sz w:val="32"/>
          <w:szCs w:val="32"/>
        </w:rPr>
        <w:t>在肯定成绩的同时，我们也清醒地看到，</w:t>
      </w:r>
      <w:r>
        <w:rPr>
          <w:rFonts w:ascii="仿宋_GB2312" w:eastAsia="仿宋_GB2312" w:cs="仿宋_GB2312" w:hint="eastAsia"/>
          <w:sz w:val="32"/>
          <w:szCs w:val="32"/>
        </w:rPr>
        <w:t>全区经济社会发展还面临较大</w:t>
      </w:r>
      <w:r>
        <w:rPr>
          <w:rFonts w:ascii="仿宋_GB2312" w:eastAsia="仿宋_GB2312" w:cs="仿宋_GB2312" w:hint="eastAsia"/>
          <w:spacing w:val="-2"/>
          <w:sz w:val="32"/>
          <w:szCs w:val="32"/>
        </w:rPr>
        <w:t>困难和挑战，</w:t>
      </w:r>
      <w:r>
        <w:rPr>
          <w:rFonts w:ascii="仿宋_GB2312" w:eastAsia="仿宋_GB2312" w:hAnsi="黑体" w:hint="eastAsia"/>
          <w:spacing w:val="-2"/>
          <w:sz w:val="32"/>
          <w:szCs w:val="32"/>
        </w:rPr>
        <w:t>主要表现在：</w:t>
      </w:r>
      <w:r>
        <w:rPr>
          <w:rFonts w:ascii="仿宋_GB2312" w:eastAsia="仿宋_GB2312" w:hAnsi="黑体" w:hint="eastAsia"/>
          <w:b/>
          <w:bCs/>
          <w:spacing w:val="-2"/>
          <w:sz w:val="32"/>
          <w:szCs w:val="32"/>
        </w:rPr>
        <w:t>一是经济增长稳定向好态势仍需巩固</w:t>
      </w:r>
      <w:r>
        <w:rPr>
          <w:rFonts w:ascii="仿宋_GB2312" w:eastAsia="仿宋_GB2312" w:hAnsi="黑体" w:hint="eastAsia"/>
          <w:b/>
          <w:spacing w:val="-2"/>
          <w:sz w:val="32"/>
          <w:szCs w:val="32"/>
        </w:rPr>
        <w:t>，</w:t>
      </w:r>
      <w:r>
        <w:rPr>
          <w:rFonts w:ascii="仿宋_GB2312" w:eastAsia="仿宋_GB2312" w:hAnsi="黑体" w:hint="eastAsia"/>
          <w:spacing w:val="-2"/>
          <w:sz w:val="32"/>
          <w:szCs w:val="32"/>
        </w:rPr>
        <w:t>新增长点的培育力度亟需加强，市场信心还需进一步提振，财政收支紧平衡特征愈加凸显。</w:t>
      </w:r>
      <w:r>
        <w:rPr>
          <w:rFonts w:ascii="仿宋_GB2312" w:eastAsia="仿宋_GB2312" w:hAnsi="黑体" w:hint="eastAsia"/>
          <w:b/>
          <w:bCs/>
          <w:spacing w:val="-2"/>
          <w:sz w:val="32"/>
          <w:szCs w:val="32"/>
        </w:rPr>
        <w:t>二是改革创新力度还要进一步加大</w:t>
      </w:r>
      <w:r>
        <w:rPr>
          <w:rFonts w:ascii="仿宋_GB2312" w:eastAsia="仿宋_GB2312" w:hAnsi="黑体" w:hint="eastAsia"/>
          <w:b/>
          <w:spacing w:val="-2"/>
          <w:sz w:val="32"/>
          <w:szCs w:val="32"/>
        </w:rPr>
        <w:t>，</w:t>
      </w:r>
      <w:r>
        <w:rPr>
          <w:rFonts w:ascii="仿宋_GB2312" w:eastAsia="仿宋_GB2312" w:hAnsi="黑体" w:hint="eastAsia"/>
          <w:spacing w:val="-2"/>
          <w:sz w:val="32"/>
          <w:szCs w:val="32"/>
        </w:rPr>
        <w:t>部分领域的改革步伐不够快、成效不够明显，创新创业的氛围还不够浓厚，对外开放区位优势尚未充分发挥。</w:t>
      </w:r>
      <w:r>
        <w:rPr>
          <w:rFonts w:ascii="仿宋_GB2312" w:eastAsia="仿宋_GB2312" w:hAnsi="黑体" w:hint="eastAsia"/>
          <w:b/>
          <w:bCs/>
          <w:spacing w:val="-2"/>
          <w:sz w:val="32"/>
          <w:szCs w:val="32"/>
        </w:rPr>
        <w:t>三是公共服务还有待提升</w:t>
      </w:r>
      <w:r>
        <w:rPr>
          <w:rFonts w:ascii="仿宋_GB2312" w:eastAsia="仿宋_GB2312" w:hAnsi="黑体" w:hint="eastAsia"/>
          <w:b/>
          <w:spacing w:val="-2"/>
          <w:sz w:val="32"/>
          <w:szCs w:val="32"/>
        </w:rPr>
        <w:t>，</w:t>
      </w:r>
      <w:r>
        <w:rPr>
          <w:rFonts w:ascii="仿宋_GB2312" w:eastAsia="仿宋_GB2312" w:hAnsi="黑体" w:hint="eastAsia"/>
          <w:spacing w:val="-2"/>
          <w:sz w:val="32"/>
          <w:szCs w:val="32"/>
        </w:rPr>
        <w:t>教育、医疗、文化体育等民生领域优质资源布局仍不均衡。</w:t>
      </w:r>
      <w:r>
        <w:rPr>
          <w:rFonts w:ascii="仿宋_GB2312" w:eastAsia="仿宋_GB2312" w:hAnsi="黑体" w:hint="eastAsia"/>
          <w:b/>
          <w:bCs/>
          <w:spacing w:val="-2"/>
          <w:sz w:val="32"/>
          <w:szCs w:val="32"/>
        </w:rPr>
        <w:t>四是统筹发展和安全任务仍然艰巨</w:t>
      </w:r>
      <w:r>
        <w:rPr>
          <w:rFonts w:ascii="仿宋_GB2312" w:eastAsia="仿宋_GB2312" w:hAnsi="黑体" w:hint="eastAsia"/>
          <w:b/>
          <w:spacing w:val="-2"/>
          <w:sz w:val="32"/>
          <w:szCs w:val="32"/>
        </w:rPr>
        <w:t>，</w:t>
      </w:r>
      <w:r>
        <w:rPr>
          <w:rFonts w:ascii="仿宋_GB2312" w:eastAsia="仿宋_GB2312" w:hAnsi="黑体" w:hint="eastAsia"/>
          <w:spacing w:val="-2"/>
          <w:sz w:val="32"/>
          <w:szCs w:val="32"/>
        </w:rPr>
        <w:t>安全生产、生态环境保护、金融、房地产等领域风险隐患不容忽视</w:t>
      </w:r>
      <w:r>
        <w:rPr>
          <w:rFonts w:ascii="仿宋_GB2312" w:eastAsia="仿宋_GB2312" w:hAnsi="黑体" w:hint="eastAsia"/>
          <w:sz w:val="32"/>
          <w:szCs w:val="32"/>
        </w:rPr>
        <w:t>。我们必须直面挑战，在下一步工作中采取更加有力有效的措施，认真予以解决。</w:t>
      </w:r>
    </w:p>
    <w:p w:rsidR="00092E83" w:rsidRDefault="00092E83">
      <w:pPr>
        <w:overflowPunct w:val="0"/>
        <w:spacing w:line="500" w:lineRule="exact"/>
        <w:rPr>
          <w:rFonts w:ascii="黑体" w:eastAsia="黑体" w:hAnsi="黑体"/>
          <w:sz w:val="32"/>
          <w:szCs w:val="32"/>
        </w:rPr>
      </w:pPr>
    </w:p>
    <w:p w:rsidR="00092E83" w:rsidRDefault="00BC7683">
      <w:pPr>
        <w:overflowPunct w:val="0"/>
        <w:spacing w:line="500" w:lineRule="exact"/>
        <w:jc w:val="center"/>
        <w:rPr>
          <w:rFonts w:ascii="黑体" w:eastAsia="黑体" w:hAnsi="黑体"/>
          <w:sz w:val="32"/>
          <w:szCs w:val="32"/>
          <w:highlight w:val="yellow"/>
        </w:rPr>
      </w:pPr>
      <w:r>
        <w:rPr>
          <w:rFonts w:ascii="黑体" w:eastAsia="黑体" w:hAnsi="黑体" w:hint="eastAsia"/>
          <w:sz w:val="32"/>
          <w:szCs w:val="32"/>
        </w:rPr>
        <w:t>二、2025年工作总体要求和目标任务</w:t>
      </w:r>
    </w:p>
    <w:p w:rsidR="00092E83" w:rsidRDefault="00BC7683">
      <w:pPr>
        <w:overflowPunct w:val="0"/>
        <w:spacing w:line="500" w:lineRule="exact"/>
        <w:ind w:firstLineChars="200" w:firstLine="640"/>
        <w:rPr>
          <w:rFonts w:ascii="仿宋_GB2312" w:eastAsia="仿宋_GB2312" w:hAnsi="黑体"/>
          <w:sz w:val="32"/>
          <w:szCs w:val="32"/>
        </w:rPr>
      </w:pPr>
      <w:r>
        <w:rPr>
          <w:rFonts w:ascii="仿宋_GB2312" w:eastAsia="仿宋_GB2312" w:hAnsi="黑体" w:hint="eastAsia"/>
          <w:sz w:val="32"/>
          <w:szCs w:val="32"/>
        </w:rPr>
        <w:t>今年是“十四五”规划收官之年，也是“十五五”规划谋篇布局之年，做好全年工作具有特殊重要意义。新北区作为常州经济社会发展主力军，面临长江经济带发展、长三角一体化等重大战略机遇，承载“发展高科技、实现产业化”的重要使命，积淀</w:t>
      </w:r>
      <w:r>
        <w:rPr>
          <w:rFonts w:ascii="仿宋_GB2312" w:eastAsia="仿宋_GB2312" w:hAnsi="黑体" w:hint="eastAsia"/>
          <w:sz w:val="32"/>
          <w:szCs w:val="32"/>
        </w:rPr>
        <w:lastRenderedPageBreak/>
        <w:t>建区以来快速发展的厚实基础，我们有责任、有信心、有能力在新征程上勇当开路先锋。刚刚结束的区委五届九次全会，对2025年工作作出了全面部署，号召全区上下要以决战决胜的姿态打好收</w:t>
      </w:r>
      <w:r>
        <w:rPr>
          <w:rFonts w:ascii="仿宋_GB2312" w:eastAsia="仿宋_GB2312" w:hAnsi="黑体" w:hint="eastAsia"/>
          <w:spacing w:val="-4"/>
          <w:sz w:val="32"/>
          <w:szCs w:val="32"/>
        </w:rPr>
        <w:t>官之战，我们要在区委的坚强领导下落实好各项重点工作和任务</w:t>
      </w:r>
      <w:r>
        <w:rPr>
          <w:rFonts w:ascii="仿宋_GB2312" w:eastAsia="仿宋_GB2312" w:hAnsi="黑体" w:hint="eastAsia"/>
          <w:sz w:val="32"/>
          <w:szCs w:val="32"/>
        </w:rPr>
        <w:t>。</w:t>
      </w:r>
    </w:p>
    <w:p w:rsidR="00092E83" w:rsidRDefault="00BC7683">
      <w:pPr>
        <w:overflowPunct w:val="0"/>
        <w:spacing w:line="520" w:lineRule="exact"/>
        <w:ind w:firstLineChars="200" w:firstLine="643"/>
        <w:rPr>
          <w:rFonts w:ascii="仿宋_GB2312" w:eastAsia="仿宋_GB2312"/>
          <w:sz w:val="32"/>
          <w:szCs w:val="32"/>
        </w:rPr>
      </w:pPr>
      <w:r>
        <w:rPr>
          <w:rFonts w:ascii="仿宋_GB2312" w:eastAsia="仿宋_GB2312" w:hAnsi="黑体" w:cs="Arial" w:hint="eastAsia"/>
          <w:b/>
          <w:sz w:val="32"/>
          <w:szCs w:val="32"/>
        </w:rPr>
        <w:t>今年政府工作的总体要求是：</w:t>
      </w:r>
      <w:r>
        <w:rPr>
          <w:rFonts w:ascii="仿宋_GB2312" w:eastAsia="仿宋_GB2312" w:cs="Arial" w:hint="eastAsia"/>
          <w:sz w:val="32"/>
          <w:szCs w:val="32"/>
        </w:rPr>
        <w:t>以习近平新时代中国特色社会主义思想为引领，全面贯彻党的二十大和二十届二中、三中全会精神，深入贯彻落实习近平总书记对江苏工作重要讲话精神，坚决落实中央经济工作会议、省委十四届八次全会、</w:t>
      </w:r>
      <w:r>
        <w:rPr>
          <w:rFonts w:ascii="仿宋_GB2312" w:eastAsia="仿宋_GB2312" w:hAnsi="仿宋_GB2312" w:cs="仿宋_GB2312" w:hint="eastAsia"/>
          <w:sz w:val="32"/>
          <w:szCs w:val="32"/>
        </w:rPr>
        <w:t>省委经济工作会议、</w:t>
      </w:r>
      <w:r>
        <w:rPr>
          <w:rFonts w:ascii="仿宋_GB2312" w:eastAsia="仿宋_GB2312" w:cs="Arial" w:hint="eastAsia"/>
          <w:sz w:val="32"/>
          <w:szCs w:val="32"/>
        </w:rPr>
        <w:t>市委十三届十次全会和区委五届九次全会各项决策部署，坚持稳中求进工作总基调，完整准确全面贯彻新发展理念，加快构建新发展格局，扎实推动高质量发展，因地制宜发展新质生产力，进一步全面深化改革</w:t>
      </w:r>
      <w:r>
        <w:rPr>
          <w:rFonts w:ascii="仿宋_GB2312" w:eastAsia="仿宋_GB2312" w:hint="eastAsia"/>
          <w:sz w:val="32"/>
          <w:szCs w:val="32"/>
        </w:rPr>
        <w:t>，更好统筹发展和安全，深入贯彻落实“532”发展战略，聚力推进“三大工程”，持续扮靓“六张高新名片”，高质量完成“十四五”规划目标任务，为“十五五”良好开局奠定坚实基础，全力塑造高质量发展新的竞争优势。</w:t>
      </w:r>
    </w:p>
    <w:p w:rsidR="00092E83" w:rsidRDefault="00BC7683">
      <w:pPr>
        <w:overflowPunct w:val="0"/>
        <w:spacing w:line="520" w:lineRule="exact"/>
        <w:ind w:firstLineChars="200" w:firstLine="643"/>
        <w:rPr>
          <w:rFonts w:ascii="仿宋_GB2312" w:eastAsia="仿宋_GB2312"/>
          <w:sz w:val="32"/>
          <w:szCs w:val="32"/>
        </w:rPr>
      </w:pPr>
      <w:r>
        <w:rPr>
          <w:rFonts w:ascii="仿宋_GB2312" w:eastAsia="仿宋_GB2312" w:hAnsi="黑体" w:hint="eastAsia"/>
          <w:b/>
          <w:sz w:val="32"/>
          <w:szCs w:val="32"/>
        </w:rPr>
        <w:t>今年经济社会发展主要预期目标是：</w:t>
      </w:r>
      <w:r>
        <w:rPr>
          <w:rFonts w:ascii="仿宋_GB2312" w:eastAsia="仿宋_GB2312" w:hint="eastAsia"/>
          <w:sz w:val="32"/>
          <w:szCs w:val="32"/>
        </w:rPr>
        <w:t>地区生产总值增长5.5%左右，一般公共预算收入增长3%左右，固定资产投资保持正增长，规上工业总产值增长5%左右，社会消费品零售总额与国民经济发展相适应，实际到账外资和进出口总额稳中提质，居民人均可支配收入增幅与地区生产总值增幅基本同步，生产安全事故起数和死亡人数持续下降，主要污染物减排、单位GDP能耗下降率、大气和水环境质量完成市下达任务。</w:t>
      </w:r>
    </w:p>
    <w:p w:rsidR="00092E83" w:rsidRDefault="00BC7683">
      <w:pPr>
        <w:overflowPunct w:val="0"/>
        <w:spacing w:line="500" w:lineRule="exact"/>
        <w:jc w:val="center"/>
        <w:rPr>
          <w:rFonts w:ascii="黑体" w:eastAsia="黑体" w:hAnsi="黑体"/>
          <w:sz w:val="32"/>
          <w:szCs w:val="32"/>
          <w:highlight w:val="yellow"/>
        </w:rPr>
      </w:pPr>
      <w:r>
        <w:rPr>
          <w:rFonts w:ascii="黑体" w:eastAsia="黑体" w:hAnsi="黑体" w:hint="eastAsia"/>
          <w:sz w:val="32"/>
          <w:szCs w:val="32"/>
        </w:rPr>
        <w:t>三、2025年重点工作</w:t>
      </w:r>
    </w:p>
    <w:p w:rsidR="00092E83" w:rsidRDefault="00BC7683">
      <w:pPr>
        <w:overflowPunct w:val="0"/>
        <w:spacing w:line="500" w:lineRule="exact"/>
        <w:ind w:firstLineChars="200" w:firstLine="640"/>
        <w:rPr>
          <w:rStyle w:val="ic31"/>
          <w:sz w:val="32"/>
          <w:szCs w:val="32"/>
        </w:rPr>
      </w:pPr>
      <w:r>
        <w:rPr>
          <w:rStyle w:val="ic31"/>
          <w:rFonts w:hint="eastAsia"/>
          <w:sz w:val="32"/>
          <w:szCs w:val="32"/>
        </w:rPr>
        <w:t>围绕今年工作总体要求和目标任务，</w:t>
      </w:r>
      <w:r>
        <w:rPr>
          <w:rStyle w:val="ic31"/>
          <w:sz w:val="32"/>
          <w:szCs w:val="32"/>
        </w:rPr>
        <w:t>重点做好</w:t>
      </w:r>
      <w:r>
        <w:rPr>
          <w:rStyle w:val="ic31"/>
          <w:rFonts w:hint="eastAsia"/>
          <w:sz w:val="32"/>
          <w:szCs w:val="32"/>
        </w:rPr>
        <w:t>八</w:t>
      </w:r>
      <w:r>
        <w:rPr>
          <w:rStyle w:val="ic31"/>
          <w:sz w:val="32"/>
          <w:szCs w:val="32"/>
        </w:rPr>
        <w:t>个方面工作：</w:t>
      </w:r>
    </w:p>
    <w:p w:rsidR="00092E83" w:rsidRDefault="00BC7683">
      <w:pPr>
        <w:overflowPunct w:val="0"/>
        <w:spacing w:line="500" w:lineRule="exact"/>
        <w:ind w:firstLineChars="200" w:firstLine="640"/>
        <w:rPr>
          <w:rStyle w:val="ic31"/>
          <w:rFonts w:ascii="楷体_GB2312" w:eastAsia="楷体_GB2312"/>
          <w:sz w:val="32"/>
          <w:szCs w:val="32"/>
        </w:rPr>
      </w:pPr>
      <w:r>
        <w:rPr>
          <w:rStyle w:val="ic31"/>
          <w:rFonts w:ascii="楷体_GB2312" w:eastAsia="楷体_GB2312" w:hint="eastAsia"/>
          <w:sz w:val="32"/>
          <w:szCs w:val="32"/>
        </w:rPr>
        <w:lastRenderedPageBreak/>
        <w:t>（一）坚持把牢方向、紧抓关键，推动经济持续回升向好。</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Ansi="黑体" w:hint="eastAsia"/>
          <w:b/>
          <w:sz w:val="32"/>
          <w:szCs w:val="32"/>
        </w:rPr>
        <w:t>1．聚力扩内需提升消费能级。</w:t>
      </w:r>
      <w:r>
        <w:rPr>
          <w:rFonts w:ascii="仿宋_GB2312" w:eastAsia="仿宋_GB2312" w:hint="eastAsia"/>
          <w:sz w:val="32"/>
          <w:szCs w:val="32"/>
        </w:rPr>
        <w:t>用足用好消费品“以旧换新”政策，提振汽车、家电、家装等大宗消费，联动环球港等商业综合体，高质量办好系列促消费活动。大力发展数字消费、绿色消费、健康消费，积极发展首发经济，以星耀城建成投运为契机，着力引进首店首牌、举办首秀首展，创新推出更多沉浸式、体验式消费场景。完善提升现有商圈、商业街、城市综合体业态功能，推动迪诺水镇、汉江路等街区品质升级。深化一刻钟便民生活圈试点，争取年内完成9家农贸市场改造升级。</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Ansi="黑体" w:hint="eastAsia"/>
          <w:b/>
          <w:sz w:val="32"/>
          <w:szCs w:val="32"/>
        </w:rPr>
        <w:t>2．聚力抓项目扩大有效投资。</w:t>
      </w:r>
      <w:r>
        <w:rPr>
          <w:rFonts w:ascii="仿宋_GB2312" w:eastAsia="仿宋_GB2312" w:hint="eastAsia"/>
          <w:sz w:val="32"/>
          <w:szCs w:val="32"/>
        </w:rPr>
        <w:t>持续优化“1+4+N”招商工作机制，围绕“四新两智”主导产业，大力实施产业链招商、资本招商、场景招商，协同推进“三招三引”，力争全年招引优质产业项目100个、服务业项目50个，其中总投资超10亿元或1亿美元重大产业项目15个。迭代提升“招推服一体化2.0”工作机制，力争更多项目“签约即启动”“拿地即开工”“竣备即投产”，全力推动安米新能源软磁项目开工建设、比亚迪新能源汽车核心零部件产业园项目投产见效，持续刷新省市重大项目建设“进度条”。谋细谋实“两重”“两新”储备项目，推动更多项目纳入上位规划和资金盘</w:t>
      </w:r>
      <w:r>
        <w:rPr>
          <w:rFonts w:ascii="仿宋_GB2312" w:eastAsia="仿宋_GB2312" w:hAnsi="宋体" w:cs="仿宋_GB2312" w:hint="eastAsia"/>
          <w:color w:val="000000"/>
          <w:kern w:val="0"/>
          <w:sz w:val="32"/>
          <w:szCs w:val="32"/>
        </w:rPr>
        <w:t>。</w:t>
      </w:r>
    </w:p>
    <w:p w:rsidR="00092E83" w:rsidRDefault="00BC7683">
      <w:pPr>
        <w:overflowPunct w:val="0"/>
        <w:spacing w:line="5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3．聚力促外贸推动稳定增长。</w:t>
      </w:r>
      <w:r>
        <w:rPr>
          <w:rFonts w:ascii="仿宋_GB2312" w:eastAsia="仿宋_GB2312" w:hint="eastAsia"/>
          <w:sz w:val="32"/>
          <w:szCs w:val="32"/>
        </w:rPr>
        <w:t>积极开拓“一带一路”、RCEP国家市场，持续优化物流、通关便利化等服务举措，全力护航比亚迪、森萨塔等企业出海，确保“新三样”出口再增长。发挥综保区平台优势，推进“跨境电商+产业带”发展，支持外贸企业与跨境平台合作，强化公共海外仓供需对接，持续做大外贸新业态规模。引导外资企业增资扩能、利润再投，拓展境外发债、QFLP</w:t>
      </w:r>
      <w:r>
        <w:rPr>
          <w:rFonts w:ascii="仿宋_GB2312" w:eastAsia="仿宋_GB2312" w:hint="eastAsia"/>
          <w:sz w:val="32"/>
          <w:szCs w:val="32"/>
        </w:rPr>
        <w:lastRenderedPageBreak/>
        <w:t>等投资渠道，全年争取认定省跨国公司地区总部、研发中心和功能性机构2家以上。培育一批本土跨国企业</w:t>
      </w:r>
      <w:r>
        <w:rPr>
          <w:rFonts w:ascii="Times New Roman" w:eastAsia="仿宋_GB2312" w:hAnsi="Times New Roman" w:hint="eastAsia"/>
          <w:color w:val="000000"/>
          <w:sz w:val="32"/>
          <w:szCs w:val="32"/>
        </w:rPr>
        <w:t>，助力天合光能、星宇车灯等“走出去”企业行稳致远。</w:t>
      </w:r>
    </w:p>
    <w:p w:rsidR="00092E83" w:rsidRDefault="00BC7683">
      <w:pPr>
        <w:overflowPunct w:val="0"/>
        <w:spacing w:line="500" w:lineRule="exact"/>
        <w:ind w:firstLineChars="200" w:firstLine="640"/>
        <w:rPr>
          <w:rFonts w:ascii="楷体_GB2312" w:eastAsia="楷体_GB2312"/>
          <w:sz w:val="32"/>
          <w:szCs w:val="32"/>
          <w:highlight w:val="yellow"/>
        </w:rPr>
      </w:pPr>
      <w:r>
        <w:rPr>
          <w:rFonts w:ascii="楷体_GB2312" w:eastAsia="楷体_GB2312" w:hint="eastAsia"/>
          <w:sz w:val="32"/>
          <w:szCs w:val="32"/>
        </w:rPr>
        <w:t>（二）坚持提质升级、做强优势，加快产业高质量发展。</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1．锻造重点产业竞争力。</w:t>
      </w:r>
      <w:r>
        <w:rPr>
          <w:rFonts w:ascii="仿宋_GB2312" w:eastAsia="仿宋_GB2312" w:hint="eastAsia"/>
          <w:sz w:val="32"/>
          <w:szCs w:val="32"/>
        </w:rPr>
        <w:t>深入推进新型工业化，培育新质生产力。</w:t>
      </w:r>
      <w:r>
        <w:rPr>
          <w:rFonts w:ascii="仿宋_GB2312" w:eastAsia="仿宋_GB2312" w:hAnsi="仿宋" w:cs="仿宋" w:hint="eastAsia"/>
          <w:snapToGrid w:val="0"/>
          <w:sz w:val="32"/>
          <w:szCs w:val="32"/>
        </w:rPr>
        <w:t>加快“新能源之都核心区”建设，推动链上企业向智能座舱、固态电池等高附加值领域拓展，搭建智能网联、光储充一体化等新能源应用场景，</w:t>
      </w:r>
      <w:r>
        <w:rPr>
          <w:rFonts w:ascii="仿宋_GB2312" w:eastAsia="仿宋_GB2312" w:cs="Times New Roman" w:hint="eastAsia"/>
          <w:snapToGrid w:val="0"/>
          <w:color w:val="000000"/>
          <w:kern w:val="0"/>
          <w:sz w:val="32"/>
          <w:szCs w:val="32"/>
        </w:rPr>
        <w:t>推动</w:t>
      </w:r>
      <w:r>
        <w:rPr>
          <w:rFonts w:ascii="仿宋_GB2312" w:eastAsia="仿宋_GB2312" w:hAnsi="仿宋" w:cs="仿宋" w:hint="eastAsia"/>
          <w:snapToGrid w:val="0"/>
          <w:sz w:val="32"/>
          <w:szCs w:val="32"/>
        </w:rPr>
        <w:t>“发储送用网”深度融合，力争新能源产业规模突破2500亿元。布局推进合成生物、低空经济、人工智能等未来产业，加快形成规模和集群优势，培育更多新经济增长点。扎实推进五大重点产业发展，提升“链上有约·邻里配套”等活动品牌影响力，力促产业链上下游协同联动、聚链成势</w:t>
      </w:r>
      <w:r>
        <w:rPr>
          <w:rFonts w:ascii="仿宋_GB2312" w:eastAsia="仿宋_GB2312" w:hint="eastAsia"/>
          <w:sz w:val="32"/>
          <w:szCs w:val="32"/>
        </w:rPr>
        <w:t>。</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2．提升企业梯队支撑力。</w:t>
      </w:r>
      <w:r>
        <w:rPr>
          <w:rFonts w:ascii="仿宋_GB2312" w:eastAsia="仿宋_GB2312" w:hAnsi="仿宋_GB2312" w:cs="仿宋_GB2312" w:hint="eastAsia"/>
          <w:sz w:val="32"/>
          <w:szCs w:val="32"/>
        </w:rPr>
        <w:t>做优做强大企业集团，推动资源要素向龙头企业倾斜保障，力争全年新增百亿企业、50亿企业各1家。深入推进企业上市攻坚行动，加快推动股改上市，力争新增上市企业2家。鼓励企业深耕细分领域，培育更多“单项冠军”“隐形冠军”，力争新增国家级专精特新“小巨人”企业</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家。持续壮大市场主体规模，加快小微企业升规纳统，推动“四上”企业数量增加、活力增强、质量提升。</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3．焕发转型升级新动力。</w:t>
      </w:r>
      <w:r>
        <w:rPr>
          <w:rFonts w:ascii="仿宋_GB2312" w:eastAsia="仿宋_GB2312" w:hAnsi="仿宋_GB2312" w:cs="仿宋_GB2312" w:hint="eastAsia"/>
          <w:sz w:val="32"/>
          <w:szCs w:val="32"/>
        </w:rPr>
        <w:t>积极推进“数据要素×”“人工智能+”行动，着力打造数字经济产业园。</w:t>
      </w:r>
      <w:r>
        <w:rPr>
          <w:rFonts w:ascii="仿宋_GB2312" w:eastAsia="仿宋_GB2312" w:hint="eastAsia"/>
          <w:bCs/>
          <w:sz w:val="32"/>
          <w:szCs w:val="32"/>
        </w:rPr>
        <w:t>加快“智改数转网联”步伐，推动企业“分散式上云”向产业“成片式上云”跃升，力争市级以上智能工厂（车间）总数突破400家。深化绿色低碳转型，推进新型智能微电网试点，加快龙江路西侧近零碳园区核心区建设，着力打造一批绿色工厂、近零碳工厂、源网荷储一体化项目。</w:t>
      </w:r>
      <w:r>
        <w:rPr>
          <w:rFonts w:ascii="仿宋_GB2312" w:eastAsia="仿宋_GB2312" w:hAnsi="仿宋_GB2312" w:cs="仿宋_GB2312" w:hint="eastAsia"/>
          <w:sz w:val="32"/>
          <w:szCs w:val="32"/>
        </w:rPr>
        <w:lastRenderedPageBreak/>
        <w:t>推动“两业融合”协同突破，紧盯科技研发、数字服务、平台经济等重点业态，加大高端专业服务机构引育力度，努力向高附加值的一流制造业迈进。</w:t>
      </w:r>
    </w:p>
    <w:p w:rsidR="00092E83" w:rsidRDefault="00BC7683">
      <w:pPr>
        <w:overflowPunct w:val="0"/>
        <w:spacing w:line="500" w:lineRule="exact"/>
        <w:ind w:firstLineChars="200" w:firstLine="640"/>
        <w:rPr>
          <w:rFonts w:ascii="楷体_GB2312" w:eastAsia="楷体_GB2312"/>
          <w:sz w:val="32"/>
          <w:szCs w:val="32"/>
          <w:highlight w:val="yellow"/>
        </w:rPr>
      </w:pPr>
      <w:r>
        <w:rPr>
          <w:rFonts w:ascii="楷体_GB2312" w:eastAsia="楷体_GB2312" w:hint="eastAsia"/>
          <w:sz w:val="32"/>
          <w:szCs w:val="32"/>
        </w:rPr>
        <w:t>（三）坚持内培外引、提速增效，持续创新赋能释放活力。</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1．壮大创新主体增动能。</w:t>
      </w:r>
      <w:r>
        <w:rPr>
          <w:rFonts w:ascii="仿宋_GB2312" w:eastAsia="仿宋_GB2312" w:hint="eastAsia"/>
          <w:bCs/>
          <w:sz w:val="32"/>
          <w:szCs w:val="32"/>
        </w:rPr>
        <w:t>强化企业创新主体地位，深入开展科技创新“五提行动”，做优创新企业梯队培育工作，助力企业登高晋级。加大科技招商力度，发挥“以投带引”牵引作用，力争全年招引优质科技项目100个，引育“三高一资”项目80个。培育认定一批创新型领军企业，力争认定高新技术企业</w:t>
      </w:r>
      <w:r>
        <w:rPr>
          <w:rFonts w:ascii="仿宋_GB2312" w:eastAsia="仿宋_GB2312"/>
          <w:bCs/>
          <w:sz w:val="32"/>
          <w:szCs w:val="32"/>
        </w:rPr>
        <w:t>5</w:t>
      </w:r>
      <w:r>
        <w:rPr>
          <w:rFonts w:ascii="仿宋_GB2312" w:eastAsia="仿宋_GB2312" w:hint="eastAsia"/>
          <w:bCs/>
          <w:sz w:val="32"/>
          <w:szCs w:val="32"/>
        </w:rPr>
        <w:t>00家，独角兽（潜在）企业累计达</w:t>
      </w:r>
      <w:r>
        <w:rPr>
          <w:rFonts w:ascii="仿宋_GB2312" w:eastAsia="仿宋_GB2312"/>
          <w:bCs/>
          <w:sz w:val="32"/>
          <w:szCs w:val="32"/>
        </w:rPr>
        <w:t>25</w:t>
      </w:r>
      <w:r>
        <w:rPr>
          <w:rFonts w:ascii="仿宋_GB2312" w:eastAsia="仿宋_GB2312" w:hint="eastAsia"/>
          <w:bCs/>
          <w:sz w:val="32"/>
          <w:szCs w:val="32"/>
        </w:rPr>
        <w:t>家，瞪羚企业累计达200家。支持领军企业“揭榜挂帅”，推动企业与大院大所、人才团队共建研发平台，加强关键核心技术攻关，新增省级企业创新平台3家。</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2．做精创新载体强引领。</w:t>
      </w:r>
      <w:r>
        <w:rPr>
          <w:rFonts w:ascii="仿宋_GB2312" w:eastAsia="仿宋_GB2312" w:hint="eastAsia"/>
          <w:sz w:val="32"/>
          <w:szCs w:val="32"/>
        </w:rPr>
        <w:t>积极融入全省“一带两极三圈多点”创新布局，</w:t>
      </w:r>
      <w:r>
        <w:rPr>
          <w:rFonts w:ascii="仿宋_GB2312" w:eastAsia="仿宋_GB2312" w:hint="eastAsia"/>
          <w:bCs/>
          <w:sz w:val="32"/>
          <w:szCs w:val="32"/>
        </w:rPr>
        <w:t>全力推动碳纤维及复合材料技术创新中心争创国家级，南师大常州合成生物学产业研究院争创省合成生物技术创新中心，新一代光伏技术与装备制造业创新中心争创省级制造业创新中心，在新能源、新材料、合成生物领域努力打造一批“1到10”“10到100”的标志性成果。深化</w:t>
      </w:r>
      <w:r>
        <w:rPr>
          <w:rFonts w:ascii="仿宋_GB2312" w:eastAsia="仿宋_GB2312" w:hint="eastAsia"/>
          <w:sz w:val="32"/>
          <w:szCs w:val="32"/>
        </w:rPr>
        <w:t>政产学研协同，支持常工院“新工科”建设</w:t>
      </w:r>
      <w:r>
        <w:rPr>
          <w:rFonts w:ascii="仿宋_GB2312" w:eastAsia="仿宋_GB2312" w:hint="eastAsia"/>
          <w:bCs/>
          <w:sz w:val="32"/>
          <w:szCs w:val="32"/>
        </w:rPr>
        <w:t>。鼓励引导多元化市场主体投运孵化载体，争创全国首批卓越级科技型企业孵化器。聚焦产业科创载体功能联动、集聚集约，确保全年新投用产业科创载体面积不低于74万平方米。</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3．优化创新生态筑保障。</w:t>
      </w:r>
      <w:r>
        <w:rPr>
          <w:rFonts w:ascii="仿宋_GB2312" w:eastAsia="仿宋_GB2312" w:hint="eastAsia"/>
          <w:sz w:val="32"/>
          <w:szCs w:val="32"/>
        </w:rPr>
        <w:t>推动科技创新和产业创新深度融合，</w:t>
      </w:r>
      <w:r>
        <w:rPr>
          <w:rFonts w:ascii="仿宋_GB2312" w:eastAsia="仿宋_GB2312" w:hint="eastAsia"/>
          <w:bCs/>
          <w:sz w:val="32"/>
          <w:szCs w:val="32"/>
        </w:rPr>
        <w:t>加大对企业培育、研发投入等政策支持力度，优化资金投向投量。健全多层次金融服务体系，发挥产业科创基金撬动作用，鼓励支持股权投资、创业投资，做优做强“科创积分贷”等金融产品。</w:t>
      </w:r>
      <w:r>
        <w:rPr>
          <w:rFonts w:ascii="仿宋_GB2312" w:eastAsia="仿宋_GB2312" w:hint="eastAsia"/>
          <w:bCs/>
          <w:sz w:val="32"/>
          <w:szCs w:val="32"/>
        </w:rPr>
        <w:lastRenderedPageBreak/>
        <w:t>推进知识产权“三试点三示范”建设，</w:t>
      </w:r>
      <w:r>
        <w:rPr>
          <w:rFonts w:ascii="仿宋_GB2312" w:eastAsia="仿宋_GB2312" w:hAnsi="仿宋_GB2312" w:cs="仿宋_GB2312" w:hint="eastAsia"/>
          <w:sz w:val="32"/>
          <w:szCs w:val="32"/>
        </w:rPr>
        <w:t>鼓励企业积极申报数据知识产权</w:t>
      </w:r>
      <w:r>
        <w:rPr>
          <w:rFonts w:ascii="仿宋_GB2312" w:eastAsia="仿宋_GB2312" w:hint="eastAsia"/>
          <w:bCs/>
          <w:sz w:val="32"/>
          <w:szCs w:val="32"/>
        </w:rPr>
        <w:t>。长效化构建创新人才发展体系，聚焦重点产业关键技术领域，扎实做好人才“引育留用”文章，</w:t>
      </w:r>
      <w:r>
        <w:rPr>
          <w:rFonts w:ascii="仿宋_GB2312" w:eastAsia="仿宋_GB2312" w:hAnsi="仿宋" w:cs="仿宋" w:hint="eastAsia"/>
          <w:snapToGrid w:val="0"/>
          <w:sz w:val="32"/>
          <w:szCs w:val="32"/>
        </w:rPr>
        <w:t>力争培育入选国家重大人才计划人才20名以上，省“双创计划”人才12名以上，市“龙城英才计划”项目</w:t>
      </w:r>
      <w:r>
        <w:rPr>
          <w:rFonts w:ascii="仿宋_GB2312" w:eastAsia="仿宋_GB2312" w:hAnsi="仿宋" w:cs="仿宋"/>
          <w:snapToGrid w:val="0"/>
          <w:sz w:val="32"/>
          <w:szCs w:val="32"/>
        </w:rPr>
        <w:t>100</w:t>
      </w:r>
      <w:r>
        <w:rPr>
          <w:rFonts w:ascii="仿宋_GB2312" w:eastAsia="仿宋_GB2312" w:hAnsi="仿宋" w:cs="仿宋" w:hint="eastAsia"/>
          <w:snapToGrid w:val="0"/>
          <w:sz w:val="32"/>
          <w:szCs w:val="32"/>
        </w:rPr>
        <w:t>个以上，引育各类人才2.8万人以上。</w:t>
      </w:r>
    </w:p>
    <w:p w:rsidR="00092E83" w:rsidRDefault="00BC7683">
      <w:pPr>
        <w:overflowPunct w:val="0"/>
        <w:spacing w:line="500" w:lineRule="exact"/>
        <w:ind w:firstLineChars="200" w:firstLine="640"/>
        <w:rPr>
          <w:rFonts w:ascii="楷体_GB2312" w:eastAsia="楷体_GB2312"/>
          <w:sz w:val="32"/>
          <w:szCs w:val="32"/>
          <w:highlight w:val="yellow"/>
        </w:rPr>
      </w:pPr>
      <w:r>
        <w:rPr>
          <w:rFonts w:ascii="楷体_GB2312" w:eastAsia="楷体_GB2312" w:hint="eastAsia"/>
          <w:sz w:val="32"/>
          <w:szCs w:val="32"/>
        </w:rPr>
        <w:t>（四）坚持因地制宜、重点突破，聚力深化改革扩大开放。</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1．全面推进重点领域改革。</w:t>
      </w:r>
      <w:r>
        <w:rPr>
          <w:rFonts w:ascii="仿宋_GB2312" w:eastAsia="仿宋_GB2312" w:hint="eastAsia"/>
          <w:bCs/>
          <w:sz w:val="32"/>
          <w:szCs w:val="32"/>
        </w:rPr>
        <w:t>扎实推进工业用地提质增效，深化工业企业资源集约利用评价结果运用，打造一批“工业上楼”产业载体新样板，全年工业低效用地再开发3300亩以上。推动实施城镇土地使用税差别化调整，引导土地高效利用。</w:t>
      </w:r>
      <w:r>
        <w:rPr>
          <w:rFonts w:ascii="仿宋_GB2312" w:eastAsia="仿宋_GB2312" w:hAnsi="Times New Roman" w:hint="eastAsia"/>
          <w:sz w:val="32"/>
          <w:szCs w:val="32"/>
        </w:rPr>
        <w:t>总结推广孟河镇工业用地市场化出让试点经验，鼓励采用“入股-经营-分红”模式盘活集体经营性建设用地。</w:t>
      </w:r>
      <w:r>
        <w:rPr>
          <w:rFonts w:ascii="仿宋_GB2312" w:eastAsia="仿宋_GB2312" w:hint="eastAsia"/>
          <w:bCs/>
          <w:sz w:val="32"/>
          <w:szCs w:val="32"/>
        </w:rPr>
        <w:t>持续深化</w:t>
      </w:r>
      <w:r>
        <w:rPr>
          <w:rFonts w:ascii="仿宋_GB2312" w:eastAsia="仿宋_GB2312" w:hint="eastAsia"/>
          <w:sz w:val="32"/>
          <w:szCs w:val="32"/>
        </w:rPr>
        <w:t>工业厂房“</w:t>
      </w:r>
      <w:r>
        <w:rPr>
          <w:rFonts w:ascii="仿宋_GB2312" w:eastAsia="仿宋_GB2312" w:hAnsi="仿宋_GB2312" w:cs="仿宋_GB2312" w:hint="eastAsia"/>
          <w:sz w:val="32"/>
          <w:szCs w:val="32"/>
        </w:rPr>
        <w:t>先评后租</w:t>
      </w:r>
      <w:r>
        <w:rPr>
          <w:rFonts w:ascii="仿宋_GB2312" w:eastAsia="仿宋_GB2312" w:hint="eastAsia"/>
          <w:sz w:val="32"/>
          <w:szCs w:val="32"/>
        </w:rPr>
        <w:t>”、餐饮场所“</w:t>
      </w:r>
      <w:r>
        <w:rPr>
          <w:rFonts w:ascii="仿宋_GB2312" w:eastAsia="仿宋_GB2312" w:hAnsi="仿宋_GB2312" w:cs="仿宋_GB2312" w:hint="eastAsia"/>
          <w:sz w:val="32"/>
          <w:szCs w:val="32"/>
        </w:rPr>
        <w:t>审管联动</w:t>
      </w:r>
      <w:r>
        <w:rPr>
          <w:rFonts w:ascii="仿宋_GB2312" w:eastAsia="仿宋_GB2312" w:hint="eastAsia"/>
          <w:sz w:val="32"/>
          <w:szCs w:val="32"/>
        </w:rPr>
        <w:t>”、化工园区企业安全总监“园企共管”工作机制，提升监管效能和服务水平。</w:t>
      </w:r>
      <w:r>
        <w:rPr>
          <w:rFonts w:ascii="仿宋_GB2312" w:eastAsia="仿宋_GB2312" w:hAnsi="Times New Roman" w:hint="eastAsia"/>
          <w:sz w:val="32"/>
          <w:szCs w:val="32"/>
        </w:rPr>
        <w:t>实施国有企业改革深化提升行动，聚焦主责主业提高市场化经营效益，防范化解各类风险。</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2．全力提升开放合作水平。</w:t>
      </w:r>
      <w:r>
        <w:rPr>
          <w:rFonts w:ascii="仿宋_GB2312" w:eastAsia="仿宋_GB2312" w:hint="eastAsia"/>
          <w:bCs/>
          <w:sz w:val="32"/>
          <w:szCs w:val="32"/>
        </w:rPr>
        <w:t>持续激发中瑞、中日国际园区“磁场效应”，继续开展“瑞士企业进高新”等系列活动，丰富与常州瑞士中心合作模式，推动更多合作成果落地。深化与德国罗特市、赫尔福德等友城关系，因地制宜</w:t>
      </w:r>
      <w:r>
        <w:rPr>
          <w:rFonts w:ascii="仿宋_GB2312" w:eastAsia="仿宋_GB2312" w:hint="eastAsia"/>
          <w:sz w:val="32"/>
          <w:szCs w:val="32"/>
        </w:rPr>
        <w:t>开展对外经贸洽谈、产业对接、境内外招商等活动。</w:t>
      </w:r>
      <w:r>
        <w:rPr>
          <w:rFonts w:ascii="仿宋_GB2312" w:eastAsia="仿宋_GB2312" w:hint="eastAsia"/>
          <w:bCs/>
          <w:sz w:val="32"/>
          <w:szCs w:val="32"/>
        </w:rPr>
        <w:t>放大“空铁水公”交通运输综合优势，打造区域生产服务型物流中心，</w:t>
      </w:r>
      <w:r>
        <w:rPr>
          <w:rFonts w:ascii="仿宋_GB2312" w:eastAsia="仿宋_GB2312" w:hAnsi="Times New Roman" w:cs="Times New Roman" w:hint="eastAsia"/>
          <w:sz w:val="32"/>
          <w:szCs w:val="32"/>
        </w:rPr>
        <w:t>大力发展枢纽经济</w:t>
      </w:r>
      <w:r>
        <w:rPr>
          <w:rFonts w:ascii="仿宋_GB2312" w:eastAsia="仿宋_GB2312" w:hAnsi="Times New Roman" w:hint="eastAsia"/>
          <w:sz w:val="32"/>
          <w:szCs w:val="32"/>
        </w:rPr>
        <w:t>。</w:t>
      </w:r>
      <w:r>
        <w:rPr>
          <w:rFonts w:ascii="仿宋_GB2312" w:eastAsia="仿宋_GB2312" w:hint="eastAsia"/>
          <w:bCs/>
          <w:sz w:val="32"/>
          <w:szCs w:val="32"/>
        </w:rPr>
        <w:t>抢抓常泰长江大桥通车机遇，积极</w:t>
      </w:r>
      <w:r>
        <w:rPr>
          <w:rFonts w:ascii="仿宋_GB2312" w:eastAsia="仿宋_GB2312" w:hint="eastAsia"/>
          <w:sz w:val="32"/>
          <w:szCs w:val="32"/>
        </w:rPr>
        <w:t>推动跨区域产业协同配套、科创资源共享、公共服务融合，汇聚耦合更多</w:t>
      </w:r>
      <w:r>
        <w:rPr>
          <w:rFonts w:ascii="仿宋_GB2312" w:eastAsia="仿宋_GB2312" w:hAnsi="Times New Roman" w:hint="eastAsia"/>
          <w:sz w:val="32"/>
          <w:szCs w:val="32"/>
        </w:rPr>
        <w:t>信息流、资金流、人才流。</w:t>
      </w:r>
    </w:p>
    <w:p w:rsidR="00092E83" w:rsidRDefault="00BC7683">
      <w:pPr>
        <w:overflowPunct w:val="0"/>
        <w:spacing w:line="52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3．全域打造一流营商环境。</w:t>
      </w:r>
      <w:r>
        <w:rPr>
          <w:rFonts w:ascii="仿宋_GB2312" w:eastAsia="仿宋_GB2312" w:hAnsi="仿宋_GB2312" w:cs="仿宋_GB2312" w:hint="eastAsia"/>
          <w:sz w:val="32"/>
          <w:szCs w:val="32"/>
        </w:rPr>
        <w:t>拓展“高新事·高兴办”品牌深度，围绕全生命周期服务，深入推进“高效办成一件事”改革，</w:t>
      </w:r>
      <w:r>
        <w:rPr>
          <w:rFonts w:ascii="仿宋_GB2312" w:eastAsia="仿宋_GB2312" w:hAnsi="仿宋_GB2312" w:cs="仿宋_GB2312" w:hint="eastAsia"/>
          <w:sz w:val="32"/>
          <w:szCs w:val="32"/>
        </w:rPr>
        <w:lastRenderedPageBreak/>
        <w:t>常态化开展“多评合一”“跨域通办”，探索打造虚拟政务大厅、云综窗，以数智政务推动服务提质增效。优化“政企直通车”服务，探索建立“税、电、钱、人”数据共享机制和企业综合信息管理平台，大力推行“监管一件事+综合查一次”，回应关切诉求、减少对企干扰。抢抓新一轮增量政策落地期，助力企业运营成本更低、盈利能力更强、发展预期更稳定。</w:t>
      </w:r>
    </w:p>
    <w:p w:rsidR="00092E83" w:rsidRDefault="00BC7683">
      <w:pPr>
        <w:overflowPunct w:val="0"/>
        <w:spacing w:line="520" w:lineRule="exact"/>
        <w:ind w:firstLineChars="200" w:firstLine="640"/>
        <w:rPr>
          <w:rFonts w:ascii="楷体_GB2312" w:eastAsia="楷体_GB2312"/>
          <w:sz w:val="32"/>
          <w:szCs w:val="32"/>
          <w:highlight w:val="yellow"/>
        </w:rPr>
      </w:pPr>
      <w:r>
        <w:rPr>
          <w:rFonts w:ascii="楷体_GB2312" w:eastAsia="楷体_GB2312" w:hint="eastAsia"/>
          <w:sz w:val="32"/>
          <w:szCs w:val="32"/>
        </w:rPr>
        <w:t>（五）坚持均衡一体、精准施策，推动城乡发展融合共进。</w:t>
      </w:r>
    </w:p>
    <w:p w:rsidR="00092E83" w:rsidRDefault="00BC7683">
      <w:pPr>
        <w:overflowPunct w:val="0"/>
        <w:spacing w:line="520" w:lineRule="exact"/>
        <w:ind w:firstLineChars="200" w:firstLine="643"/>
        <w:rPr>
          <w:rFonts w:ascii="仿宋_GB2312" w:eastAsia="仿宋_GB2312"/>
          <w:bCs/>
          <w:sz w:val="32"/>
          <w:szCs w:val="32"/>
        </w:rPr>
      </w:pPr>
      <w:r>
        <w:rPr>
          <w:rFonts w:ascii="仿宋_GB2312" w:eastAsia="仿宋_GB2312" w:hint="eastAsia"/>
          <w:b/>
          <w:sz w:val="32"/>
          <w:szCs w:val="32"/>
        </w:rPr>
        <w:t>1．科学优化功能布局。</w:t>
      </w:r>
      <w:r>
        <w:rPr>
          <w:rFonts w:ascii="仿宋_GB2312" w:eastAsia="仿宋_GB2312" w:hAnsi="仿宋_GB2312" w:cs="仿宋_GB2312" w:hint="eastAsia"/>
          <w:sz w:val="32"/>
          <w:szCs w:val="32"/>
        </w:rPr>
        <w:t>当好全市交通中轴建设排头兵，</w:t>
      </w:r>
      <w:r>
        <w:rPr>
          <w:rFonts w:ascii="仿宋_GB2312" w:eastAsia="仿宋_GB2312" w:hint="eastAsia"/>
          <w:bCs/>
          <w:sz w:val="32"/>
          <w:szCs w:val="32"/>
        </w:rPr>
        <w:t>保障</w:t>
      </w:r>
      <w:r>
        <w:rPr>
          <w:rFonts w:ascii="仿宋_GB2312" w:eastAsia="仿宋_GB2312" w:hAnsi="仿宋_GB2312" w:cs="仿宋_GB2312" w:hint="eastAsia"/>
          <w:sz w:val="32"/>
          <w:szCs w:val="32"/>
        </w:rPr>
        <w:t>常泰长江大桥上半年建成通车，做好龙江路高架北延路网衔接，加快实施德胜河及苏南运河天禧桥段航道整治工程，推进龙城大道高架西延建设，构建外联内畅现代化综合交通体系。</w:t>
      </w:r>
      <w:r>
        <w:rPr>
          <w:rFonts w:ascii="仿宋_GB2312" w:eastAsia="仿宋_GB2312" w:hint="eastAsia"/>
          <w:bCs/>
          <w:sz w:val="32"/>
          <w:szCs w:val="32"/>
        </w:rPr>
        <w:t>精雕细琢提升高铁新城风貌，持续改善新龙湖沿线环境和湖泊水质，推动高铁北站北入口打开、功能综合体建设，全力保障星耀城等地标建筑年内尽早投用，加快推进市第二工人文化宫等项目建设，积极打造第四代住宅、低密度社区等高品质住宅产品，加速拓展城市功能、展现新城魅力。</w:t>
      </w:r>
      <w:r>
        <w:rPr>
          <w:rFonts w:ascii="仿宋_GB2312" w:eastAsia="仿宋_GB2312" w:hAnsi="仿宋_GB2312" w:cs="仿宋_GB2312" w:hint="eastAsia"/>
          <w:sz w:val="32"/>
          <w:szCs w:val="32"/>
        </w:rPr>
        <w:t>以站南片区城市更新省级试点为契机，</w:t>
      </w:r>
      <w:r>
        <w:rPr>
          <w:rFonts w:ascii="仿宋_GB2312" w:eastAsia="仿宋_GB2312" w:hint="eastAsia"/>
          <w:bCs/>
          <w:sz w:val="32"/>
          <w:szCs w:val="32"/>
        </w:rPr>
        <w:t>科学有序焕新城市界面。</w:t>
      </w:r>
    </w:p>
    <w:p w:rsidR="00092E83" w:rsidRDefault="00BC7683">
      <w:pPr>
        <w:overflowPunct w:val="0"/>
        <w:spacing w:line="520" w:lineRule="exact"/>
        <w:ind w:firstLineChars="200" w:firstLine="643"/>
        <w:rPr>
          <w:rFonts w:ascii="仿宋_GB2312" w:eastAsia="仿宋_GB2312"/>
          <w:sz w:val="32"/>
          <w:szCs w:val="32"/>
        </w:rPr>
      </w:pPr>
      <w:r>
        <w:rPr>
          <w:rFonts w:ascii="仿宋_GB2312" w:eastAsia="仿宋_GB2312" w:hint="eastAsia"/>
          <w:b/>
          <w:sz w:val="32"/>
          <w:szCs w:val="32"/>
        </w:rPr>
        <w:t>2．系统提升城市管理。</w:t>
      </w:r>
      <w:r>
        <w:rPr>
          <w:rFonts w:ascii="仿宋_GB2312" w:eastAsia="仿宋_GB2312" w:hAnsi="仿宋_GB2312" w:cs="仿宋_GB2312" w:hint="eastAsia"/>
          <w:color w:val="000000"/>
          <w:sz w:val="32"/>
        </w:rPr>
        <w:t>加快城市运行“一网统管”平台建设，有效提升城市管理效率和风险防控水平。</w:t>
      </w:r>
      <w:r>
        <w:rPr>
          <w:rFonts w:ascii="仿宋_GB2312" w:eastAsia="仿宋_GB2312" w:hAnsi="仿宋_GB2312" w:cs="仿宋_GB2312"/>
          <w:color w:val="000000"/>
          <w:sz w:val="32"/>
        </w:rPr>
        <w:t>纵深推进“城市大管家”2.0模式</w:t>
      </w:r>
      <w:r>
        <w:rPr>
          <w:rFonts w:ascii="仿宋_GB2312" w:eastAsia="仿宋_GB2312" w:hAnsi="仿宋_GB2312" w:cs="仿宋_GB2312" w:hint="eastAsia"/>
          <w:color w:val="000000"/>
          <w:sz w:val="32"/>
        </w:rPr>
        <w:t>，丰富“智慧管家”平台功能，确保全时段管理标准不降、工作力度不减。加强环球港周边等重点区域交通组织，做好公交线网优化，</w:t>
      </w:r>
      <w:r>
        <w:rPr>
          <w:rFonts w:ascii="仿宋_GB2312" w:eastAsia="仿宋_GB2312" w:hAnsi="仿宋" w:hint="eastAsia"/>
          <w:sz w:val="32"/>
          <w:szCs w:val="32"/>
        </w:rPr>
        <w:t>推行精细化停车管理，新增公共停车泊位2400个以上。打造精品道路，串联绿道系统，新建口袋公园4个。强化垃圾处理全过程监管，确保规范运行、处置闭环。</w:t>
      </w:r>
      <w:r>
        <w:rPr>
          <w:rFonts w:ascii="仿宋_GB2312" w:eastAsia="仿宋_GB2312" w:hAnsi="仿宋_GB2312" w:cs="仿宋_GB2312" w:hint="eastAsia"/>
          <w:sz w:val="32"/>
          <w:szCs w:val="32"/>
        </w:rPr>
        <w:t>统筹推进老</w:t>
      </w:r>
      <w:r>
        <w:rPr>
          <w:rFonts w:ascii="仿宋_GB2312" w:eastAsia="仿宋_GB2312" w:hAnsi="仿宋_GB2312" w:cs="仿宋_GB2312" w:hint="eastAsia"/>
          <w:sz w:val="32"/>
          <w:szCs w:val="32"/>
        </w:rPr>
        <w:lastRenderedPageBreak/>
        <w:t>旧小区改造和城中村自主更新，实施老旧小区改造项目15个，</w:t>
      </w:r>
      <w:r>
        <w:rPr>
          <w:rFonts w:ascii="仿宋_GB2312" w:eastAsia="仿宋_GB2312" w:hAnsi="仿宋" w:hint="eastAsia"/>
          <w:sz w:val="32"/>
          <w:szCs w:val="32"/>
        </w:rPr>
        <w:t>探索引入“阳光信托”物业管理模式，加快老旧小区更新蜕变。</w:t>
      </w:r>
    </w:p>
    <w:p w:rsidR="00092E83" w:rsidRDefault="00BC7683">
      <w:pPr>
        <w:overflowPunct w:val="0"/>
        <w:spacing w:line="500" w:lineRule="exact"/>
        <w:ind w:firstLineChars="200" w:firstLine="643"/>
        <w:rPr>
          <w:rFonts w:ascii="仿宋_GB2312" w:eastAsia="仿宋_GB2312" w:hAnsi="仿宋" w:cs="仿宋"/>
          <w:snapToGrid w:val="0"/>
          <w:sz w:val="32"/>
          <w:szCs w:val="32"/>
        </w:rPr>
      </w:pPr>
      <w:r>
        <w:rPr>
          <w:rFonts w:ascii="仿宋_GB2312" w:eastAsia="仿宋_GB2312" w:hint="eastAsia"/>
          <w:b/>
          <w:sz w:val="32"/>
          <w:szCs w:val="32"/>
        </w:rPr>
        <w:t>3．加速推进乡村振兴。</w:t>
      </w:r>
      <w:r>
        <w:rPr>
          <w:rFonts w:ascii="仿宋_GB2312" w:eastAsia="仿宋_GB2312" w:hint="eastAsia"/>
          <w:sz w:val="32"/>
          <w:szCs w:val="32"/>
        </w:rPr>
        <w:t>积极推动国家级现代农业产业园创建，统筹推进农产品品牌创建、数字化平台建设。新建高标准农田1.06万亩，持续增强粮食等重要农产品供给保障能力。加快沿江农文旅融合项目建设，推动文旅休闲、创意科普等“农业+”新业态融合。聚力推进乡村片区整治更新，完成人居环境整治重点村庄100个以上，争创省级宜居宜业和美乡村7个、市级8个。全面推广宅基地管理改革、集体土地入市改革、第二轮土地延包试点等举措。拓展“区块链+农村集体资产监管”服务功能，落实村集体经济增收激励政策，推动全区村集体经营性收入平均超500万元。</w:t>
      </w:r>
    </w:p>
    <w:p w:rsidR="00092E83" w:rsidRDefault="00BC7683">
      <w:pPr>
        <w:overflowPunct w:val="0"/>
        <w:spacing w:line="500" w:lineRule="exact"/>
        <w:ind w:firstLineChars="200" w:firstLine="640"/>
        <w:rPr>
          <w:rFonts w:ascii="楷体_GB2312" w:eastAsia="楷体_GB2312"/>
          <w:sz w:val="32"/>
          <w:szCs w:val="32"/>
          <w:highlight w:val="yellow"/>
        </w:rPr>
      </w:pPr>
      <w:r>
        <w:rPr>
          <w:rFonts w:ascii="楷体_GB2312" w:eastAsia="楷体_GB2312" w:hint="eastAsia"/>
          <w:sz w:val="32"/>
          <w:szCs w:val="32"/>
        </w:rPr>
        <w:t>（六）坚持民生为本、广增福祉，绘就人民满意幸福画卷。</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1．织牢高密度保障网络。</w:t>
      </w:r>
      <w:r>
        <w:rPr>
          <w:rFonts w:ascii="仿宋_GB2312" w:eastAsia="仿宋_GB2312" w:hint="eastAsia"/>
          <w:sz w:val="32"/>
          <w:szCs w:val="32"/>
        </w:rPr>
        <w:t>优化升级“15分钟”就业服务圈，一体推进“家门口”就业服务站和零工市场建设，建成“龙城快工”线上用工服务平台，促进各类群体高质量充分就业，全年新增城镇就业2.3万人以上。扎实推进全民参保提效、低保政策扩围，确保困难残疾人、困境儿童、低保对象等群体100%纳入保障。深化医保“统模式”改革，持续推动镇（街道）、村（社区）医保服务网点常态化运行，实现规定业务事项“全域通办”。积极推行房票安置，扎实做好保障性租赁住房项目筹集和管理。</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2．提升高品质公共服务。</w:t>
      </w:r>
      <w:r>
        <w:rPr>
          <w:rFonts w:ascii="仿宋_GB2312" w:eastAsia="仿宋_GB2312" w:hint="eastAsia"/>
          <w:sz w:val="32"/>
          <w:szCs w:val="32"/>
        </w:rPr>
        <w:t>加快龙虎塘中学改扩建等9个学校项目建设，新增学位5600个，发挥“三名”培育工程引领作用，促进教师梯队化、专业化发展。完善未成年人心理健康关爱工作机制，“三中心”阵地服务对象逐步拓展至全社会人群。积极发展银发经济，深化智慧养老居家场景应用，打造全市首个综合型养</w:t>
      </w:r>
      <w:r>
        <w:rPr>
          <w:rFonts w:ascii="仿宋_GB2312" w:eastAsia="仿宋_GB2312" w:hint="eastAsia"/>
          <w:sz w:val="32"/>
          <w:szCs w:val="32"/>
        </w:rPr>
        <w:lastRenderedPageBreak/>
        <w:t>老服务体验中心。扩大普惠托育服务供给，确保千人托位数达</w:t>
      </w:r>
      <w:r>
        <w:rPr>
          <w:rFonts w:ascii="仿宋_GB2312" w:eastAsia="仿宋_GB2312"/>
          <w:sz w:val="32"/>
          <w:szCs w:val="32"/>
        </w:rPr>
        <w:t>4.8</w:t>
      </w:r>
      <w:r>
        <w:rPr>
          <w:rFonts w:ascii="仿宋_GB2312" w:eastAsia="仿宋_GB2312" w:hint="eastAsia"/>
          <w:sz w:val="32"/>
          <w:szCs w:val="32"/>
        </w:rPr>
        <w:t>个。提速市一院高新院区、区公卫中心、区德康医院建设，持续提升基层医疗服务水平，扩展延伸AED设备覆盖面，培训应急救护人员超万人。创新名中医坐诊形式，探索中医多元化应用场景，不断扩大孟河医派影响力传播力。</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3．激发高能量城市活力。</w:t>
      </w:r>
      <w:r>
        <w:rPr>
          <w:rFonts w:ascii="仿宋_GB2312" w:eastAsia="仿宋_GB2312" w:hint="eastAsia"/>
          <w:sz w:val="32"/>
          <w:szCs w:val="32"/>
        </w:rPr>
        <w:t>聚力推进“春江八景”等常州长江国家文化公园重点项目建设，扩大“春江花月夜”文化品牌知名度。延伸拓展“音乐+戏剧”“赛事+运动”“沙龙+会展”“集市+美食”新业态新场景，依托“一湖一林”“三大运动中心”等优质载体，持续开展马拉松、皮划艇大赛、足球联赛等群众活动，推出森林素人音乐节等亮点活动，开拓“青年夜肆”等一批青年发展型街区和社群，打造汉江路国际美食季、新龙湖啤酒音乐季等国际化活动品牌，全方位丰富文体旅商产品供给，不断塑造文旅活力、汇聚流量人气。</w:t>
      </w:r>
    </w:p>
    <w:p w:rsidR="00092E83" w:rsidRDefault="00BC7683">
      <w:pPr>
        <w:overflowPunct w:val="0"/>
        <w:spacing w:line="500" w:lineRule="exact"/>
        <w:ind w:firstLineChars="200" w:firstLine="640"/>
        <w:rPr>
          <w:rFonts w:ascii="楷体_GB2312" w:eastAsia="楷体_GB2312"/>
          <w:sz w:val="32"/>
          <w:szCs w:val="32"/>
          <w:highlight w:val="yellow"/>
        </w:rPr>
      </w:pPr>
      <w:r>
        <w:rPr>
          <w:rFonts w:ascii="楷体_GB2312" w:eastAsia="楷体_GB2312" w:hint="eastAsia"/>
          <w:sz w:val="32"/>
          <w:szCs w:val="32"/>
        </w:rPr>
        <w:t>（七）坚持统筹兼顾、筑牢底线，构建更高水平安全格局。</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1．驰而不息夯实安全底线。</w:t>
      </w:r>
      <w:r>
        <w:rPr>
          <w:rFonts w:ascii="仿宋_GB2312" w:eastAsia="仿宋_GB2312" w:hint="eastAsia"/>
          <w:sz w:val="32"/>
          <w:szCs w:val="32"/>
        </w:rPr>
        <w:t>推动安全生产治本攻坚行动走深走实，持续开展“危污乱散低”整治、粉尘涉爆整治巩固提升、社会面小场所安全治理，深入实施化工和危化品等6个“一件事”全链条安全治理，推动高风险行业企业100%投保安全生产责任险，坚决防范遏制重特大生产安全事故。探索执法监管新模式，深化分类监管、数据赋能，加快提升基层监管实效。深化公共安全体系建设，优化配置基层应急救援力量，充分发挥公共安全体验馆等载体作用，加强公众安全知识科普教育，筑牢全社会安全防线。</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2．久久为功严守生态红线。</w:t>
      </w:r>
      <w:r>
        <w:rPr>
          <w:rFonts w:ascii="仿宋_GB2312" w:eastAsia="仿宋_GB2312" w:hint="eastAsia"/>
          <w:sz w:val="32"/>
          <w:szCs w:val="32"/>
        </w:rPr>
        <w:t>推进第三轮中央生态环境保护督察交办问题、省长江经济带生态环境警示片披露问题整改，严格</w:t>
      </w:r>
      <w:r>
        <w:rPr>
          <w:rFonts w:ascii="仿宋_GB2312" w:eastAsia="仿宋_GB2312" w:hint="eastAsia"/>
          <w:sz w:val="32"/>
          <w:szCs w:val="32"/>
        </w:rPr>
        <w:lastRenderedPageBreak/>
        <w:t>落实验收销号制度，确保按期高质量完成整改任务。突出精准治气，强化重点行业超低排放改造，力争全区PM</w:t>
      </w:r>
      <w:r>
        <w:rPr>
          <w:rFonts w:ascii="仿宋_GB2312" w:eastAsia="仿宋_GB2312" w:hint="eastAsia"/>
          <w:sz w:val="32"/>
          <w:szCs w:val="32"/>
          <w:vertAlign w:val="subscript"/>
        </w:rPr>
        <w:t>2.5</w:t>
      </w:r>
      <w:r>
        <w:rPr>
          <w:rFonts w:ascii="仿宋_GB2312" w:eastAsia="仿宋_GB2312" w:hint="eastAsia"/>
          <w:sz w:val="32"/>
          <w:szCs w:val="32"/>
        </w:rPr>
        <w:t>平均浓度降至34微克/立方米以下，优良天数比例保持80%以上。聚力系统治水，</w:t>
      </w:r>
      <w:r>
        <w:rPr>
          <w:rFonts w:ascii="仿宋_GB2312" w:eastAsia="仿宋_GB2312" w:hAnsi="仿宋" w:cs="仿宋" w:hint="eastAsia"/>
          <w:snapToGrid w:val="0"/>
          <w:sz w:val="32"/>
          <w:szCs w:val="32"/>
        </w:rPr>
        <w:t>持续巩固长江大保护成果，</w:t>
      </w:r>
      <w:r>
        <w:rPr>
          <w:rFonts w:ascii="仿宋_GB2312" w:eastAsia="仿宋_GB2312" w:hint="eastAsia"/>
          <w:sz w:val="32"/>
          <w:szCs w:val="32"/>
        </w:rPr>
        <w:t>推进新一轮水环境综合治理三年行动，统筹推进溯源排查、截污纳管和基础设施建设，加快</w:t>
      </w:r>
      <w:r>
        <w:rPr>
          <w:rFonts w:ascii="仿宋_GB2312" w:eastAsia="仿宋_GB2312" w:hAnsi="仿宋" w:cs="仿宋" w:hint="eastAsia"/>
          <w:snapToGrid w:val="0"/>
          <w:sz w:val="32"/>
          <w:szCs w:val="32"/>
        </w:rPr>
        <w:t>生命健康产业园区污水处理厂建设，</w:t>
      </w:r>
      <w:r>
        <w:rPr>
          <w:rFonts w:ascii="仿宋_GB2312" w:eastAsia="仿宋_GB2312" w:hint="eastAsia"/>
          <w:sz w:val="32"/>
          <w:szCs w:val="32"/>
        </w:rPr>
        <w:t>确保国省考断面优Ⅲ比例保持100%。</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3．毫不松懈织密稳定防线。</w:t>
      </w:r>
      <w:r>
        <w:rPr>
          <w:rFonts w:ascii="仿宋_GB2312" w:eastAsia="仿宋_GB2312" w:hAnsi="仿宋_GB2312" w:cs="仿宋_GB2312" w:hint="eastAsia"/>
          <w:sz w:val="32"/>
          <w:szCs w:val="32"/>
        </w:rPr>
        <w:t>高质量实施“八五”普法规划，推进法治新北、法治政府、法治社会“一体建设”。</w:t>
      </w:r>
      <w:r>
        <w:rPr>
          <w:rFonts w:ascii="仿宋_GB2312" w:eastAsia="仿宋_GB2312" w:hint="eastAsia"/>
          <w:sz w:val="32"/>
          <w:szCs w:val="32"/>
        </w:rPr>
        <w:t>坚持和发展新时代“枫桥经验”，积极推进矛盾纠纷预防化解法治化，不断建强人民调解员队伍，深化零信访、零发案、零事故“三零”社区（村）建设。深入开展信访问题源头治理三年攻坚行动，全力实现信访积案存量减仓。加快完善社会治安防控体系，建强快反处突力量，健全应急处置预案，牢牢守住不发生极端事件的底线，多措并举压降非正常死亡事件，打造更高水平的平安</w:t>
      </w:r>
      <w:r>
        <w:rPr>
          <w:rFonts w:ascii="仿宋_GB2312" w:eastAsia="仿宋_GB2312" w:hAnsi="仿宋" w:cs="仿宋" w:hint="eastAsia"/>
          <w:snapToGrid w:val="0"/>
          <w:sz w:val="32"/>
          <w:szCs w:val="32"/>
        </w:rPr>
        <w:t>新北</w:t>
      </w:r>
      <w:r>
        <w:rPr>
          <w:rFonts w:ascii="仿宋_GB2312" w:eastAsia="仿宋_GB2312" w:hint="eastAsia"/>
          <w:sz w:val="32"/>
          <w:szCs w:val="32"/>
        </w:rPr>
        <w:t>。</w:t>
      </w:r>
    </w:p>
    <w:p w:rsidR="00092E83" w:rsidRDefault="00BC7683">
      <w:pPr>
        <w:overflowPunct w:val="0"/>
        <w:spacing w:line="500" w:lineRule="exact"/>
        <w:ind w:firstLineChars="200" w:firstLine="640"/>
        <w:rPr>
          <w:rFonts w:ascii="楷体_GB2312" w:eastAsia="楷体_GB2312"/>
          <w:sz w:val="32"/>
          <w:szCs w:val="32"/>
          <w:highlight w:val="yellow"/>
        </w:rPr>
      </w:pPr>
      <w:r>
        <w:rPr>
          <w:rFonts w:ascii="楷体_GB2312" w:eastAsia="楷体_GB2312" w:hint="eastAsia"/>
          <w:sz w:val="32"/>
          <w:szCs w:val="32"/>
        </w:rPr>
        <w:t>（八）坚持务实高效、担当有为，力促政府治理能力现代化。</w:t>
      </w:r>
    </w:p>
    <w:p w:rsidR="00092E83" w:rsidRDefault="00BC7683">
      <w:pPr>
        <w:overflowPunct w:val="0"/>
        <w:spacing w:line="500" w:lineRule="exact"/>
        <w:ind w:firstLineChars="200" w:firstLine="643"/>
        <w:rPr>
          <w:rFonts w:ascii="仿宋_GB2312" w:eastAsia="仿宋_GB2312"/>
          <w:sz w:val="32"/>
          <w:szCs w:val="32"/>
        </w:rPr>
      </w:pPr>
      <w:r w:rsidRPr="00A15C79">
        <w:rPr>
          <w:rFonts w:ascii="仿宋_GB2312" w:eastAsia="仿宋_GB2312" w:hint="eastAsia"/>
          <w:b/>
          <w:sz w:val="32"/>
          <w:szCs w:val="32"/>
        </w:rPr>
        <w:t>1．始终坚持党的领导</w:t>
      </w:r>
      <w:r>
        <w:rPr>
          <w:rFonts w:ascii="仿宋_GB2312" w:eastAsia="仿宋_GB2312" w:hint="eastAsia"/>
          <w:b/>
          <w:sz w:val="32"/>
          <w:szCs w:val="32"/>
        </w:rPr>
        <w:t>。</w:t>
      </w:r>
      <w:r>
        <w:rPr>
          <w:rFonts w:ascii="仿宋_GB2312" w:eastAsia="仿宋_GB2312" w:hint="eastAsia"/>
          <w:sz w:val="32"/>
          <w:szCs w:val="32"/>
        </w:rPr>
        <w:t>把党的政治建设摆在突出位置，深学笃用习近平新时代中国特色社会主义思想，全面贯彻落实党的二十届三中全会精神和习近平总书记对江苏工作重要讲话精神，</w:t>
      </w:r>
      <w:r>
        <w:rPr>
          <w:rFonts w:ascii="仿宋_GB2312" w:eastAsia="仿宋_GB2312" w:hAnsi="仿宋" w:cs="仿宋" w:hint="eastAsia"/>
          <w:snapToGrid w:val="0"/>
          <w:sz w:val="32"/>
          <w:szCs w:val="32"/>
        </w:rPr>
        <w:t>深刻领悟“两个确立”的决定性意义，</w:t>
      </w:r>
      <w:r>
        <w:rPr>
          <w:rFonts w:ascii="仿宋_GB2312" w:eastAsia="仿宋_GB2312" w:hint="eastAsia"/>
          <w:sz w:val="32"/>
          <w:szCs w:val="32"/>
        </w:rPr>
        <w:t>坚决做到“两个维护”，深入研究各领域改革动向和落地举措，将党中央国务院的决策部署、省市和区委的具体要求，不折不扣落地落实、抓细抓实。</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2．持续提高法治水平。</w:t>
      </w:r>
      <w:r>
        <w:rPr>
          <w:rFonts w:ascii="仿宋_GB2312" w:eastAsia="仿宋_GB2312" w:hint="eastAsia"/>
          <w:sz w:val="32"/>
          <w:szCs w:val="32"/>
        </w:rPr>
        <w:t>以</w:t>
      </w:r>
      <w:r>
        <w:rPr>
          <w:rFonts w:ascii="仿宋_GB2312" w:eastAsia="仿宋_GB2312" w:hAnsi="仿宋_GB2312" w:cs="仿宋_GB2312" w:hint="eastAsia"/>
          <w:sz w:val="32"/>
          <w:szCs w:val="32"/>
        </w:rPr>
        <w:t>创建全省法治政府建设示范区为抓手，</w:t>
      </w:r>
      <w:r>
        <w:rPr>
          <w:rFonts w:ascii="仿宋_GB2312" w:eastAsia="仿宋_GB2312" w:hint="eastAsia"/>
          <w:sz w:val="32"/>
          <w:szCs w:val="32"/>
        </w:rPr>
        <w:t>提高运用法治思维和法治方式推动发展、深化改革、化解矛盾、维护稳定的能力水平。严格落实“三重一大”决策制度，规范重大行政决策制定和执行程序，完善综合行政执法、行政复议</w:t>
      </w:r>
      <w:r>
        <w:rPr>
          <w:rFonts w:ascii="仿宋_GB2312" w:eastAsia="仿宋_GB2312" w:hint="eastAsia"/>
          <w:sz w:val="32"/>
          <w:szCs w:val="32"/>
        </w:rPr>
        <w:lastRenderedPageBreak/>
        <w:t>机制，提升政务公开效能，打造法治化营商环境。自觉接受人大依法监督、政协民主监督和社会各界监督，高质量办好建议提案。</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3．着力提升服务效能。</w:t>
      </w:r>
      <w:r>
        <w:rPr>
          <w:rFonts w:ascii="仿宋_GB2312" w:eastAsia="仿宋_GB2312" w:hint="eastAsia"/>
          <w:sz w:val="32"/>
          <w:szCs w:val="32"/>
        </w:rPr>
        <w:t>聚焦打造高效政府、精益政府，科学优化政府运行体制机制，推动工作流程有效改进，加强数字政府建设，切实</w:t>
      </w:r>
      <w:r>
        <w:rPr>
          <w:rFonts w:ascii="Times New Roman" w:eastAsia="仿宋_GB2312" w:hAnsi="Times New Roman" w:cs="Times New Roman" w:hint="eastAsia"/>
          <w:color w:val="000000"/>
          <w:kern w:val="0"/>
          <w:sz w:val="32"/>
          <w:szCs w:val="32"/>
        </w:rPr>
        <w:t>提升政府系统执行力</w:t>
      </w:r>
      <w:r>
        <w:rPr>
          <w:rFonts w:ascii="仿宋_GB2312" w:eastAsia="仿宋_GB2312" w:hint="eastAsia"/>
          <w:sz w:val="32"/>
          <w:szCs w:val="32"/>
        </w:rPr>
        <w:t>。</w:t>
      </w:r>
      <w:r>
        <w:rPr>
          <w:rFonts w:ascii="Times New Roman" w:eastAsia="仿宋_GB2312" w:hAnsi="Times New Roman" w:cs="Times New Roman" w:hint="eastAsia"/>
          <w:color w:val="000000"/>
          <w:kern w:val="0"/>
          <w:sz w:val="32"/>
          <w:szCs w:val="32"/>
        </w:rPr>
        <w:t>持续完善考核评价、正向激励、容错纠错机制，深化基层减负赋能，充分调动</w:t>
      </w:r>
      <w:r>
        <w:rPr>
          <w:rFonts w:ascii="Times New Roman" w:eastAsia="仿宋_GB2312" w:hAnsi="Times New Roman" w:cs="仿宋_GB2312" w:hint="eastAsia"/>
          <w:sz w:val="32"/>
          <w:szCs w:val="32"/>
        </w:rPr>
        <w:t>干部的积极性、主动性、创造性。</w:t>
      </w:r>
      <w:r>
        <w:rPr>
          <w:rFonts w:ascii="仿宋_GB2312" w:eastAsia="仿宋_GB2312" w:hint="eastAsia"/>
          <w:sz w:val="32"/>
          <w:szCs w:val="32"/>
        </w:rPr>
        <w:t>坚持过紧日子要求，深化“零基预算”改革，</w:t>
      </w:r>
      <w:r>
        <w:rPr>
          <w:rFonts w:ascii="仿宋_GB2312" w:eastAsia="仿宋_GB2312" w:hAnsi="宋体" w:cs="仿宋_GB2312" w:hint="eastAsia"/>
          <w:color w:val="000000"/>
          <w:kern w:val="0"/>
          <w:sz w:val="32"/>
          <w:szCs w:val="32"/>
        </w:rPr>
        <w:t>开展国有资产清查利用，</w:t>
      </w:r>
      <w:r>
        <w:rPr>
          <w:rFonts w:ascii="仿宋_GB2312" w:eastAsia="仿宋_GB2312" w:hint="eastAsia"/>
          <w:sz w:val="32"/>
          <w:szCs w:val="32"/>
        </w:rPr>
        <w:t>全面降低行政运行成本，提升财政资金使用效益，防范化解政府投资、国有资本、债务管控等各领域风险。</w:t>
      </w:r>
    </w:p>
    <w:p w:rsidR="00092E83" w:rsidRDefault="00BC7683">
      <w:pPr>
        <w:overflowPunct w:val="0"/>
        <w:spacing w:line="500" w:lineRule="exact"/>
        <w:ind w:firstLineChars="200" w:firstLine="643"/>
        <w:rPr>
          <w:rFonts w:ascii="仿宋_GB2312" w:eastAsia="仿宋_GB2312"/>
          <w:sz w:val="32"/>
          <w:szCs w:val="32"/>
        </w:rPr>
      </w:pPr>
      <w:r>
        <w:rPr>
          <w:rFonts w:ascii="仿宋_GB2312" w:eastAsia="仿宋_GB2312" w:hint="eastAsia"/>
          <w:b/>
          <w:sz w:val="32"/>
          <w:szCs w:val="32"/>
        </w:rPr>
        <w:t>4．不断加强廉政建设。</w:t>
      </w:r>
      <w:r>
        <w:rPr>
          <w:rFonts w:ascii="仿宋_GB2312" w:eastAsia="仿宋_GB2312" w:hint="eastAsia"/>
          <w:sz w:val="32"/>
          <w:szCs w:val="32"/>
        </w:rPr>
        <w:t>落实党风廉政建设主体责任，严格执行中央八项规定及其实施细则精神，抓好机关作风建设，力戒形式主义、官僚主义，巩固深化党纪学习教育成果。强化政府采购等重点领域监管，协同纪检监察、审计、财政等各类监督手段，治理突出问题，深化以案促改，切实把监督与改革攻坚、完善制度、促进治理贯通起来，着力营造风清气正干事创业的良好环境。</w:t>
      </w:r>
    </w:p>
    <w:p w:rsidR="00092E83" w:rsidRDefault="00BC7683">
      <w:pPr>
        <w:overflowPunct w:val="0"/>
        <w:spacing w:line="500" w:lineRule="exact"/>
        <w:ind w:firstLineChars="200" w:firstLine="640"/>
        <w:jc w:val="left"/>
        <w:rPr>
          <w:rFonts w:ascii="仿宋_GB2312" w:eastAsia="仿宋_GB2312"/>
          <w:sz w:val="32"/>
          <w:szCs w:val="32"/>
        </w:rPr>
      </w:pPr>
      <w:r>
        <w:rPr>
          <w:rFonts w:ascii="仿宋_GB2312" w:eastAsia="仿宋_GB2312" w:hint="eastAsia"/>
          <w:sz w:val="32"/>
          <w:szCs w:val="32"/>
        </w:rPr>
        <w:t>各位代表！任重道远须策马，风正潮平好扬帆。让我们高举习近平新时代中国特色社会主义思想伟大旗帜，在市委、市政府和区委的坚强领导下，勇担使命、奋楫前行，为全面完成“十四五”目标任务，</w:t>
      </w:r>
      <w:r>
        <w:rPr>
          <w:rFonts w:ascii="仿宋_GB2312" w:eastAsia="仿宋_GB2312" w:hAnsi="仿宋_GB2312" w:cs="仿宋_GB2312" w:hint="eastAsia"/>
          <w:sz w:val="32"/>
          <w:szCs w:val="32"/>
        </w:rPr>
        <w:t>全力塑造高质量发展新的竞争优势</w:t>
      </w:r>
      <w:r>
        <w:rPr>
          <w:rFonts w:ascii="仿宋_GB2312" w:eastAsia="仿宋_GB2312" w:hint="eastAsia"/>
          <w:sz w:val="32"/>
          <w:szCs w:val="32"/>
        </w:rPr>
        <w:t>而努力奋斗！</w:t>
      </w:r>
    </w:p>
    <w:p w:rsidR="00092E83" w:rsidRDefault="00092E83">
      <w:pPr>
        <w:overflowPunct w:val="0"/>
        <w:spacing w:line="500" w:lineRule="exact"/>
        <w:ind w:firstLineChars="200" w:firstLine="640"/>
        <w:jc w:val="left"/>
        <w:rPr>
          <w:rFonts w:ascii="仿宋_GB2312" w:eastAsia="仿宋_GB2312"/>
          <w:sz w:val="32"/>
          <w:szCs w:val="32"/>
        </w:rPr>
      </w:pPr>
    </w:p>
    <w:p w:rsidR="00092E83" w:rsidRDefault="00BC7683">
      <w:pPr>
        <w:overflowPunct w:val="0"/>
        <w:spacing w:line="500" w:lineRule="exac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r>
    </w:p>
    <w:p w:rsidR="00092E83" w:rsidRDefault="00BC7683">
      <w:pPr>
        <w:overflowPunct w:val="0"/>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名  词  解  释</w:t>
      </w:r>
    </w:p>
    <w:p w:rsidR="00092E83" w:rsidRDefault="00092E83">
      <w:pPr>
        <w:overflowPunct w:val="0"/>
        <w:spacing w:line="500" w:lineRule="exact"/>
        <w:jc w:val="center"/>
        <w:rPr>
          <w:rFonts w:ascii="黑体" w:eastAsia="黑体" w:hAnsi="黑体" w:cs="黑体"/>
          <w:sz w:val="32"/>
          <w:szCs w:val="32"/>
          <w:highlight w:val="yellow"/>
        </w:rPr>
      </w:pPr>
    </w:p>
    <w:p w:rsidR="00092E83" w:rsidRDefault="00BC7683">
      <w:pPr>
        <w:overflowPunct w:val="0"/>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1．“四上”：</w:t>
      </w:r>
      <w:r>
        <w:rPr>
          <w:rFonts w:ascii="仿宋_GB2312" w:eastAsia="仿宋_GB2312" w:hAnsi="仿宋_GB2312" w:cs="仿宋_GB2312" w:hint="eastAsia"/>
          <w:sz w:val="32"/>
          <w:szCs w:val="32"/>
        </w:rPr>
        <w:t>规模以上工业、限额以上批零住餐业、规模以上服务业、有资质的建筑业和房地产开发经营业。</w:t>
      </w:r>
    </w:p>
    <w:p w:rsidR="00092E83" w:rsidRDefault="00BC7683">
      <w:pPr>
        <w:overflowPunct w:val="0"/>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2．比亚迪“常州号”：</w:t>
      </w:r>
      <w:r>
        <w:rPr>
          <w:rFonts w:ascii="仿宋_GB2312" w:eastAsia="仿宋_GB2312" w:hAnsi="仿宋_GB2312" w:cs="仿宋_GB2312" w:hint="eastAsia"/>
          <w:sz w:val="32"/>
          <w:szCs w:val="32"/>
        </w:rPr>
        <w:t>比亚迪旗下第二艘以整车基地命名的汽车滚装运输船，总长199.9米，拥有7000个标准车位。</w:t>
      </w:r>
    </w:p>
    <w:p w:rsidR="00092E83" w:rsidRDefault="00BC7683">
      <w:pPr>
        <w:overflowPunct w:val="0"/>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3．“建设项目服务清单”改革：</w:t>
      </w:r>
      <w:r>
        <w:rPr>
          <w:rFonts w:ascii="仿宋_GB2312" w:eastAsia="仿宋_GB2312" w:hAnsi="仿宋_GB2312" w:cs="仿宋_GB2312" w:hint="eastAsia"/>
          <w:sz w:val="32"/>
          <w:szCs w:val="32"/>
        </w:rPr>
        <w:t>聚焦项目从签订投资协议到竣工投产全生命周期服务事项，推行“产业管理、用地管理、建设主线、建设辅线”四条核心报建路径，实现“一项目一清单”定制化服务。</w:t>
      </w:r>
    </w:p>
    <w:p w:rsidR="00092E83" w:rsidRDefault="00BC7683">
      <w:pPr>
        <w:overflowPunct w:val="0"/>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4．“限地价、竞税收”：</w:t>
      </w:r>
      <w:r>
        <w:rPr>
          <w:rFonts w:ascii="仿宋_GB2312" w:eastAsia="仿宋_GB2312" w:hAnsi="仿宋_GB2312" w:cs="仿宋_GB2312" w:hint="eastAsia"/>
          <w:sz w:val="32"/>
          <w:szCs w:val="32"/>
        </w:rPr>
        <w:t>以亩均税收竞报择优拿地为目标，只设定封顶地价和亩均税收底线，先竞投土地价格，若竞价都在上限价格以下，则价高者得；当竞价达到封顶地价时，竞得规则就转为竞投项目达产后一定期限（连续3年）亩均税收最高者得。</w:t>
      </w:r>
    </w:p>
    <w:p w:rsidR="00092E83" w:rsidRDefault="00BC7683">
      <w:pPr>
        <w:overflowPunct w:val="0"/>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5．“三大运动中心”：</w:t>
      </w:r>
      <w:r>
        <w:rPr>
          <w:rFonts w:ascii="仿宋_GB2312" w:eastAsia="仿宋_GB2312" w:hAnsi="仿宋_GB2312" w:cs="仿宋_GB2312" w:hint="eastAsia"/>
          <w:sz w:val="32"/>
          <w:szCs w:val="32"/>
        </w:rPr>
        <w:t>常州市职业足球训练基地、三江口棒垒球训练基地、新龙湖水上运动中心。</w:t>
      </w:r>
    </w:p>
    <w:p w:rsidR="00092E83" w:rsidRDefault="00BC7683">
      <w:pPr>
        <w:overflowPunct w:val="0"/>
        <w:spacing w:line="50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6．“四新两智”主导产业：</w:t>
      </w:r>
      <w:r>
        <w:rPr>
          <w:rFonts w:ascii="仿宋_GB2312" w:eastAsia="仿宋_GB2312" w:hAnsi="仿宋_GB2312" w:cs="仿宋_GB2312" w:hint="eastAsia"/>
          <w:sz w:val="32"/>
          <w:szCs w:val="32"/>
        </w:rPr>
        <w:t>“四新”指新能源汽车及汽车核心零部件产业、新材料产业、新一代信息技术产业、新医药及医疗器械产业，“两智”指智慧能源产业和高端智能装备制造产业。</w:t>
      </w:r>
    </w:p>
    <w:p w:rsidR="00092E83" w:rsidRDefault="00BC7683">
      <w:pPr>
        <w:overflowPunct w:val="0"/>
        <w:spacing w:line="500" w:lineRule="exact"/>
        <w:ind w:firstLineChars="200" w:firstLine="640"/>
        <w:rPr>
          <w:rFonts w:ascii="黑体" w:eastAsia="黑体" w:hAnsi="黑体" w:cs="黑体"/>
          <w:sz w:val="32"/>
          <w:szCs w:val="32"/>
        </w:rPr>
      </w:pPr>
      <w:r>
        <w:rPr>
          <w:rFonts w:ascii="黑体" w:eastAsia="黑体" w:hAnsi="黑体" w:cs="黑体" w:hint="eastAsia"/>
          <w:sz w:val="32"/>
          <w:szCs w:val="32"/>
        </w:rPr>
        <w:t>7．“两重”“两新”：</w:t>
      </w:r>
      <w:r>
        <w:rPr>
          <w:rFonts w:ascii="仿宋_GB2312" w:eastAsia="仿宋_GB2312" w:hAnsi="仿宋_GB2312" w:cs="仿宋_GB2312" w:hint="eastAsia"/>
          <w:sz w:val="32"/>
          <w:szCs w:val="32"/>
        </w:rPr>
        <w:t>“两重”指国家重大战略实施和重点领</w:t>
      </w:r>
      <w:r>
        <w:rPr>
          <w:rFonts w:ascii="仿宋_GB2312" w:eastAsia="仿宋_GB2312" w:hAnsi="仿宋_GB2312" w:cs="仿宋_GB2312" w:hint="eastAsia"/>
          <w:spacing w:val="-4"/>
          <w:sz w:val="32"/>
          <w:szCs w:val="32"/>
        </w:rPr>
        <w:t>域安全能力建设，“两新”指大规模设备更新和消费品以旧换新</w:t>
      </w:r>
      <w:r>
        <w:rPr>
          <w:rFonts w:ascii="仿宋_GB2312" w:eastAsia="仿宋_GB2312" w:hAnsi="仿宋_GB2312" w:cs="仿宋_GB2312" w:hint="eastAsia"/>
          <w:sz w:val="32"/>
          <w:szCs w:val="32"/>
        </w:rPr>
        <w:t>。</w:t>
      </w:r>
    </w:p>
    <w:p w:rsidR="00092E83" w:rsidRDefault="00BC7683">
      <w:pPr>
        <w:overflowPunct w:val="0"/>
        <w:spacing w:line="500" w:lineRule="exact"/>
        <w:ind w:firstLineChars="200" w:firstLine="640"/>
        <w:rPr>
          <w:rFonts w:ascii="方正小标宋简体" w:eastAsia="方正小标宋简体" w:hAnsi="方正小标宋简体" w:cs="方正小标宋简体"/>
          <w:sz w:val="32"/>
          <w:szCs w:val="32"/>
        </w:rPr>
      </w:pPr>
      <w:r>
        <w:rPr>
          <w:rFonts w:ascii="黑体" w:eastAsia="黑体" w:hAnsi="黑体" w:cs="黑体" w:hint="eastAsia"/>
          <w:sz w:val="32"/>
          <w:szCs w:val="32"/>
        </w:rPr>
        <w:t>8．“三高一资”项目：</w:t>
      </w:r>
      <w:r>
        <w:rPr>
          <w:rFonts w:ascii="仿宋_GB2312" w:eastAsia="仿宋_GB2312" w:hint="eastAsia"/>
          <w:sz w:val="32"/>
          <w:szCs w:val="32"/>
        </w:rPr>
        <w:t>具有“高技术含量、高成长性、高回报率、资本关注”属性的项目。</w:t>
      </w:r>
    </w:p>
    <w:p w:rsidR="00092E83" w:rsidRDefault="00BC7683">
      <w:pPr>
        <w:overflowPunct w:val="0"/>
        <w:spacing w:line="500" w:lineRule="exact"/>
        <w:ind w:firstLineChars="200" w:firstLine="640"/>
        <w:rPr>
          <w:rFonts w:ascii="仿宋_GB2312" w:eastAsia="仿宋_GB2312"/>
          <w:sz w:val="32"/>
          <w:szCs w:val="32"/>
        </w:rPr>
      </w:pPr>
      <w:r>
        <w:rPr>
          <w:rFonts w:ascii="黑体" w:eastAsia="黑体" w:hAnsi="黑体" w:cs="黑体" w:hint="eastAsia"/>
          <w:sz w:val="32"/>
          <w:szCs w:val="32"/>
        </w:rPr>
        <w:t>9．“三中心”：</w:t>
      </w:r>
      <w:r>
        <w:rPr>
          <w:rFonts w:ascii="仿宋_GB2312" w:eastAsia="仿宋_GB2312" w:hint="eastAsia"/>
          <w:sz w:val="32"/>
          <w:szCs w:val="32"/>
        </w:rPr>
        <w:t>区社会心理服务指导中心、区家庭教育指导中心、区未成年人成长指导中心。</w:t>
      </w:r>
    </w:p>
    <w:p w:rsidR="00092E83" w:rsidRDefault="00BC7683">
      <w:pPr>
        <w:overflowPunct w:val="0"/>
        <w:spacing w:line="500" w:lineRule="exact"/>
        <w:ind w:firstLineChars="200" w:firstLine="640"/>
        <w:rPr>
          <w:rFonts w:ascii="仿宋_GB2312" w:eastAsia="仿宋_GB2312"/>
          <w:sz w:val="32"/>
          <w:szCs w:val="32"/>
        </w:rPr>
      </w:pPr>
      <w:r>
        <w:rPr>
          <w:rFonts w:ascii="黑体" w:eastAsia="黑体" w:hAnsi="黑体" w:cs="黑体" w:hint="eastAsia"/>
          <w:sz w:val="32"/>
          <w:szCs w:val="32"/>
        </w:rPr>
        <w:lastRenderedPageBreak/>
        <w:t>10．“两馆一中心”：</w:t>
      </w:r>
      <w:r>
        <w:rPr>
          <w:rFonts w:ascii="仿宋_GB2312" w:eastAsia="仿宋_GB2312" w:hint="eastAsia"/>
          <w:sz w:val="32"/>
          <w:szCs w:val="32"/>
        </w:rPr>
        <w:t>区</w:t>
      </w:r>
      <w:r>
        <w:rPr>
          <w:rFonts w:ascii="仿宋_GB2312" w:eastAsia="仿宋_GB2312" w:hint="eastAsia"/>
          <w:spacing w:val="-6"/>
          <w:sz w:val="32"/>
          <w:szCs w:val="32"/>
        </w:rPr>
        <w:t>文化馆、区图书馆和区职工服务中心</w:t>
      </w:r>
      <w:r>
        <w:rPr>
          <w:rFonts w:ascii="仿宋_GB2312" w:eastAsia="仿宋_GB2312" w:hint="eastAsia"/>
          <w:sz w:val="32"/>
          <w:szCs w:val="32"/>
        </w:rPr>
        <w:t>。</w:t>
      </w:r>
    </w:p>
    <w:p w:rsidR="00092E83" w:rsidRDefault="00BC7683">
      <w:pPr>
        <w:overflowPunct w:val="0"/>
        <w:spacing w:line="500" w:lineRule="exact"/>
        <w:ind w:firstLineChars="200" w:firstLine="640"/>
        <w:rPr>
          <w:rFonts w:ascii="仿宋_GB2312" w:eastAsia="仿宋_GB2312"/>
          <w:sz w:val="32"/>
          <w:szCs w:val="32"/>
        </w:rPr>
      </w:pPr>
      <w:r>
        <w:rPr>
          <w:rFonts w:ascii="黑体" w:eastAsia="黑体" w:hAnsi="黑体" w:cs="黑体" w:hint="eastAsia"/>
          <w:sz w:val="32"/>
          <w:szCs w:val="32"/>
        </w:rPr>
        <w:t>11．“1+4+N”招商工作机制：</w:t>
      </w:r>
      <w:r>
        <w:rPr>
          <w:rFonts w:ascii="仿宋_GB2312" w:eastAsia="仿宋_GB2312" w:hint="eastAsia"/>
          <w:sz w:val="32"/>
          <w:szCs w:val="32"/>
        </w:rPr>
        <w:t>由区级专班牵头抓总，区科技局、商务局、各板块、区属国有企业作为主支撑，区行业主管部门、各类投资主体以及各类机构协同作战的招商格局。</w:t>
      </w:r>
    </w:p>
    <w:p w:rsidR="00092E83" w:rsidRDefault="00BC7683">
      <w:pPr>
        <w:overflowPunct w:val="0"/>
        <w:spacing w:line="500" w:lineRule="exact"/>
        <w:ind w:firstLineChars="200" w:firstLine="640"/>
        <w:rPr>
          <w:rFonts w:ascii="仿宋_GB2312" w:eastAsia="仿宋_GB2312"/>
          <w:sz w:val="32"/>
          <w:szCs w:val="32"/>
        </w:rPr>
      </w:pPr>
      <w:r>
        <w:rPr>
          <w:rFonts w:ascii="黑体" w:eastAsia="黑体" w:hAnsi="黑体" w:cs="黑体" w:hint="eastAsia"/>
          <w:sz w:val="32"/>
          <w:szCs w:val="32"/>
        </w:rPr>
        <w:t>12．“三招三引”：</w:t>
      </w:r>
      <w:r>
        <w:rPr>
          <w:rFonts w:ascii="仿宋_GB2312" w:eastAsia="仿宋_GB2312" w:hint="eastAsia"/>
          <w:sz w:val="32"/>
          <w:szCs w:val="32"/>
        </w:rPr>
        <w:t>招商引资、招才引智、招科引技。</w:t>
      </w:r>
    </w:p>
    <w:p w:rsidR="00092E83" w:rsidRDefault="00BC7683">
      <w:pPr>
        <w:overflowPunct w:val="0"/>
        <w:spacing w:line="500" w:lineRule="exact"/>
        <w:ind w:firstLineChars="200" w:firstLine="640"/>
        <w:rPr>
          <w:rFonts w:ascii="仿宋_GB2312" w:eastAsia="仿宋_GB2312"/>
          <w:sz w:val="32"/>
          <w:szCs w:val="32"/>
        </w:rPr>
      </w:pPr>
      <w:r>
        <w:rPr>
          <w:rFonts w:ascii="黑体" w:eastAsia="黑体" w:hAnsi="黑体" w:cs="黑体" w:hint="eastAsia"/>
          <w:sz w:val="32"/>
          <w:szCs w:val="32"/>
        </w:rPr>
        <w:t>13．科技创新“五提行动”：</w:t>
      </w:r>
      <w:r>
        <w:rPr>
          <w:rFonts w:ascii="仿宋_GB2312" w:eastAsia="仿宋_GB2312" w:hint="eastAsia"/>
          <w:sz w:val="32"/>
          <w:szCs w:val="32"/>
        </w:rPr>
        <w:t>科创体系提能行动、科创载体提效行动、创新主体提升行动、人才引育提速行动、创新生态提优行动。</w:t>
      </w:r>
    </w:p>
    <w:p w:rsidR="00092E83" w:rsidRDefault="00BC7683">
      <w:pPr>
        <w:overflowPunct w:val="0"/>
        <w:spacing w:line="500" w:lineRule="exact"/>
        <w:ind w:firstLineChars="200" w:firstLine="640"/>
        <w:rPr>
          <w:rFonts w:ascii="仿宋_GB2312" w:eastAsia="仿宋_GB2312"/>
          <w:sz w:val="32"/>
          <w:szCs w:val="32"/>
        </w:rPr>
      </w:pPr>
      <w:r>
        <w:rPr>
          <w:rFonts w:ascii="黑体" w:eastAsia="黑体" w:hAnsi="黑体" w:hint="eastAsia"/>
          <w:sz w:val="32"/>
          <w:szCs w:val="32"/>
        </w:rPr>
        <w:t>14．知识产权“三试点三示范”建设：</w:t>
      </w:r>
      <w:r>
        <w:rPr>
          <w:rFonts w:ascii="仿宋_GB2312" w:eastAsia="仿宋_GB2312" w:hint="eastAsia"/>
          <w:sz w:val="32"/>
          <w:szCs w:val="32"/>
        </w:rPr>
        <w:t>国家知识产权强县建设试点县、国家级知识产权强国建设试点园区、国家级专利侵权纠纷行政裁决规范化建设试点，江苏省知识产权保护示范园区、江苏省知识产权建设示范县、江苏省知识产权建设示范园区。</w:t>
      </w:r>
    </w:p>
    <w:p w:rsidR="00092E83" w:rsidRDefault="00BC7683">
      <w:pPr>
        <w:overflowPunct w:val="0"/>
        <w:spacing w:line="500" w:lineRule="exact"/>
        <w:ind w:firstLineChars="200" w:firstLine="640"/>
        <w:rPr>
          <w:rFonts w:ascii="仿宋_GB2312" w:eastAsia="仿宋_GB2312"/>
          <w:sz w:val="32"/>
          <w:szCs w:val="32"/>
        </w:rPr>
      </w:pPr>
      <w:r>
        <w:rPr>
          <w:rFonts w:ascii="黑体" w:eastAsia="黑体" w:hAnsi="黑体" w:hint="eastAsia"/>
          <w:sz w:val="32"/>
          <w:szCs w:val="32"/>
        </w:rPr>
        <w:t>15．“区块链+农村集体资产监管”：</w:t>
      </w:r>
      <w:r>
        <w:rPr>
          <w:rFonts w:ascii="仿宋_GB2312" w:eastAsia="仿宋_GB2312" w:hint="eastAsia"/>
          <w:sz w:val="32"/>
          <w:szCs w:val="32"/>
        </w:rPr>
        <w:t>深化区块链技术运用，利用</w:t>
      </w:r>
      <w:r>
        <w:rPr>
          <w:rFonts w:ascii="仿宋_GB2312" w:eastAsia="仿宋_GB2312" w:hint="eastAsia"/>
          <w:spacing w:val="-4"/>
          <w:sz w:val="32"/>
          <w:szCs w:val="32"/>
        </w:rPr>
        <w:t>数字平台实现农村集体“三资”全面信息化、智能化运行和监管</w:t>
      </w:r>
      <w:r>
        <w:rPr>
          <w:rFonts w:ascii="仿宋_GB2312" w:eastAsia="仿宋_GB2312" w:hint="eastAsia"/>
          <w:sz w:val="32"/>
          <w:szCs w:val="32"/>
        </w:rPr>
        <w:t>。</w:t>
      </w:r>
    </w:p>
    <w:p w:rsidR="00092E83" w:rsidRDefault="00BC7683">
      <w:pPr>
        <w:overflowPunct w:val="0"/>
        <w:spacing w:line="500" w:lineRule="exact"/>
        <w:ind w:firstLineChars="200" w:firstLine="640"/>
        <w:rPr>
          <w:rFonts w:ascii="仿宋_GB2312" w:eastAsia="仿宋_GB2312"/>
          <w:sz w:val="32"/>
          <w:szCs w:val="32"/>
        </w:rPr>
      </w:pPr>
      <w:r>
        <w:rPr>
          <w:rFonts w:ascii="黑体" w:eastAsia="黑体" w:hAnsi="黑体" w:hint="eastAsia"/>
          <w:sz w:val="32"/>
          <w:szCs w:val="32"/>
        </w:rPr>
        <w:t>16．医保“统模式”改革：</w:t>
      </w:r>
      <w:r>
        <w:rPr>
          <w:rFonts w:ascii="仿宋_GB2312" w:eastAsia="仿宋_GB2312" w:hint="eastAsia"/>
          <w:sz w:val="32"/>
          <w:szCs w:val="32"/>
        </w:rPr>
        <w:t>统一社会保险费征收模式改革。</w:t>
      </w:r>
      <w:bookmarkEnd w:id="0"/>
      <w:bookmarkEnd w:id="1"/>
    </w:p>
    <w:p w:rsidR="00092E83" w:rsidRDefault="00092E83"/>
    <w:sectPr w:rsidR="00092E83" w:rsidSect="00092E83">
      <w:footerReference w:type="default" r:id="rId6"/>
      <w:pgSz w:w="11906" w:h="16838"/>
      <w:pgMar w:top="1928" w:right="1418" w:bottom="2155" w:left="1418"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34E5" w:rsidRDefault="002C34E5">
      <w:r>
        <w:separator/>
      </w:r>
    </w:p>
  </w:endnote>
  <w:endnote w:type="continuationSeparator" w:id="1">
    <w:p w:rsidR="002C34E5" w:rsidRDefault="002C34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9626"/>
    </w:sdtPr>
    <w:sdtEndPr>
      <w:rPr>
        <w:rFonts w:asciiTheme="majorEastAsia" w:eastAsiaTheme="majorEastAsia" w:hAnsiTheme="majorEastAsia"/>
        <w:sz w:val="28"/>
        <w:szCs w:val="28"/>
      </w:rPr>
    </w:sdtEndPr>
    <w:sdtContent>
      <w:p w:rsidR="00092E83" w:rsidRDefault="00087F79">
        <w:pPr>
          <w:pStyle w:val="a3"/>
          <w:jc w:val="center"/>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sidR="00BC7683">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sidR="0043495C" w:rsidRPr="0043495C">
          <w:rPr>
            <w:rFonts w:asciiTheme="majorEastAsia" w:eastAsiaTheme="majorEastAsia" w:hAnsiTheme="majorEastAsia"/>
            <w:noProof/>
            <w:sz w:val="28"/>
            <w:szCs w:val="28"/>
            <w:lang w:val="zh-CN"/>
          </w:rPr>
          <w:t>-</w:t>
        </w:r>
        <w:r w:rsidR="0043495C">
          <w:rPr>
            <w:rFonts w:asciiTheme="majorEastAsia" w:eastAsiaTheme="majorEastAsia" w:hAnsiTheme="majorEastAsia"/>
            <w:noProof/>
            <w:sz w:val="28"/>
            <w:szCs w:val="28"/>
          </w:rPr>
          <w:t xml:space="preserve"> 7 -</w:t>
        </w:r>
        <w:r>
          <w:rPr>
            <w:rFonts w:asciiTheme="majorEastAsia" w:eastAsiaTheme="majorEastAsia" w:hAnsiTheme="maj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34E5" w:rsidRDefault="002C34E5">
      <w:r>
        <w:separator/>
      </w:r>
    </w:p>
  </w:footnote>
  <w:footnote w:type="continuationSeparator" w:id="1">
    <w:p w:rsidR="002C34E5" w:rsidRDefault="002C34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408F"/>
    <w:rsid w:val="00075976"/>
    <w:rsid w:val="00087F79"/>
    <w:rsid w:val="00092E83"/>
    <w:rsid w:val="001D0542"/>
    <w:rsid w:val="002C34E5"/>
    <w:rsid w:val="0043495C"/>
    <w:rsid w:val="00583EDA"/>
    <w:rsid w:val="0073434B"/>
    <w:rsid w:val="007D179D"/>
    <w:rsid w:val="0087526E"/>
    <w:rsid w:val="00A15C79"/>
    <w:rsid w:val="00A30202"/>
    <w:rsid w:val="00A31827"/>
    <w:rsid w:val="00AF408F"/>
    <w:rsid w:val="00B76007"/>
    <w:rsid w:val="00BC7683"/>
    <w:rsid w:val="00ED5BEB"/>
    <w:rsid w:val="00F57AE2"/>
    <w:rsid w:val="0FA3676A"/>
    <w:rsid w:val="17B37B8C"/>
    <w:rsid w:val="320B62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E83"/>
    <w:pPr>
      <w:widowControl w:val="0"/>
      <w:jc w:val="both"/>
    </w:pPr>
    <w:rPr>
      <w:rFonts w:ascii="Calibri" w:eastAsia="宋体" w:hAnsi="Calibri" w:cs="宋体"/>
      <w:kern w:val="2"/>
      <w:sz w:val="21"/>
      <w:szCs w:val="21"/>
    </w:rPr>
  </w:style>
  <w:style w:type="paragraph" w:styleId="1">
    <w:name w:val="heading 1"/>
    <w:basedOn w:val="a"/>
    <w:next w:val="a"/>
    <w:link w:val="1Char"/>
    <w:uiPriority w:val="9"/>
    <w:qFormat/>
    <w:rsid w:val="00092E83"/>
    <w:pPr>
      <w:keepNext/>
      <w:widowControl/>
      <w:spacing w:before="240" w:after="60"/>
      <w:jc w:val="left"/>
      <w:outlineLvl w:val="0"/>
    </w:pPr>
    <w:rPr>
      <w:rFonts w:asciiTheme="majorHAnsi" w:eastAsiaTheme="majorEastAsia" w:hAnsiTheme="majorHAnsi" w:cs="Times New Roman"/>
      <w:b/>
      <w:bCs/>
      <w:kern w:val="32"/>
      <w:sz w:val="32"/>
      <w:szCs w:val="32"/>
      <w:lang w:eastAsia="en-US" w:bidi="en-US"/>
    </w:rPr>
  </w:style>
  <w:style w:type="paragraph" w:styleId="2">
    <w:name w:val="heading 2"/>
    <w:basedOn w:val="a"/>
    <w:next w:val="a"/>
    <w:link w:val="2Char"/>
    <w:uiPriority w:val="9"/>
    <w:semiHidden/>
    <w:unhideWhenUsed/>
    <w:qFormat/>
    <w:rsid w:val="00092E83"/>
    <w:pPr>
      <w:keepNext/>
      <w:widowControl/>
      <w:spacing w:before="240" w:after="60"/>
      <w:jc w:val="left"/>
      <w:outlineLvl w:val="1"/>
    </w:pPr>
    <w:rPr>
      <w:rFonts w:asciiTheme="majorHAnsi" w:eastAsiaTheme="majorEastAsia" w:hAnsiTheme="majorHAnsi" w:cs="Times New Roman"/>
      <w:b/>
      <w:bCs/>
      <w:i/>
      <w:iCs/>
      <w:kern w:val="0"/>
      <w:sz w:val="28"/>
      <w:szCs w:val="28"/>
      <w:lang w:eastAsia="en-US" w:bidi="en-US"/>
    </w:rPr>
  </w:style>
  <w:style w:type="paragraph" w:styleId="3">
    <w:name w:val="heading 3"/>
    <w:basedOn w:val="a"/>
    <w:next w:val="a"/>
    <w:link w:val="3Char"/>
    <w:uiPriority w:val="9"/>
    <w:semiHidden/>
    <w:unhideWhenUsed/>
    <w:qFormat/>
    <w:rsid w:val="00092E83"/>
    <w:pPr>
      <w:keepNext/>
      <w:widowControl/>
      <w:spacing w:before="240" w:after="60"/>
      <w:jc w:val="left"/>
      <w:outlineLvl w:val="2"/>
    </w:pPr>
    <w:rPr>
      <w:rFonts w:asciiTheme="majorHAnsi" w:eastAsiaTheme="majorEastAsia" w:hAnsiTheme="majorHAnsi" w:cs="Times New Roman"/>
      <w:b/>
      <w:bCs/>
      <w:kern w:val="0"/>
      <w:sz w:val="26"/>
      <w:szCs w:val="26"/>
      <w:lang w:eastAsia="en-US" w:bidi="en-US"/>
    </w:rPr>
  </w:style>
  <w:style w:type="paragraph" w:styleId="4">
    <w:name w:val="heading 4"/>
    <w:basedOn w:val="a"/>
    <w:next w:val="a"/>
    <w:link w:val="4Char"/>
    <w:uiPriority w:val="9"/>
    <w:semiHidden/>
    <w:unhideWhenUsed/>
    <w:qFormat/>
    <w:rsid w:val="00092E83"/>
    <w:pPr>
      <w:keepNext/>
      <w:widowControl/>
      <w:spacing w:before="240" w:after="60"/>
      <w:jc w:val="left"/>
      <w:outlineLvl w:val="3"/>
    </w:pPr>
    <w:rPr>
      <w:rFonts w:asciiTheme="minorHAnsi" w:eastAsiaTheme="minorEastAsia" w:hAnsiTheme="minorHAnsi" w:cs="Times New Roman"/>
      <w:b/>
      <w:bCs/>
      <w:kern w:val="0"/>
      <w:sz w:val="28"/>
      <w:szCs w:val="28"/>
      <w:lang w:eastAsia="en-US" w:bidi="en-US"/>
    </w:rPr>
  </w:style>
  <w:style w:type="paragraph" w:styleId="5">
    <w:name w:val="heading 5"/>
    <w:basedOn w:val="a"/>
    <w:next w:val="a"/>
    <w:link w:val="5Char"/>
    <w:uiPriority w:val="9"/>
    <w:semiHidden/>
    <w:unhideWhenUsed/>
    <w:qFormat/>
    <w:rsid w:val="00092E83"/>
    <w:pPr>
      <w:widowControl/>
      <w:spacing w:before="240" w:after="60"/>
      <w:jc w:val="left"/>
      <w:outlineLvl w:val="4"/>
    </w:pPr>
    <w:rPr>
      <w:rFonts w:asciiTheme="minorHAnsi" w:eastAsiaTheme="minorEastAsia" w:hAnsiTheme="minorHAnsi" w:cs="Times New Roman"/>
      <w:b/>
      <w:bCs/>
      <w:i/>
      <w:iCs/>
      <w:kern w:val="0"/>
      <w:sz w:val="26"/>
      <w:szCs w:val="26"/>
      <w:lang w:eastAsia="en-US" w:bidi="en-US"/>
    </w:rPr>
  </w:style>
  <w:style w:type="paragraph" w:styleId="6">
    <w:name w:val="heading 6"/>
    <w:basedOn w:val="a"/>
    <w:next w:val="a"/>
    <w:link w:val="6Char"/>
    <w:uiPriority w:val="9"/>
    <w:semiHidden/>
    <w:unhideWhenUsed/>
    <w:qFormat/>
    <w:rsid w:val="00092E83"/>
    <w:pPr>
      <w:widowControl/>
      <w:spacing w:before="240" w:after="60"/>
      <w:jc w:val="left"/>
      <w:outlineLvl w:val="5"/>
    </w:pPr>
    <w:rPr>
      <w:rFonts w:asciiTheme="minorHAnsi" w:eastAsiaTheme="minorEastAsia" w:hAnsiTheme="minorHAnsi" w:cs="Times New Roman"/>
      <w:b/>
      <w:bCs/>
      <w:kern w:val="0"/>
      <w:sz w:val="22"/>
      <w:szCs w:val="22"/>
      <w:lang w:eastAsia="en-US" w:bidi="en-US"/>
    </w:rPr>
  </w:style>
  <w:style w:type="paragraph" w:styleId="7">
    <w:name w:val="heading 7"/>
    <w:basedOn w:val="a"/>
    <w:next w:val="a"/>
    <w:link w:val="7Char"/>
    <w:uiPriority w:val="9"/>
    <w:semiHidden/>
    <w:unhideWhenUsed/>
    <w:qFormat/>
    <w:rsid w:val="00092E83"/>
    <w:pPr>
      <w:widowControl/>
      <w:spacing w:before="240" w:after="60"/>
      <w:jc w:val="left"/>
      <w:outlineLvl w:val="6"/>
    </w:pPr>
    <w:rPr>
      <w:rFonts w:asciiTheme="minorHAnsi" w:eastAsiaTheme="minorEastAsia" w:hAnsiTheme="minorHAnsi" w:cs="Times New Roman"/>
      <w:kern w:val="0"/>
      <w:sz w:val="24"/>
      <w:szCs w:val="24"/>
      <w:lang w:eastAsia="en-US" w:bidi="en-US"/>
    </w:rPr>
  </w:style>
  <w:style w:type="paragraph" w:styleId="8">
    <w:name w:val="heading 8"/>
    <w:basedOn w:val="a"/>
    <w:next w:val="a"/>
    <w:link w:val="8Char"/>
    <w:uiPriority w:val="9"/>
    <w:semiHidden/>
    <w:unhideWhenUsed/>
    <w:qFormat/>
    <w:rsid w:val="00092E83"/>
    <w:pPr>
      <w:widowControl/>
      <w:spacing w:before="240" w:after="60"/>
      <w:jc w:val="left"/>
      <w:outlineLvl w:val="7"/>
    </w:pPr>
    <w:rPr>
      <w:rFonts w:asciiTheme="minorHAnsi" w:eastAsiaTheme="minorEastAsia" w:hAnsiTheme="minorHAnsi" w:cs="Times New Roman"/>
      <w:i/>
      <w:iCs/>
      <w:kern w:val="0"/>
      <w:sz w:val="24"/>
      <w:szCs w:val="24"/>
      <w:lang w:eastAsia="en-US" w:bidi="en-US"/>
    </w:rPr>
  </w:style>
  <w:style w:type="paragraph" w:styleId="9">
    <w:name w:val="heading 9"/>
    <w:basedOn w:val="a"/>
    <w:next w:val="a"/>
    <w:link w:val="9Char"/>
    <w:uiPriority w:val="9"/>
    <w:semiHidden/>
    <w:unhideWhenUsed/>
    <w:qFormat/>
    <w:rsid w:val="00092E83"/>
    <w:pPr>
      <w:widowControl/>
      <w:spacing w:before="240" w:after="60"/>
      <w:jc w:val="left"/>
      <w:outlineLvl w:val="8"/>
    </w:pPr>
    <w:rPr>
      <w:rFonts w:asciiTheme="majorHAnsi" w:eastAsiaTheme="majorEastAsia" w:hAnsiTheme="majorHAnsi" w:cs="Times New Roman"/>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92E8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092E83"/>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rsid w:val="00092E83"/>
    <w:pPr>
      <w:widowControl/>
      <w:spacing w:after="60"/>
      <w:jc w:val="center"/>
      <w:outlineLvl w:val="1"/>
    </w:pPr>
    <w:rPr>
      <w:rFonts w:asciiTheme="majorHAnsi" w:eastAsiaTheme="majorEastAsia" w:hAnsiTheme="majorHAnsi" w:cs="Times New Roman"/>
      <w:kern w:val="0"/>
      <w:sz w:val="24"/>
      <w:szCs w:val="24"/>
      <w:lang w:eastAsia="en-US" w:bidi="en-US"/>
    </w:rPr>
  </w:style>
  <w:style w:type="paragraph" w:styleId="a6">
    <w:name w:val="Title"/>
    <w:basedOn w:val="a"/>
    <w:next w:val="a"/>
    <w:link w:val="Char2"/>
    <w:uiPriority w:val="10"/>
    <w:qFormat/>
    <w:rsid w:val="00092E83"/>
    <w:pPr>
      <w:widowControl/>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styleId="a7">
    <w:name w:val="Strong"/>
    <w:basedOn w:val="a0"/>
    <w:uiPriority w:val="22"/>
    <w:qFormat/>
    <w:rsid w:val="00092E83"/>
    <w:rPr>
      <w:b/>
      <w:bCs/>
    </w:rPr>
  </w:style>
  <w:style w:type="character" w:styleId="a8">
    <w:name w:val="Emphasis"/>
    <w:basedOn w:val="a0"/>
    <w:uiPriority w:val="20"/>
    <w:qFormat/>
    <w:rsid w:val="00092E83"/>
    <w:rPr>
      <w:rFonts w:asciiTheme="minorHAnsi" w:hAnsiTheme="minorHAnsi"/>
      <w:b/>
      <w:i/>
      <w:iCs/>
    </w:rPr>
  </w:style>
  <w:style w:type="character" w:customStyle="1" w:styleId="1Char">
    <w:name w:val="标题 1 Char"/>
    <w:basedOn w:val="a0"/>
    <w:link w:val="1"/>
    <w:uiPriority w:val="9"/>
    <w:qFormat/>
    <w:rsid w:val="00092E83"/>
    <w:rPr>
      <w:rFonts w:asciiTheme="majorHAnsi" w:eastAsiaTheme="majorEastAsia" w:hAnsiTheme="majorHAnsi"/>
      <w:b/>
      <w:bCs/>
      <w:kern w:val="32"/>
      <w:sz w:val="32"/>
      <w:szCs w:val="32"/>
    </w:rPr>
  </w:style>
  <w:style w:type="character" w:customStyle="1" w:styleId="2Char">
    <w:name w:val="标题 2 Char"/>
    <w:basedOn w:val="a0"/>
    <w:link w:val="2"/>
    <w:uiPriority w:val="9"/>
    <w:semiHidden/>
    <w:qFormat/>
    <w:rsid w:val="00092E83"/>
    <w:rPr>
      <w:rFonts w:asciiTheme="majorHAnsi" w:eastAsiaTheme="majorEastAsia" w:hAnsiTheme="majorHAnsi"/>
      <w:b/>
      <w:bCs/>
      <w:i/>
      <w:iCs/>
      <w:sz w:val="28"/>
      <w:szCs w:val="28"/>
    </w:rPr>
  </w:style>
  <w:style w:type="character" w:customStyle="1" w:styleId="3Char">
    <w:name w:val="标题 3 Char"/>
    <w:basedOn w:val="a0"/>
    <w:link w:val="3"/>
    <w:uiPriority w:val="9"/>
    <w:semiHidden/>
    <w:qFormat/>
    <w:rsid w:val="00092E83"/>
    <w:rPr>
      <w:rFonts w:asciiTheme="majorHAnsi" w:eastAsiaTheme="majorEastAsia" w:hAnsiTheme="majorHAnsi"/>
      <w:b/>
      <w:bCs/>
      <w:sz w:val="26"/>
      <w:szCs w:val="26"/>
    </w:rPr>
  </w:style>
  <w:style w:type="character" w:customStyle="1" w:styleId="4Char">
    <w:name w:val="标题 4 Char"/>
    <w:basedOn w:val="a0"/>
    <w:link w:val="4"/>
    <w:uiPriority w:val="9"/>
    <w:qFormat/>
    <w:rsid w:val="00092E83"/>
    <w:rPr>
      <w:b/>
      <w:bCs/>
      <w:sz w:val="28"/>
      <w:szCs w:val="28"/>
    </w:rPr>
  </w:style>
  <w:style w:type="character" w:customStyle="1" w:styleId="5Char">
    <w:name w:val="标题 5 Char"/>
    <w:basedOn w:val="a0"/>
    <w:link w:val="5"/>
    <w:uiPriority w:val="9"/>
    <w:semiHidden/>
    <w:qFormat/>
    <w:rsid w:val="00092E83"/>
    <w:rPr>
      <w:b/>
      <w:bCs/>
      <w:i/>
      <w:iCs/>
      <w:sz w:val="26"/>
      <w:szCs w:val="26"/>
    </w:rPr>
  </w:style>
  <w:style w:type="character" w:customStyle="1" w:styleId="6Char">
    <w:name w:val="标题 6 Char"/>
    <w:basedOn w:val="a0"/>
    <w:link w:val="6"/>
    <w:uiPriority w:val="9"/>
    <w:semiHidden/>
    <w:qFormat/>
    <w:rsid w:val="00092E83"/>
    <w:rPr>
      <w:b/>
      <w:bCs/>
    </w:rPr>
  </w:style>
  <w:style w:type="character" w:customStyle="1" w:styleId="7Char">
    <w:name w:val="标题 7 Char"/>
    <w:basedOn w:val="a0"/>
    <w:link w:val="7"/>
    <w:uiPriority w:val="9"/>
    <w:semiHidden/>
    <w:qFormat/>
    <w:rsid w:val="00092E83"/>
    <w:rPr>
      <w:sz w:val="24"/>
      <w:szCs w:val="24"/>
    </w:rPr>
  </w:style>
  <w:style w:type="character" w:customStyle="1" w:styleId="8Char">
    <w:name w:val="标题 8 Char"/>
    <w:basedOn w:val="a0"/>
    <w:link w:val="8"/>
    <w:uiPriority w:val="9"/>
    <w:semiHidden/>
    <w:qFormat/>
    <w:rsid w:val="00092E83"/>
    <w:rPr>
      <w:i/>
      <w:iCs/>
      <w:sz w:val="24"/>
      <w:szCs w:val="24"/>
    </w:rPr>
  </w:style>
  <w:style w:type="character" w:customStyle="1" w:styleId="9Char">
    <w:name w:val="标题 9 Char"/>
    <w:basedOn w:val="a0"/>
    <w:link w:val="9"/>
    <w:uiPriority w:val="9"/>
    <w:semiHidden/>
    <w:qFormat/>
    <w:rsid w:val="00092E83"/>
    <w:rPr>
      <w:rFonts w:asciiTheme="majorHAnsi" w:eastAsiaTheme="majorEastAsia" w:hAnsiTheme="majorHAnsi"/>
    </w:rPr>
  </w:style>
  <w:style w:type="character" w:customStyle="1" w:styleId="Char2">
    <w:name w:val="标题 Char"/>
    <w:basedOn w:val="a0"/>
    <w:link w:val="a6"/>
    <w:uiPriority w:val="10"/>
    <w:qFormat/>
    <w:rsid w:val="00092E83"/>
    <w:rPr>
      <w:rFonts w:asciiTheme="majorHAnsi" w:eastAsiaTheme="majorEastAsia" w:hAnsiTheme="majorHAnsi"/>
      <w:b/>
      <w:bCs/>
      <w:kern w:val="28"/>
      <w:sz w:val="32"/>
      <w:szCs w:val="32"/>
    </w:rPr>
  </w:style>
  <w:style w:type="character" w:customStyle="1" w:styleId="Char1">
    <w:name w:val="副标题 Char"/>
    <w:basedOn w:val="a0"/>
    <w:link w:val="a5"/>
    <w:uiPriority w:val="11"/>
    <w:qFormat/>
    <w:rsid w:val="00092E83"/>
    <w:rPr>
      <w:rFonts w:asciiTheme="majorHAnsi" w:eastAsiaTheme="majorEastAsia" w:hAnsiTheme="majorHAnsi"/>
      <w:sz w:val="24"/>
      <w:szCs w:val="24"/>
    </w:rPr>
  </w:style>
  <w:style w:type="paragraph" w:styleId="a9">
    <w:name w:val="No Spacing"/>
    <w:basedOn w:val="a"/>
    <w:uiPriority w:val="1"/>
    <w:qFormat/>
    <w:rsid w:val="00092E83"/>
    <w:pPr>
      <w:widowControl/>
      <w:jc w:val="left"/>
    </w:pPr>
    <w:rPr>
      <w:rFonts w:asciiTheme="minorHAnsi" w:eastAsiaTheme="minorEastAsia" w:hAnsiTheme="minorHAnsi" w:cs="Times New Roman"/>
      <w:kern w:val="0"/>
      <w:sz w:val="24"/>
      <w:szCs w:val="32"/>
      <w:lang w:eastAsia="en-US" w:bidi="en-US"/>
    </w:rPr>
  </w:style>
  <w:style w:type="paragraph" w:styleId="aa">
    <w:name w:val="List Paragraph"/>
    <w:basedOn w:val="a"/>
    <w:uiPriority w:val="34"/>
    <w:qFormat/>
    <w:rsid w:val="00092E83"/>
    <w:pPr>
      <w:widowControl/>
      <w:ind w:left="720"/>
      <w:contextualSpacing/>
      <w:jc w:val="left"/>
    </w:pPr>
    <w:rPr>
      <w:rFonts w:asciiTheme="minorHAnsi" w:eastAsiaTheme="minorEastAsia" w:hAnsiTheme="minorHAnsi" w:cs="Times New Roman"/>
      <w:kern w:val="0"/>
      <w:sz w:val="24"/>
      <w:szCs w:val="24"/>
      <w:lang w:eastAsia="en-US" w:bidi="en-US"/>
    </w:rPr>
  </w:style>
  <w:style w:type="paragraph" w:styleId="ab">
    <w:name w:val="Quote"/>
    <w:basedOn w:val="a"/>
    <w:next w:val="a"/>
    <w:link w:val="Char3"/>
    <w:uiPriority w:val="29"/>
    <w:qFormat/>
    <w:rsid w:val="00092E83"/>
    <w:pPr>
      <w:widowControl/>
      <w:jc w:val="left"/>
    </w:pPr>
    <w:rPr>
      <w:rFonts w:asciiTheme="minorHAnsi" w:eastAsiaTheme="minorEastAsia" w:hAnsiTheme="minorHAnsi" w:cs="Times New Roman"/>
      <w:i/>
      <w:kern w:val="0"/>
      <w:sz w:val="24"/>
      <w:szCs w:val="24"/>
      <w:lang w:eastAsia="en-US" w:bidi="en-US"/>
    </w:rPr>
  </w:style>
  <w:style w:type="character" w:customStyle="1" w:styleId="Char3">
    <w:name w:val="引用 Char"/>
    <w:basedOn w:val="a0"/>
    <w:link w:val="ab"/>
    <w:uiPriority w:val="29"/>
    <w:qFormat/>
    <w:rsid w:val="00092E83"/>
    <w:rPr>
      <w:i/>
      <w:sz w:val="24"/>
      <w:szCs w:val="24"/>
    </w:rPr>
  </w:style>
  <w:style w:type="paragraph" w:styleId="ac">
    <w:name w:val="Intense Quote"/>
    <w:basedOn w:val="a"/>
    <w:next w:val="a"/>
    <w:link w:val="Char4"/>
    <w:uiPriority w:val="30"/>
    <w:qFormat/>
    <w:rsid w:val="00092E83"/>
    <w:pPr>
      <w:widowControl/>
      <w:ind w:left="720" w:right="720"/>
      <w:jc w:val="left"/>
    </w:pPr>
    <w:rPr>
      <w:rFonts w:asciiTheme="minorHAnsi" w:eastAsiaTheme="minorEastAsia" w:hAnsiTheme="minorHAnsi" w:cs="Times New Roman"/>
      <w:b/>
      <w:i/>
      <w:kern w:val="0"/>
      <w:sz w:val="24"/>
      <w:szCs w:val="22"/>
      <w:lang w:eastAsia="en-US" w:bidi="en-US"/>
    </w:rPr>
  </w:style>
  <w:style w:type="character" w:customStyle="1" w:styleId="Char4">
    <w:name w:val="明显引用 Char"/>
    <w:basedOn w:val="a0"/>
    <w:link w:val="ac"/>
    <w:uiPriority w:val="30"/>
    <w:qFormat/>
    <w:rsid w:val="00092E83"/>
    <w:rPr>
      <w:b/>
      <w:i/>
      <w:sz w:val="24"/>
    </w:rPr>
  </w:style>
  <w:style w:type="character" w:customStyle="1" w:styleId="10">
    <w:name w:val="不明显强调1"/>
    <w:uiPriority w:val="19"/>
    <w:qFormat/>
    <w:rsid w:val="00092E83"/>
    <w:rPr>
      <w:i/>
      <w:color w:val="5A5A5A" w:themeColor="text1" w:themeTint="A5"/>
    </w:rPr>
  </w:style>
  <w:style w:type="character" w:customStyle="1" w:styleId="11">
    <w:name w:val="明显强调1"/>
    <w:basedOn w:val="a0"/>
    <w:uiPriority w:val="21"/>
    <w:qFormat/>
    <w:rsid w:val="00092E83"/>
    <w:rPr>
      <w:b/>
      <w:i/>
      <w:sz w:val="24"/>
      <w:szCs w:val="24"/>
      <w:u w:val="single"/>
    </w:rPr>
  </w:style>
  <w:style w:type="character" w:customStyle="1" w:styleId="12">
    <w:name w:val="不明显参考1"/>
    <w:basedOn w:val="a0"/>
    <w:uiPriority w:val="31"/>
    <w:qFormat/>
    <w:rsid w:val="00092E83"/>
    <w:rPr>
      <w:sz w:val="24"/>
      <w:szCs w:val="24"/>
      <w:u w:val="single"/>
    </w:rPr>
  </w:style>
  <w:style w:type="character" w:customStyle="1" w:styleId="13">
    <w:name w:val="明显参考1"/>
    <w:basedOn w:val="a0"/>
    <w:uiPriority w:val="32"/>
    <w:qFormat/>
    <w:rsid w:val="00092E83"/>
    <w:rPr>
      <w:b/>
      <w:sz w:val="24"/>
      <w:u w:val="single"/>
    </w:rPr>
  </w:style>
  <w:style w:type="character" w:customStyle="1" w:styleId="14">
    <w:name w:val="书籍标题1"/>
    <w:basedOn w:val="a0"/>
    <w:uiPriority w:val="33"/>
    <w:qFormat/>
    <w:rsid w:val="00092E83"/>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092E83"/>
    <w:pPr>
      <w:outlineLvl w:val="9"/>
    </w:pPr>
  </w:style>
  <w:style w:type="character" w:customStyle="1" w:styleId="ic31">
    <w:name w:val="i_c31"/>
    <w:basedOn w:val="a0"/>
    <w:qFormat/>
    <w:rsid w:val="00092E83"/>
    <w:rPr>
      <w:rFonts w:ascii="Times New Roman" w:eastAsia="仿宋_GB2312" w:hAnsi="Times New Roman"/>
    </w:rPr>
  </w:style>
  <w:style w:type="character" w:customStyle="1" w:styleId="Char0">
    <w:name w:val="页眉 Char"/>
    <w:basedOn w:val="a0"/>
    <w:link w:val="a4"/>
    <w:uiPriority w:val="99"/>
    <w:semiHidden/>
    <w:qFormat/>
    <w:rsid w:val="00092E83"/>
    <w:rPr>
      <w:rFonts w:ascii="Calibri" w:eastAsia="宋体" w:hAnsi="Calibri" w:cs="宋体"/>
      <w:kern w:val="2"/>
      <w:sz w:val="18"/>
      <w:szCs w:val="18"/>
      <w:lang w:eastAsia="zh-CN" w:bidi="ar-SA"/>
    </w:rPr>
  </w:style>
  <w:style w:type="character" w:customStyle="1" w:styleId="Char">
    <w:name w:val="页脚 Char"/>
    <w:basedOn w:val="a0"/>
    <w:link w:val="a3"/>
    <w:uiPriority w:val="99"/>
    <w:qFormat/>
    <w:rsid w:val="00092E83"/>
    <w:rPr>
      <w:rFonts w:ascii="Calibri" w:eastAsia="宋体" w:hAnsi="Calibri" w:cs="宋体"/>
      <w:kern w:val="2"/>
      <w:sz w:val="18"/>
      <w:szCs w:val="18"/>
      <w:lang w:eastAsia="zh-CN" w:bidi="ar-SA"/>
    </w:rPr>
  </w:style>
  <w:style w:type="paragraph" w:styleId="ad">
    <w:name w:val="Balloon Text"/>
    <w:basedOn w:val="a"/>
    <w:link w:val="Char5"/>
    <w:uiPriority w:val="99"/>
    <w:semiHidden/>
    <w:unhideWhenUsed/>
    <w:rsid w:val="00A15C79"/>
    <w:rPr>
      <w:sz w:val="18"/>
      <w:szCs w:val="18"/>
    </w:rPr>
  </w:style>
  <w:style w:type="character" w:customStyle="1" w:styleId="Char5">
    <w:name w:val="批注框文本 Char"/>
    <w:basedOn w:val="a0"/>
    <w:link w:val="ad"/>
    <w:uiPriority w:val="99"/>
    <w:semiHidden/>
    <w:rsid w:val="00A15C79"/>
    <w:rPr>
      <w:rFonts w:ascii="Calibri" w:eastAsia="宋体" w:hAnsi="Calibri" w:cs="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21</Pages>
  <Words>2086</Words>
  <Characters>11892</Characters>
  <Application>Microsoft Office Word</Application>
  <DocSecurity>0</DocSecurity>
  <Lines>99</Lines>
  <Paragraphs>27</Paragraphs>
  <ScaleCrop>false</ScaleCrop>
  <Company>Organization</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dc:creator>
  <cp:lastModifiedBy>Windows 用户</cp:lastModifiedBy>
  <cp:revision>4</cp:revision>
  <dcterms:created xsi:type="dcterms:W3CDTF">2024-12-31T02:38:00Z</dcterms:created>
  <dcterms:modified xsi:type="dcterms:W3CDTF">2025-02-25T07:31:00Z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eyJoZGlkIjoiMTYwMWU5OWJkZDFlMGU3MzMyYzdhNDhjZDY4ODAwY2YiLCJ1c2VySWQiOiIxNjA1NTE5NTQ4In0=</vt:lpwstr>
  </property>
  <property fmtid="{D5CDD505-2E9C-101B-9397-08002B2CF9AE}" pid="3" name="KSOProductBuildVer">
    <vt:lpwstr>2052-12.1.0.20305</vt:lpwstr>
  </property>
  <property fmtid="{D5CDD505-2E9C-101B-9397-08002B2CF9AE}" pid="4" name="ICV">
    <vt:lpwstr>0BAE8BD95BD34889BB9A3F89B78A827B_12</vt:lpwstr>
  </property>
</Properties>
</file>