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5D72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 w:val="0"/>
          <w:bCs/>
          <w:color w:val="auto"/>
          <w:kern w:val="44"/>
          <w:sz w:val="44"/>
          <w:szCs w:val="44"/>
          <w:highlight w:val="none"/>
          <w:lang w:bidi="ar"/>
        </w:rPr>
      </w:pPr>
      <w:r>
        <w:rPr>
          <w:rFonts w:hint="eastAsia" w:ascii="方正小标宋简体" w:hAnsi="Times New Roman" w:eastAsia="方正小标宋简体" w:cs="方正小标宋简体"/>
          <w:b w:val="0"/>
          <w:bCs/>
          <w:color w:val="auto"/>
          <w:kern w:val="44"/>
          <w:sz w:val="44"/>
          <w:szCs w:val="44"/>
          <w:highlight w:val="none"/>
          <w:lang w:bidi="ar"/>
        </w:rPr>
        <w:t>常州市建设工程招标公告</w:t>
      </w:r>
    </w:p>
    <w:p w14:paraId="4B958555">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一、招标条件</w:t>
      </w:r>
      <w:r>
        <w:rPr>
          <w:rFonts w:hint="eastAsia" w:ascii="黑体" w:hAnsi="宋体" w:eastAsia="黑体" w:cs="黑体"/>
          <w:bCs/>
          <w:color w:val="auto"/>
          <w:sz w:val="32"/>
          <w:szCs w:val="32"/>
          <w:highlight w:val="none"/>
          <w:lang w:bidi="ar"/>
        </w:rPr>
        <w:tab/>
      </w:r>
    </w:p>
    <w:p w14:paraId="61463DF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u w:val="single"/>
          <w:lang w:eastAsia="zh-CN"/>
        </w:rPr>
        <w:t>滨创·空港智汇园项目</w:t>
      </w:r>
      <w:r>
        <w:rPr>
          <w:rFonts w:hint="eastAsia" w:ascii="仿宋_GB2312" w:hAnsi="仿宋_GB2312" w:eastAsia="仿宋_GB2312" w:cs="仿宋_GB2312"/>
          <w:color w:val="auto"/>
          <w:kern w:val="0"/>
          <w:sz w:val="32"/>
          <w:szCs w:val="32"/>
          <w:highlight w:val="none"/>
        </w:rPr>
        <w:t>已批准建设，招标人为</w:t>
      </w:r>
      <w:r>
        <w:rPr>
          <w:rFonts w:hint="eastAsia" w:ascii="仿宋_GB2312" w:hAnsi="仿宋_GB2312" w:eastAsia="仿宋_GB2312" w:cs="仿宋_GB2312"/>
          <w:color w:val="auto"/>
          <w:sz w:val="32"/>
          <w:szCs w:val="32"/>
          <w:highlight w:val="none"/>
          <w:u w:val="single"/>
          <w:lang w:eastAsia="zh-CN"/>
        </w:rPr>
        <w:t>常州上韬科技发展有限公司</w:t>
      </w:r>
      <w:r>
        <w:rPr>
          <w:rFonts w:hint="eastAsia" w:ascii="仿宋_GB2312" w:hAnsi="仿宋_GB2312" w:eastAsia="仿宋_GB2312" w:cs="仿宋_GB2312"/>
          <w:color w:val="auto"/>
          <w:kern w:val="0"/>
          <w:sz w:val="32"/>
          <w:szCs w:val="32"/>
          <w:highlight w:val="none"/>
        </w:rPr>
        <w:t>，建设资金来自</w:t>
      </w:r>
      <w:r>
        <w:rPr>
          <w:rFonts w:hint="eastAsia" w:ascii="仿宋_GB2312" w:hAnsi="仿宋_GB2312" w:eastAsia="仿宋_GB2312" w:cs="仿宋_GB2312"/>
          <w:color w:val="auto"/>
          <w:kern w:val="0"/>
          <w:sz w:val="32"/>
          <w:szCs w:val="32"/>
          <w:highlight w:val="none"/>
          <w:u w:val="single"/>
          <w:lang w:val="en-US" w:eastAsia="zh-CN"/>
        </w:rPr>
        <w:t>自筹</w:t>
      </w:r>
      <w:r>
        <w:rPr>
          <w:rFonts w:hint="eastAsia" w:ascii="仿宋_GB2312" w:hAnsi="仿宋_GB2312" w:eastAsia="仿宋_GB2312" w:cs="仿宋_GB2312"/>
          <w:color w:val="auto"/>
          <w:kern w:val="0"/>
          <w:sz w:val="32"/>
          <w:szCs w:val="32"/>
          <w:highlight w:val="none"/>
        </w:rPr>
        <w:t>，项目出资比例为</w:t>
      </w:r>
      <w:r>
        <w:rPr>
          <w:rFonts w:hint="eastAsia" w:ascii="仿宋_GB2312" w:hAnsi="仿宋_GB2312" w:eastAsia="仿宋_GB2312" w:cs="仿宋_GB2312"/>
          <w:color w:val="auto"/>
          <w:kern w:val="0"/>
          <w:sz w:val="32"/>
          <w:szCs w:val="32"/>
          <w:highlight w:val="none"/>
          <w:u w:val="single"/>
        </w:rPr>
        <w:t>国有</w:t>
      </w:r>
      <w:r>
        <w:rPr>
          <w:rFonts w:hint="eastAsia" w:ascii="仿宋_GB2312" w:hAnsi="仿宋_GB2312" w:eastAsia="仿宋_GB2312" w:cs="仿宋_GB2312"/>
          <w:color w:val="auto"/>
          <w:sz w:val="32"/>
          <w:szCs w:val="32"/>
          <w:highlight w:val="none"/>
          <w:u w:val="single"/>
        </w:rPr>
        <w:t>资金</w:t>
      </w:r>
      <w:r>
        <w:rPr>
          <w:rFonts w:hint="eastAsia" w:ascii="仿宋_GB2312" w:hAnsi="仿宋_GB2312" w:eastAsia="仿宋_GB2312" w:cs="仿宋_GB2312"/>
          <w:color w:val="auto"/>
          <w:kern w:val="0"/>
          <w:sz w:val="32"/>
          <w:szCs w:val="32"/>
          <w:highlight w:val="none"/>
          <w:u w:val="single"/>
        </w:rPr>
        <w:t>：100.00 %</w:t>
      </w:r>
      <w:r>
        <w:rPr>
          <w:rFonts w:hint="eastAsia" w:ascii="仿宋_GB2312" w:hAnsi="仿宋_GB2312" w:eastAsia="仿宋_GB2312" w:cs="仿宋_GB2312"/>
          <w:color w:val="auto"/>
          <w:kern w:val="0"/>
          <w:sz w:val="32"/>
          <w:szCs w:val="32"/>
          <w:highlight w:val="none"/>
        </w:rPr>
        <w:t>。项目已具备招标条件，现对该项目</w:t>
      </w:r>
      <w:r>
        <w:rPr>
          <w:rFonts w:hint="eastAsia" w:ascii="仿宋_GB2312" w:hAnsi="仿宋_GB2312" w:eastAsia="仿宋_GB2312" w:cs="仿宋_GB2312"/>
          <w:color w:val="auto"/>
          <w:kern w:val="0"/>
          <w:sz w:val="32"/>
          <w:szCs w:val="32"/>
          <w:highlight w:val="none"/>
          <w:u w:val="single"/>
          <w:lang w:eastAsia="zh-CN"/>
        </w:rPr>
        <w:t>滨创·空港智汇园项目质量检测</w:t>
      </w:r>
      <w:r>
        <w:rPr>
          <w:rFonts w:hint="eastAsia" w:ascii="仿宋_GB2312" w:hAnsi="仿宋_GB2312" w:eastAsia="仿宋_GB2312" w:cs="仿宋_GB2312"/>
          <w:color w:val="auto"/>
          <w:kern w:val="0"/>
          <w:sz w:val="32"/>
          <w:szCs w:val="32"/>
          <w:highlight w:val="none"/>
        </w:rPr>
        <w:t>进行</w:t>
      </w:r>
      <w:r>
        <w:rPr>
          <w:rFonts w:hint="eastAsia" w:ascii="仿宋_GB2312" w:hAnsi="仿宋_GB2312" w:eastAsia="仿宋_GB2312" w:cs="仿宋_GB2312"/>
          <w:color w:val="auto"/>
          <w:kern w:val="0"/>
          <w:sz w:val="32"/>
          <w:szCs w:val="32"/>
          <w:highlight w:val="none"/>
          <w:u w:val="single"/>
        </w:rPr>
        <w:t>公开</w:t>
      </w:r>
      <w:r>
        <w:rPr>
          <w:rFonts w:hint="eastAsia" w:ascii="仿宋_GB2312" w:hAnsi="仿宋_GB2312" w:eastAsia="仿宋_GB2312" w:cs="仿宋_GB2312"/>
          <w:color w:val="auto"/>
          <w:kern w:val="0"/>
          <w:sz w:val="32"/>
          <w:szCs w:val="32"/>
          <w:highlight w:val="none"/>
        </w:rPr>
        <w:t xml:space="preserve">招标，特邀请有兴趣的潜在投标人参加投标。 </w:t>
      </w:r>
    </w:p>
    <w:p w14:paraId="53AEB4A3">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二、项目概况与招标范围</w:t>
      </w:r>
    </w:p>
    <w:p w14:paraId="1E4F078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2.1项目概况</w:t>
      </w:r>
    </w:p>
    <w:p w14:paraId="091FD3C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bCs/>
          <w:color w:val="auto"/>
          <w:sz w:val="32"/>
          <w:szCs w:val="32"/>
          <w:highlight w:val="none"/>
        </w:rPr>
        <w:t>2.1.1建设地点：常州市新北区罗溪镇，龙城大道以南、通达路以东、江苏诚通物流有限公司以北</w:t>
      </w:r>
      <w:r>
        <w:rPr>
          <w:rFonts w:hint="eastAsia" w:ascii="仿宋_GB2312" w:hAnsi="仿宋_GB2312" w:eastAsia="仿宋_GB2312" w:cs="仿宋_GB2312"/>
          <w:color w:val="auto"/>
          <w:kern w:val="0"/>
          <w:sz w:val="32"/>
          <w:szCs w:val="32"/>
          <w:highlight w:val="none"/>
          <w:u w:val="none"/>
        </w:rPr>
        <w:t>。</w:t>
      </w:r>
    </w:p>
    <w:p w14:paraId="5ADB9BF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2.1.2建设规模：项目新增用地83亩，新建厂房及配套，新增总建筑面积约82644平方米</w:t>
      </w:r>
      <w:r>
        <w:rPr>
          <w:rFonts w:hint="eastAsia" w:ascii="仿宋_GB2312" w:hAnsi="仿宋_GB2312" w:eastAsia="仿宋_GB2312" w:cs="仿宋_GB2312"/>
          <w:color w:val="auto"/>
          <w:sz w:val="32"/>
          <w:szCs w:val="32"/>
          <w:highlight w:val="none"/>
          <w:u w:val="none"/>
        </w:rPr>
        <w:t>。</w:t>
      </w:r>
    </w:p>
    <w:p w14:paraId="3BF284A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bCs/>
          <w:color w:val="auto"/>
          <w:sz w:val="32"/>
          <w:szCs w:val="32"/>
          <w:highlight w:val="none"/>
          <w:u w:val="none"/>
        </w:rPr>
        <w:t>2.1.3本标段合同估算价：95</w:t>
      </w:r>
      <w:r>
        <w:rPr>
          <w:rFonts w:hint="eastAsia" w:ascii="仿宋_GB2312" w:hAnsi="仿宋_GB2312" w:eastAsia="仿宋_GB2312" w:cs="仿宋_GB2312"/>
          <w:bCs/>
          <w:color w:val="auto"/>
          <w:sz w:val="32"/>
          <w:szCs w:val="32"/>
          <w:highlight w:val="none"/>
          <w:u w:val="none"/>
          <w:lang w:val="en-US" w:eastAsia="zh-CN"/>
        </w:rPr>
        <w:t>.</w:t>
      </w:r>
      <w:r>
        <w:rPr>
          <w:rFonts w:hint="eastAsia" w:ascii="仿宋_GB2312" w:hAnsi="仿宋_GB2312" w:eastAsia="仿宋_GB2312" w:cs="仿宋_GB2312"/>
          <w:bCs/>
          <w:color w:val="auto"/>
          <w:sz w:val="32"/>
          <w:szCs w:val="32"/>
          <w:highlight w:val="none"/>
          <w:u w:val="none"/>
        </w:rPr>
        <w:t>0406</w:t>
      </w:r>
      <w:r>
        <w:rPr>
          <w:rFonts w:hint="eastAsia" w:ascii="仿宋_GB2312" w:hAnsi="仿宋_GB2312" w:eastAsia="仿宋_GB2312" w:cs="仿宋_GB2312"/>
          <w:bCs/>
          <w:color w:val="auto"/>
          <w:sz w:val="32"/>
          <w:szCs w:val="32"/>
          <w:highlight w:val="none"/>
          <w:u w:val="none"/>
          <w:lang w:val="en-US" w:eastAsia="zh-CN"/>
        </w:rPr>
        <w:t>万</w:t>
      </w:r>
      <w:r>
        <w:rPr>
          <w:rFonts w:hint="eastAsia" w:ascii="仿宋_GB2312" w:hAnsi="仿宋_GB2312" w:eastAsia="仿宋_GB2312" w:cs="仿宋_GB2312"/>
          <w:bCs/>
          <w:color w:val="auto"/>
          <w:sz w:val="32"/>
          <w:szCs w:val="32"/>
          <w:highlight w:val="none"/>
          <w:u w:val="none"/>
          <w:lang w:eastAsia="zh-CN"/>
        </w:rPr>
        <w:t>元</w:t>
      </w:r>
      <w:r>
        <w:rPr>
          <w:rFonts w:hint="eastAsia" w:ascii="仿宋_GB2312" w:hAnsi="仿宋_GB2312" w:eastAsia="仿宋_GB2312" w:cs="仿宋_GB2312"/>
          <w:bCs/>
          <w:color w:val="0000FF"/>
          <w:sz w:val="32"/>
          <w:szCs w:val="32"/>
          <w:highlight w:val="none"/>
          <w:u w:val="none"/>
          <w:lang w:eastAsia="zh-CN"/>
        </w:rPr>
        <w:t>。</w:t>
      </w:r>
    </w:p>
    <w:p w14:paraId="7FF5142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color w:val="auto"/>
          <w:sz w:val="32"/>
          <w:szCs w:val="32"/>
          <w:highlight w:val="none"/>
          <w:u w:val="none"/>
        </w:rPr>
        <w:t>2.1.4工期要求：</w:t>
      </w:r>
      <w:r>
        <w:rPr>
          <w:rFonts w:hint="eastAsia" w:ascii="仿宋_GB2312" w:hAnsi="仿宋_GB2312" w:eastAsia="仿宋_GB2312" w:cs="仿宋_GB2312"/>
          <w:sz w:val="32"/>
          <w:szCs w:val="32"/>
          <w:highlight w:val="none"/>
          <w:lang w:eastAsia="zh-CN"/>
        </w:rPr>
        <w:t>与施工工期同步</w:t>
      </w:r>
      <w:r>
        <w:rPr>
          <w:rFonts w:hint="eastAsia" w:ascii="仿宋_GB2312" w:hAnsi="仿宋_GB2312" w:eastAsia="仿宋_GB2312" w:cs="仿宋_GB2312"/>
          <w:sz w:val="32"/>
          <w:szCs w:val="32"/>
          <w:highlight w:val="none"/>
          <w:lang w:val="en-US" w:eastAsia="zh-CN"/>
        </w:rPr>
        <w:t>。</w:t>
      </w:r>
    </w:p>
    <w:p w14:paraId="745B548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2.2招标范围：本项目的质量检测，检测项目及内容详见工程量清单。</w:t>
      </w:r>
    </w:p>
    <w:p w14:paraId="462BDAE8">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三、投标人资格条件</w:t>
      </w:r>
    </w:p>
    <w:p w14:paraId="240D97A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3.1投标人须具备</w:t>
      </w:r>
      <w:r>
        <w:rPr>
          <w:rFonts w:hint="eastAsia" w:ascii="仿宋_GB2312" w:hAnsi="仿宋_GB2312" w:eastAsia="仿宋_GB2312" w:cs="仿宋_GB2312"/>
          <w:color w:val="auto"/>
          <w:kern w:val="0"/>
          <w:sz w:val="32"/>
          <w:szCs w:val="32"/>
          <w:highlight w:val="none"/>
          <w:u w:val="single"/>
        </w:rPr>
        <w:t xml:space="preserve"> 建设行政主管部门核发的《建设工程质量检测机构资质证书》、《建设工程质量检测机构备案证书》，内容必须包括见证取样检测；主体结构现场检测；钢结构工程检测；备案检测（备案检测应含建筑节能工程专项检测、室内环境备案类检测、市政工程备案类检测、建筑水电备案类检测、墙体材料备案类检测、饰面材料备案类检测、防水材料备案类检测、门窗备案类检测等内容）。具有省级及以上技术监督部门颁发的CMA计量认证合格证书,内容须包括：建筑材料检测、建筑结构与构件（或主体结构工程）</w:t>
      </w:r>
      <w:r>
        <w:rPr>
          <w:rFonts w:hint="eastAsia" w:ascii="仿宋_GB2312" w:hAnsi="仿宋_GB2312" w:eastAsia="仿宋_GB2312" w:cs="仿宋_GB2312"/>
          <w:color w:val="auto"/>
          <w:kern w:val="0"/>
          <w:sz w:val="32"/>
          <w:szCs w:val="32"/>
          <w:highlight w:val="none"/>
        </w:rPr>
        <w:t>。</w:t>
      </w:r>
    </w:p>
    <w:p w14:paraId="3AC8E2E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3.2投标人拟派项目负责人须具备</w:t>
      </w:r>
      <w:r>
        <w:rPr>
          <w:rFonts w:hint="eastAsia" w:ascii="仿宋_GB2312" w:hAnsi="仿宋_GB2312" w:eastAsia="仿宋_GB2312" w:cs="仿宋_GB2312"/>
          <w:color w:val="auto"/>
          <w:kern w:val="0"/>
          <w:sz w:val="32"/>
          <w:szCs w:val="32"/>
          <w:highlight w:val="none"/>
          <w:u w:val="single"/>
        </w:rPr>
        <w:t>省级及以上建设行政主管部门核发的建设工程质量检测人员岗位合格证</w:t>
      </w:r>
      <w:r>
        <w:rPr>
          <w:rFonts w:hint="eastAsia" w:ascii="仿宋_GB2312" w:hAnsi="仿宋_GB2312" w:eastAsia="仿宋_GB2312" w:cs="仿宋_GB2312"/>
          <w:color w:val="auto"/>
          <w:kern w:val="0"/>
          <w:sz w:val="32"/>
          <w:szCs w:val="32"/>
          <w:highlight w:val="none"/>
        </w:rPr>
        <w:t>（资格）。</w:t>
      </w:r>
    </w:p>
    <w:p w14:paraId="214883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本次招标</w:t>
      </w:r>
      <w:r>
        <w:rPr>
          <w:rFonts w:hint="eastAsia" w:ascii="仿宋_GB2312" w:hAnsi="仿宋_GB2312" w:eastAsia="仿宋_GB2312" w:cs="仿宋_GB2312"/>
          <w:color w:val="auto"/>
          <w:kern w:val="0"/>
          <w:sz w:val="32"/>
          <w:szCs w:val="32"/>
          <w:highlight w:val="none"/>
          <w:u w:val="single"/>
          <w:lang w:val="en-US" w:eastAsia="zh-CN"/>
        </w:rPr>
        <w:t>不</w:t>
      </w:r>
      <w:r>
        <w:rPr>
          <w:rFonts w:hint="eastAsia" w:ascii="仿宋_GB2312" w:hAnsi="仿宋_GB2312" w:eastAsia="仿宋_GB2312" w:cs="仿宋_GB2312"/>
          <w:color w:val="auto"/>
          <w:kern w:val="0"/>
          <w:sz w:val="32"/>
          <w:szCs w:val="32"/>
          <w:highlight w:val="none"/>
          <w:u w:val="single"/>
        </w:rPr>
        <w:t>接受</w:t>
      </w:r>
      <w:r>
        <w:rPr>
          <w:rFonts w:hint="eastAsia" w:ascii="仿宋_GB2312" w:hAnsi="仿宋_GB2312" w:eastAsia="仿宋_GB2312" w:cs="仿宋_GB2312"/>
          <w:color w:val="auto"/>
          <w:kern w:val="0"/>
          <w:sz w:val="32"/>
          <w:szCs w:val="32"/>
          <w:highlight w:val="none"/>
        </w:rPr>
        <w:t>（接受/不接受）联合体投标。</w:t>
      </w:r>
    </w:p>
    <w:p w14:paraId="1553924B">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四、招标文件的获取</w:t>
      </w:r>
    </w:p>
    <w:p w14:paraId="6B72269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4.1招标文件获取时间为：</w:t>
      </w:r>
      <w:r>
        <w:rPr>
          <w:rFonts w:hint="eastAsia" w:ascii="仿宋_GB2312" w:hAnsi="仿宋_GB2312" w:eastAsia="仿宋_GB2312" w:cs="仿宋_GB2312"/>
          <w:color w:val="auto"/>
          <w:kern w:val="0"/>
          <w:sz w:val="32"/>
          <w:szCs w:val="32"/>
          <w:highlight w:val="none"/>
          <w:lang w:eastAsia="zh-CN"/>
        </w:rPr>
        <w:t>2025年</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25</w:t>
      </w:r>
      <w:r>
        <w:rPr>
          <w:rFonts w:hint="eastAsia" w:ascii="仿宋_GB2312" w:hAnsi="仿宋_GB2312" w:eastAsia="仿宋_GB2312" w:cs="仿宋_GB2312"/>
          <w:color w:val="auto"/>
          <w:kern w:val="0"/>
          <w:sz w:val="32"/>
          <w:szCs w:val="32"/>
          <w:highlight w:val="none"/>
          <w:lang w:eastAsia="zh-CN"/>
        </w:rPr>
        <w:t>日至2025年</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月</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日17：00</w:t>
      </w:r>
      <w:r>
        <w:rPr>
          <w:rFonts w:hint="eastAsia" w:ascii="仿宋_GB2312" w:hAnsi="仿宋_GB2312" w:eastAsia="仿宋_GB2312" w:cs="仿宋_GB2312"/>
          <w:color w:val="auto"/>
          <w:kern w:val="0"/>
          <w:sz w:val="32"/>
          <w:szCs w:val="32"/>
          <w:highlight w:val="none"/>
        </w:rPr>
        <w:t>；</w:t>
      </w:r>
    </w:p>
    <w:p w14:paraId="284E9E5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4.2招标文件获取方式：</w:t>
      </w:r>
    </w:p>
    <w:p w14:paraId="54D9B750">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投标人首先应注册成为E交易平台网站会员，详见会员操作指南。</w:t>
      </w:r>
    </w:p>
    <w:p w14:paraId="7FD42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投标人按系统提示交纳相关费用后在规定的报名时间内下载招标文件。</w:t>
      </w:r>
    </w:p>
    <w:p w14:paraId="5A1EE3B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相关费用：</w:t>
      </w:r>
    </w:p>
    <w:p w14:paraId="20DD535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招标文件资料费：人民币300元整。</w:t>
      </w:r>
    </w:p>
    <w:p w14:paraId="11B19CB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招标文件资料费发票由代理机构开具；开票方式：开标后10日内至江苏城建校工程咨询有限</w:t>
      </w:r>
      <w:bookmarkStart w:id="3" w:name="_GoBack"/>
      <w:bookmarkEnd w:id="3"/>
      <w:r>
        <w:rPr>
          <w:rFonts w:hint="eastAsia" w:ascii="仿宋_GB2312" w:hAnsi="仿宋_GB2312" w:eastAsia="仿宋_GB2312" w:cs="仿宋_GB2312"/>
          <w:color w:val="auto"/>
          <w:kern w:val="0"/>
          <w:sz w:val="32"/>
          <w:szCs w:val="32"/>
          <w:highlight w:val="none"/>
        </w:rPr>
        <w:t>公司（清潭路85-2号307财务室）开取发票。开票联系方式：0519-88163189</w:t>
      </w:r>
      <w:r>
        <w:rPr>
          <w:rFonts w:hint="eastAsia" w:ascii="仿宋_GB2312" w:hAnsi="仿宋_GB2312" w:eastAsia="仿宋_GB2312" w:cs="仿宋_GB2312"/>
          <w:color w:val="auto"/>
          <w:kern w:val="0"/>
          <w:sz w:val="32"/>
          <w:szCs w:val="32"/>
          <w:highlight w:val="none"/>
          <w:lang w:eastAsia="zh-CN"/>
        </w:rPr>
        <w:t>。</w:t>
      </w:r>
    </w:p>
    <w:p w14:paraId="757E22D4">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平台服务费：由中标人按E交易系统提示操作。平台服务费收款单位：江苏易交易信息科技有限公司，发票由江苏易交易信息科技有限公司开具。</w:t>
      </w:r>
    </w:p>
    <w:p w14:paraId="462CED52">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072FF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下载者首次</w:t>
      </w:r>
      <w:r>
        <w:rPr>
          <w:rFonts w:hint="eastAsia" w:ascii="仿宋_GB2312" w:hAnsi="仿宋_GB2312" w:eastAsia="仿宋_GB2312" w:cs="仿宋_GB2312"/>
          <w:color w:val="auto"/>
          <w:kern w:val="0"/>
          <w:sz w:val="32"/>
          <w:szCs w:val="32"/>
          <w:highlight w:val="none"/>
          <w:lang w:val="en-US" w:eastAsia="zh-CN"/>
        </w:rPr>
        <w:t>登录</w:t>
      </w:r>
      <w:r>
        <w:rPr>
          <w:rFonts w:hint="eastAsia" w:ascii="仿宋_GB2312" w:hAnsi="仿宋_GB2312" w:eastAsia="仿宋_GB2312" w:cs="仿宋_GB2312"/>
          <w:color w:val="auto"/>
          <w:kern w:val="0"/>
          <w:sz w:val="32"/>
          <w:szCs w:val="32"/>
          <w:highlight w:val="none"/>
        </w:rPr>
        <w:t>平台前，须前往平台免费注册，注册成功且完善相关信息后，可以及时参与平台上所有发布的项目；</w:t>
      </w:r>
    </w:p>
    <w:p w14:paraId="5AACB4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平台网站首页“帮助中心”提供操作手册，下载者可以下载并根据操作手册提示进行注册、登录等操作。平台咨询电话为：400-828-9082。平台会通过短信提醒下载者进行注册、支付、下载等操作；</w:t>
      </w:r>
    </w:p>
    <w:p w14:paraId="7A224403">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非因代理机构或平台原因，发票一经开具不予退换。</w:t>
      </w:r>
    </w:p>
    <w:p w14:paraId="754492BD">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五、投标截止时间</w:t>
      </w:r>
    </w:p>
    <w:p w14:paraId="68C155A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5.1投标截止时间为：</w:t>
      </w:r>
      <w:r>
        <w:rPr>
          <w:rFonts w:hint="eastAsia" w:ascii="仿宋_GB2312" w:hAnsi="仿宋_GB2312" w:eastAsia="仿宋_GB2312" w:cs="仿宋_GB2312"/>
          <w:bCs/>
          <w:color w:val="auto"/>
          <w:kern w:val="0"/>
          <w:sz w:val="32"/>
          <w:szCs w:val="32"/>
          <w:highlight w:val="none"/>
          <w:u w:val="single"/>
          <w:lang w:eastAsia="zh-CN"/>
        </w:rPr>
        <w:t>2025年</w:t>
      </w:r>
      <w:r>
        <w:rPr>
          <w:rFonts w:hint="eastAsia" w:ascii="仿宋_GB2312" w:hAnsi="仿宋_GB2312" w:eastAsia="仿宋_GB2312" w:cs="仿宋_GB2312"/>
          <w:bCs/>
          <w:color w:val="auto"/>
          <w:kern w:val="0"/>
          <w:sz w:val="32"/>
          <w:szCs w:val="32"/>
          <w:highlight w:val="none"/>
          <w:u w:val="single"/>
          <w:lang w:val="en-US" w:eastAsia="zh-CN"/>
        </w:rPr>
        <w:t>3</w:t>
      </w:r>
      <w:r>
        <w:rPr>
          <w:rFonts w:hint="eastAsia" w:ascii="仿宋_GB2312" w:hAnsi="仿宋_GB2312" w:eastAsia="仿宋_GB2312" w:cs="仿宋_GB2312"/>
          <w:bCs/>
          <w:color w:val="auto"/>
          <w:kern w:val="0"/>
          <w:sz w:val="32"/>
          <w:szCs w:val="32"/>
          <w:highlight w:val="none"/>
          <w:u w:val="single"/>
          <w:lang w:eastAsia="zh-CN"/>
        </w:rPr>
        <w:t>月</w:t>
      </w:r>
      <w:r>
        <w:rPr>
          <w:rFonts w:hint="eastAsia" w:ascii="仿宋_GB2312" w:hAnsi="仿宋_GB2312" w:eastAsia="仿宋_GB2312" w:cs="仿宋_GB2312"/>
          <w:bCs/>
          <w:color w:val="auto"/>
          <w:kern w:val="0"/>
          <w:sz w:val="32"/>
          <w:szCs w:val="32"/>
          <w:highlight w:val="none"/>
          <w:u w:val="single"/>
          <w:lang w:val="en-US" w:eastAsia="zh-CN"/>
        </w:rPr>
        <w:t>7日</w:t>
      </w:r>
      <w:r>
        <w:rPr>
          <w:rFonts w:hint="eastAsia" w:ascii="仿宋_GB2312" w:hAnsi="仿宋_GB2312" w:eastAsia="仿宋_GB2312" w:cs="仿宋_GB2312"/>
          <w:bCs/>
          <w:color w:val="auto"/>
          <w:kern w:val="0"/>
          <w:sz w:val="32"/>
          <w:szCs w:val="32"/>
          <w:highlight w:val="none"/>
          <w:u w:val="single"/>
          <w:lang w:eastAsia="zh-CN"/>
        </w:rPr>
        <w:t>14时00分（北京时间）</w:t>
      </w:r>
      <w:r>
        <w:rPr>
          <w:rFonts w:hint="eastAsia" w:ascii="仿宋_GB2312" w:hAnsi="仿宋_GB2312" w:eastAsia="仿宋_GB2312" w:cs="仿宋_GB2312"/>
          <w:bCs/>
          <w:color w:val="auto"/>
          <w:kern w:val="0"/>
          <w:sz w:val="32"/>
          <w:szCs w:val="32"/>
          <w:highlight w:val="none"/>
        </w:rPr>
        <w:t>。</w:t>
      </w:r>
    </w:p>
    <w:p w14:paraId="12386A13">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5.2地点：常州市木梳路12号（江苏城乡建设职业学院清潭校区院内2号楼5楼</w:t>
      </w:r>
      <w:r>
        <w:rPr>
          <w:rFonts w:hint="eastAsia" w:ascii="仿宋_GB2312" w:hAnsi="仿宋_GB2312" w:eastAsia="仿宋_GB2312" w:cs="仿宋_GB2312"/>
          <w:bCs/>
          <w:color w:val="auto"/>
          <w:kern w:val="0"/>
          <w:sz w:val="32"/>
          <w:szCs w:val="32"/>
          <w:highlight w:val="none"/>
          <w:lang w:val="en-US" w:eastAsia="zh-CN"/>
        </w:rPr>
        <w:t>开标</w:t>
      </w:r>
      <w:r>
        <w:rPr>
          <w:rFonts w:hint="eastAsia" w:ascii="仿宋_GB2312" w:hAnsi="仿宋_GB2312" w:eastAsia="仿宋_GB2312" w:cs="仿宋_GB2312"/>
          <w:bCs/>
          <w:color w:val="auto"/>
          <w:kern w:val="0"/>
          <w:sz w:val="32"/>
          <w:szCs w:val="32"/>
          <w:highlight w:val="none"/>
        </w:rPr>
        <w:t xml:space="preserve">室）。 </w:t>
      </w:r>
    </w:p>
    <w:p w14:paraId="07BAA67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黑体" w:hAnsi="宋体" w:eastAsia="黑体" w:cs="黑体"/>
          <w:bCs/>
          <w:color w:val="auto"/>
          <w:sz w:val="32"/>
          <w:szCs w:val="32"/>
          <w:highlight w:val="none"/>
          <w:lang w:bidi="ar"/>
        </w:rPr>
        <w:t>六、资格审查</w:t>
      </w:r>
      <w:r>
        <w:rPr>
          <w:rFonts w:hint="eastAsia" w:ascii="仿宋_GB2312" w:hAnsi="仿宋_GB2312" w:eastAsia="仿宋_GB2312" w:cs="仿宋_GB2312"/>
          <w:b/>
          <w:bCs/>
          <w:color w:val="auto"/>
          <w:sz w:val="32"/>
          <w:szCs w:val="32"/>
          <w:highlight w:val="none"/>
        </w:rPr>
        <w:t xml:space="preserve"> </w:t>
      </w:r>
    </w:p>
    <w:p w14:paraId="0A38234B">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b/>
          <w:color w:val="auto"/>
          <w:kern w:val="0"/>
          <w:sz w:val="32"/>
          <w:szCs w:val="32"/>
          <w:highlight w:val="none"/>
          <w:u w:val="single"/>
        </w:rPr>
        <w:t>资格后审（</w:t>
      </w:r>
      <w:r>
        <w:rPr>
          <w:rFonts w:hint="eastAsia" w:ascii="仿宋_GB2312" w:hAnsi="仿宋_GB2312" w:eastAsia="仿宋_GB2312" w:cs="仿宋_GB2312"/>
          <w:b/>
          <w:color w:val="auto"/>
          <w:kern w:val="0"/>
          <w:sz w:val="32"/>
          <w:szCs w:val="32"/>
          <w:highlight w:val="none"/>
          <w:u w:val="single"/>
          <w:lang w:eastAsia="zh-CN"/>
        </w:rPr>
        <w:t>见面开标</w:t>
      </w:r>
      <w:r>
        <w:rPr>
          <w:rFonts w:hint="eastAsia" w:ascii="仿宋_GB2312" w:hAnsi="仿宋_GB2312" w:eastAsia="仿宋_GB2312" w:cs="仿宋_GB2312"/>
          <w:b/>
          <w:color w:val="auto"/>
          <w:kern w:val="0"/>
          <w:sz w:val="32"/>
          <w:szCs w:val="32"/>
          <w:highlight w:val="none"/>
          <w:u w:val="single"/>
        </w:rPr>
        <w:t>）</w:t>
      </w:r>
      <w:r>
        <w:rPr>
          <w:rFonts w:hint="eastAsia" w:ascii="仿宋_GB2312" w:hAnsi="仿宋_GB2312" w:eastAsia="仿宋_GB2312" w:cs="仿宋_GB2312"/>
          <w:bCs/>
          <w:color w:val="auto"/>
          <w:kern w:val="0"/>
          <w:sz w:val="32"/>
          <w:szCs w:val="32"/>
          <w:highlight w:val="none"/>
        </w:rPr>
        <w:t>方式进行资格审查，资格评审标准详见本招标公告附件一资格审查办法。</w:t>
      </w:r>
    </w:p>
    <w:p w14:paraId="564E2DD6">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七、评标办法</w:t>
      </w:r>
    </w:p>
    <w:p w14:paraId="2405A9C2">
      <w:pPr>
        <w:keepNext w:val="0"/>
        <w:keepLines w:val="0"/>
        <w:pageBreakBefore w:val="0"/>
        <w:widowControl/>
        <w:kinsoku/>
        <w:wordWrap/>
        <w:overflowPunct/>
        <w:topLinePunct w:val="0"/>
        <w:bidi w:val="0"/>
        <w:spacing w:line="560" w:lineRule="exact"/>
        <w:ind w:left="0" w:leftChars="0" w:right="0" w:rightChars="0" w:firstLine="640" w:firstLineChars="200"/>
        <w:jc w:val="left"/>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本次招标采用</w:t>
      </w:r>
      <w:r>
        <w:rPr>
          <w:rFonts w:hint="eastAsia" w:ascii="仿宋_GB2312" w:hAnsi="仿宋_GB2312" w:eastAsia="仿宋_GB2312" w:cs="仿宋_GB2312"/>
          <w:color w:val="auto"/>
          <w:sz w:val="32"/>
          <w:szCs w:val="32"/>
          <w:highlight w:val="none"/>
          <w:u w:val="single"/>
        </w:rPr>
        <w:t xml:space="preserve">  □综合评估法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rPr>
        <w:t xml:space="preserve">合理低价法  </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经评审的最低投标价法</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bCs/>
          <w:color w:val="auto"/>
          <w:kern w:val="0"/>
          <w:sz w:val="32"/>
          <w:szCs w:val="32"/>
          <w:highlight w:val="none"/>
        </w:rPr>
        <w:t xml:space="preserve">评标标准和方法详见本招标公告附件二。 </w:t>
      </w:r>
    </w:p>
    <w:p w14:paraId="5D4AF001">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八、发布公告的媒介</w:t>
      </w:r>
    </w:p>
    <w:p w14:paraId="42EF3D17">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r>
        <w:rPr>
          <w:rFonts w:hint="eastAsia" w:ascii="仿宋_GB2312" w:hAnsi="仿宋_GB2312" w:eastAsia="仿宋_GB2312" w:cs="仿宋_GB2312"/>
          <w:bCs/>
          <w:color w:val="auto"/>
          <w:sz w:val="32"/>
          <w:szCs w:val="32"/>
          <w:highlight w:val="none"/>
          <w:lang w:bidi="ar"/>
        </w:rPr>
        <w:t>本次招标公告同时在常州高新区管委会</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新北区人民政府</w:t>
      </w:r>
      <w:r>
        <w:rPr>
          <w:rFonts w:hint="eastAsia" w:ascii="仿宋_GB2312" w:hAnsi="仿宋_GB2312" w:eastAsia="仿宋_GB2312" w:cs="仿宋_GB2312"/>
          <w:bCs/>
          <w:color w:val="auto"/>
          <w:sz w:val="32"/>
          <w:szCs w:val="32"/>
          <w:highlight w:val="none"/>
          <w:lang w:eastAsia="zh-CN" w:bidi="ar"/>
        </w:rPr>
        <w:t>）</w:t>
      </w:r>
      <w:r>
        <w:rPr>
          <w:rFonts w:hint="eastAsia" w:ascii="仿宋_GB2312" w:hAnsi="仿宋_GB2312" w:eastAsia="仿宋_GB2312" w:cs="仿宋_GB2312"/>
          <w:bCs/>
          <w:color w:val="auto"/>
          <w:sz w:val="32"/>
          <w:szCs w:val="32"/>
          <w:highlight w:val="none"/>
          <w:lang w:bidi="ar"/>
        </w:rPr>
        <w:t>网站、E交易平台网站、江苏城建校工程咨询网上发布。</w:t>
      </w:r>
    </w:p>
    <w:p w14:paraId="24EC6271">
      <w:pPr>
        <w:keepNext w:val="0"/>
        <w:keepLines w:val="0"/>
        <w:pageBreakBefore w:val="0"/>
        <w:kinsoku/>
        <w:wordWrap/>
        <w:overflowPunct/>
        <w:topLinePunct w:val="0"/>
        <w:bidi w:val="0"/>
        <w:spacing w:line="560" w:lineRule="exact"/>
        <w:ind w:left="0" w:leftChars="0" w:right="0" w:rightChars="0" w:firstLine="640" w:firstLineChars="200"/>
        <w:rPr>
          <w:rFonts w:ascii="宋体" w:hAnsi="宋体" w:cs="宋体"/>
          <w:color w:val="auto"/>
          <w:kern w:val="0"/>
          <w:sz w:val="24"/>
          <w:highlight w:val="none"/>
        </w:rPr>
      </w:pPr>
      <w:r>
        <w:rPr>
          <w:rFonts w:hint="eastAsia" w:ascii="黑体" w:hAnsi="宋体" w:eastAsia="黑体" w:cs="黑体"/>
          <w:bCs/>
          <w:color w:val="auto"/>
          <w:sz w:val="32"/>
          <w:szCs w:val="32"/>
          <w:highlight w:val="none"/>
          <w:lang w:bidi="ar"/>
        </w:rPr>
        <w:t xml:space="preserve">九、联系方式 </w:t>
      </w:r>
      <w:r>
        <w:rPr>
          <w:rFonts w:hint="eastAsia" w:ascii="宋体" w:hAnsi="宋体" w:cs="宋体"/>
          <w:color w:val="auto"/>
          <w:kern w:val="0"/>
          <w:sz w:val="24"/>
          <w:highlight w:val="none"/>
        </w:rPr>
        <w:t xml:space="preserve">                      </w:t>
      </w:r>
    </w:p>
    <w:tbl>
      <w:tblPr>
        <w:tblStyle w:val="10"/>
        <w:tblW w:w="10031" w:type="dxa"/>
        <w:tblInd w:w="0" w:type="dxa"/>
        <w:tblLayout w:type="autofit"/>
        <w:tblCellMar>
          <w:top w:w="0" w:type="dxa"/>
          <w:left w:w="108" w:type="dxa"/>
          <w:bottom w:w="0" w:type="dxa"/>
          <w:right w:w="108" w:type="dxa"/>
        </w:tblCellMar>
      </w:tblPr>
      <w:tblGrid>
        <w:gridCol w:w="4558"/>
        <w:gridCol w:w="5473"/>
      </w:tblGrid>
      <w:tr w14:paraId="286D51F0">
        <w:tblPrEx>
          <w:tblCellMar>
            <w:top w:w="0" w:type="dxa"/>
            <w:left w:w="108" w:type="dxa"/>
            <w:bottom w:w="0" w:type="dxa"/>
            <w:right w:w="108" w:type="dxa"/>
          </w:tblCellMar>
        </w:tblPrEx>
        <w:trPr>
          <w:trHeight w:val="454" w:hRule="atLeast"/>
        </w:trPr>
        <w:tc>
          <w:tcPr>
            <w:tcW w:w="4558" w:type="dxa"/>
            <w:noWrap w:val="0"/>
            <w:vAlign w:val="top"/>
          </w:tcPr>
          <w:p w14:paraId="7FB8A1B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招标人：</w:t>
            </w:r>
            <w:r>
              <w:rPr>
                <w:rFonts w:hint="eastAsia" w:ascii="仿宋_GB2312" w:hAnsi="仿宋_GB2312" w:eastAsia="仿宋_GB2312" w:cs="仿宋_GB2312"/>
                <w:bCs/>
                <w:color w:val="auto"/>
                <w:sz w:val="32"/>
                <w:szCs w:val="32"/>
                <w:highlight w:val="none"/>
                <w:lang w:eastAsia="zh-CN" w:bidi="ar"/>
              </w:rPr>
              <w:t>常州上韬科技发展有限公司</w:t>
            </w:r>
          </w:p>
        </w:tc>
        <w:tc>
          <w:tcPr>
            <w:tcW w:w="5473" w:type="dxa"/>
            <w:noWrap w:val="0"/>
            <w:vAlign w:val="top"/>
          </w:tcPr>
          <w:p w14:paraId="2C805F6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招标代理机构：</w:t>
            </w:r>
            <w:r>
              <w:rPr>
                <w:rFonts w:hint="eastAsia" w:ascii="仿宋_GB2312" w:hAnsi="仿宋_GB2312" w:eastAsia="仿宋_GB2312" w:cs="仿宋_GB2312"/>
                <w:bCs/>
                <w:color w:val="auto"/>
                <w:sz w:val="32"/>
                <w:szCs w:val="32"/>
                <w:highlight w:val="none"/>
                <w:lang w:eastAsia="zh-CN" w:bidi="ar"/>
              </w:rPr>
              <w:t>江苏城建校工程咨询有限公司</w:t>
            </w:r>
          </w:p>
        </w:tc>
      </w:tr>
      <w:tr w14:paraId="2CA2EADD">
        <w:tblPrEx>
          <w:tblCellMar>
            <w:top w:w="0" w:type="dxa"/>
            <w:left w:w="108" w:type="dxa"/>
            <w:bottom w:w="0" w:type="dxa"/>
            <w:right w:w="108" w:type="dxa"/>
          </w:tblCellMar>
        </w:tblPrEx>
        <w:trPr>
          <w:trHeight w:val="454" w:hRule="atLeast"/>
        </w:trPr>
        <w:tc>
          <w:tcPr>
            <w:tcW w:w="4558" w:type="dxa"/>
            <w:noWrap w:val="0"/>
            <w:vAlign w:val="top"/>
          </w:tcPr>
          <w:p w14:paraId="3D3658E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w:t>
            </w:r>
            <w:r>
              <w:rPr>
                <w:rFonts w:hint="eastAsia" w:ascii="仿宋_GB2312" w:hAnsi="仿宋_GB2312" w:eastAsia="仿宋_GB2312" w:cs="仿宋_GB2312"/>
                <w:bCs/>
                <w:color w:val="auto"/>
                <w:sz w:val="32"/>
                <w:szCs w:val="32"/>
                <w:highlight w:val="none"/>
                <w:lang w:eastAsia="zh-CN" w:bidi="ar"/>
              </w:rPr>
              <w:t>常州市新北区东海路202号</w:t>
            </w:r>
          </w:p>
        </w:tc>
        <w:tc>
          <w:tcPr>
            <w:tcW w:w="5473" w:type="dxa"/>
            <w:noWrap w:val="0"/>
            <w:vAlign w:val="top"/>
          </w:tcPr>
          <w:p w14:paraId="519885DF">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地址：常州市清潭路85-2号302室</w:t>
            </w:r>
          </w:p>
        </w:tc>
      </w:tr>
      <w:tr w14:paraId="4C431DAB">
        <w:tblPrEx>
          <w:tblCellMar>
            <w:top w:w="0" w:type="dxa"/>
            <w:left w:w="108" w:type="dxa"/>
            <w:bottom w:w="0" w:type="dxa"/>
            <w:right w:w="108" w:type="dxa"/>
          </w:tblCellMar>
        </w:tblPrEx>
        <w:trPr>
          <w:trHeight w:val="467" w:hRule="atLeast"/>
        </w:trPr>
        <w:tc>
          <w:tcPr>
            <w:tcW w:w="4558" w:type="dxa"/>
            <w:noWrap w:val="0"/>
            <w:vAlign w:val="top"/>
          </w:tcPr>
          <w:p w14:paraId="716113D1">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w:t>
            </w:r>
            <w:r>
              <w:rPr>
                <w:rFonts w:hint="eastAsia" w:ascii="仿宋_GB2312" w:hAnsi="仿宋_GB2312" w:eastAsia="仿宋_GB2312" w:cs="仿宋_GB2312"/>
                <w:bCs/>
                <w:color w:val="auto"/>
                <w:sz w:val="32"/>
                <w:szCs w:val="32"/>
                <w:highlight w:val="none"/>
                <w:lang w:eastAsia="zh-CN" w:bidi="ar"/>
              </w:rPr>
              <w:t>顾女士</w:t>
            </w:r>
          </w:p>
        </w:tc>
        <w:tc>
          <w:tcPr>
            <w:tcW w:w="5473" w:type="dxa"/>
            <w:noWrap w:val="0"/>
            <w:vAlign w:val="top"/>
          </w:tcPr>
          <w:p w14:paraId="3ABC14E6">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联系人：薛工</w:t>
            </w:r>
          </w:p>
        </w:tc>
      </w:tr>
      <w:tr w14:paraId="446F4779">
        <w:tblPrEx>
          <w:tblCellMar>
            <w:top w:w="0" w:type="dxa"/>
            <w:left w:w="108" w:type="dxa"/>
            <w:bottom w:w="0" w:type="dxa"/>
            <w:right w:w="108" w:type="dxa"/>
          </w:tblCellMar>
        </w:tblPrEx>
        <w:trPr>
          <w:trHeight w:val="454" w:hRule="atLeast"/>
        </w:trPr>
        <w:tc>
          <w:tcPr>
            <w:tcW w:w="4558" w:type="dxa"/>
            <w:noWrap w:val="0"/>
            <w:vAlign w:val="top"/>
          </w:tcPr>
          <w:p w14:paraId="1D7D5B40">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eastAsia="zh-CN" w:bidi="ar"/>
              </w:rPr>
              <w:t>0519-85582503</w:t>
            </w:r>
          </w:p>
        </w:tc>
        <w:tc>
          <w:tcPr>
            <w:tcW w:w="5473" w:type="dxa"/>
            <w:noWrap w:val="0"/>
            <w:vAlign w:val="top"/>
          </w:tcPr>
          <w:p w14:paraId="525FE5A2">
            <w:pPr>
              <w:keepNext w:val="0"/>
              <w:keepLines w:val="0"/>
              <w:pageBreakBefore w:val="0"/>
              <w:widowControl w:val="0"/>
              <w:kinsoku/>
              <w:wordWrap/>
              <w:overflowPunct/>
              <w:topLinePunct w:val="0"/>
              <w:autoSpaceDE w:val="0"/>
              <w:autoSpaceDN/>
              <w:bidi w:val="0"/>
              <w:spacing w:line="560" w:lineRule="exact"/>
              <w:ind w:right="0" w:rightChars="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bidi="ar"/>
              </w:rPr>
              <w:t>电话：</w:t>
            </w:r>
            <w:r>
              <w:rPr>
                <w:rFonts w:hint="eastAsia" w:ascii="仿宋_GB2312" w:hAnsi="仿宋_GB2312" w:eastAsia="仿宋_GB2312" w:cs="仿宋_GB2312"/>
                <w:bCs/>
                <w:color w:val="auto"/>
                <w:sz w:val="32"/>
                <w:szCs w:val="32"/>
                <w:highlight w:val="none"/>
                <w:lang w:val="zh-CN" w:bidi="ar"/>
              </w:rPr>
              <w:t>0519-86908235-8</w:t>
            </w:r>
            <w:r>
              <w:rPr>
                <w:rFonts w:hint="eastAsia" w:ascii="仿宋_GB2312" w:hAnsi="仿宋_GB2312" w:eastAsia="仿宋_GB2312" w:cs="仿宋_GB2312"/>
                <w:bCs/>
                <w:color w:val="auto"/>
                <w:sz w:val="32"/>
                <w:szCs w:val="32"/>
                <w:highlight w:val="none"/>
                <w:lang w:bidi="ar"/>
              </w:rPr>
              <w:t>302</w:t>
            </w:r>
          </w:p>
        </w:tc>
      </w:tr>
    </w:tbl>
    <w:p w14:paraId="75076962">
      <w:pPr>
        <w:keepNext w:val="0"/>
        <w:keepLines w:val="0"/>
        <w:pageBreakBefore w:val="0"/>
        <w:kinsoku/>
        <w:wordWrap/>
        <w:overflowPunct/>
        <w:topLinePunct w:val="0"/>
        <w:bidi w:val="0"/>
        <w:spacing w:line="560" w:lineRule="exact"/>
        <w:ind w:left="0" w:leftChars="0" w:right="0" w:rightChars="0" w:firstLine="562" w:firstLineChars="200"/>
        <w:rPr>
          <w:rFonts w:ascii="宋体" w:hAnsi="宋体" w:cs="Arial"/>
          <w:b/>
          <w:bCs/>
          <w:color w:val="auto"/>
          <w:kern w:val="0"/>
          <w:sz w:val="28"/>
          <w:szCs w:val="28"/>
          <w:highlight w:val="none"/>
        </w:rPr>
      </w:pPr>
    </w:p>
    <w:p w14:paraId="326BA725">
      <w:pPr>
        <w:keepNext w:val="0"/>
        <w:keepLines w:val="0"/>
        <w:pageBreakBefore w:val="0"/>
        <w:widowControl w:val="0"/>
        <w:kinsoku/>
        <w:wordWrap/>
        <w:overflowPunct/>
        <w:topLinePunct w:val="0"/>
        <w:autoSpaceDE w:val="0"/>
        <w:autoSpaceDN/>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bookmarkStart w:id="0" w:name="_Toc389065130"/>
      <w:bookmarkStart w:id="1" w:name="_Toc522797139"/>
      <w:bookmarkStart w:id="2" w:name="_Toc32718"/>
      <w:r>
        <w:rPr>
          <w:rFonts w:hint="eastAsia" w:ascii="仿宋_GB2312" w:hAnsi="仿宋_GB2312" w:eastAsia="仿宋_GB2312" w:cs="仿宋_GB2312"/>
          <w:bCs/>
          <w:color w:val="auto"/>
          <w:sz w:val="32"/>
          <w:szCs w:val="32"/>
          <w:highlight w:val="none"/>
          <w:lang w:eastAsia="zh-CN" w:bidi="ar"/>
        </w:rPr>
        <w:t>友情提醒：</w:t>
      </w:r>
    </w:p>
    <w:bookmarkEnd w:id="0"/>
    <w:bookmarkEnd w:id="1"/>
    <w:bookmarkEnd w:id="2"/>
    <w:p w14:paraId="3D2B3B1B">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1．信息公布、招投标答疑:常州国家高新区管委会（新北区人民政府）网、</w:t>
      </w:r>
      <w:r>
        <w:rPr>
          <w:rFonts w:hint="eastAsia" w:ascii="仿宋_GB2312" w:hAnsi="仿宋_GB2312" w:eastAsia="仿宋_GB2312" w:cs="仿宋_GB2312"/>
          <w:bCs/>
          <w:color w:val="auto"/>
          <w:sz w:val="32"/>
          <w:szCs w:val="32"/>
          <w:highlight w:val="none"/>
          <w:lang w:bidi="ar"/>
        </w:rPr>
        <w:t>江苏城建校工程咨询网</w:t>
      </w:r>
      <w:r>
        <w:rPr>
          <w:rFonts w:hint="eastAsia" w:ascii="仿宋_GB2312" w:hAnsi="仿宋_GB2312" w:eastAsia="仿宋_GB2312" w:cs="仿宋_GB2312"/>
          <w:bCs/>
          <w:color w:val="auto"/>
          <w:sz w:val="32"/>
          <w:szCs w:val="32"/>
          <w:highlight w:val="none"/>
          <w:lang w:eastAsia="zh-CN" w:bidi="ar"/>
        </w:rPr>
        <w:t>、E交易网。</w:t>
      </w:r>
    </w:p>
    <w:p w14:paraId="6415661A">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２．投标人可在本公告发布网页的后续公告栏内查阅本次招投标的“公告发布、招标文件答疑澄清”等全部相关消息，因未能及时了解相关最新信息所引起的投标失误责任自负。</w:t>
      </w:r>
    </w:p>
    <w:p w14:paraId="0FD9F7CE">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eastAsia="zh-CN" w:bidi="ar"/>
        </w:rPr>
      </w:pPr>
      <w:r>
        <w:rPr>
          <w:rFonts w:hint="eastAsia" w:ascii="仿宋_GB2312" w:hAnsi="仿宋_GB2312" w:eastAsia="仿宋_GB2312" w:cs="仿宋_GB2312"/>
          <w:bCs/>
          <w:color w:val="auto"/>
          <w:sz w:val="32"/>
          <w:szCs w:val="32"/>
          <w:highlight w:val="none"/>
          <w:lang w:eastAsia="zh-CN" w:bidi="ar"/>
        </w:rPr>
        <w:t>３．投标人对招标公告及文件如有异议请联系招标人或招标代理机构。</w:t>
      </w:r>
    </w:p>
    <w:p w14:paraId="7301529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01F14C7">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1</w:t>
      </w:r>
    </w:p>
    <w:p w14:paraId="6434F739">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资格审查办法（资格后审）</w:t>
      </w:r>
    </w:p>
    <w:p w14:paraId="2D22D6A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一、本工程由招标人委托的评标委员会采用</w:t>
      </w:r>
      <w:r>
        <w:rPr>
          <w:rFonts w:hint="eastAsia" w:ascii="黑体" w:hAnsi="宋体" w:eastAsia="黑体" w:cs="黑体"/>
          <w:bCs/>
          <w:color w:val="auto"/>
          <w:sz w:val="32"/>
          <w:szCs w:val="32"/>
          <w:highlight w:val="none"/>
          <w:u w:val="single"/>
          <w:lang w:bidi="ar"/>
        </w:rPr>
        <w:t xml:space="preserve"> 资格后审 </w:t>
      </w:r>
      <w:r>
        <w:rPr>
          <w:rFonts w:hint="eastAsia" w:ascii="黑体" w:hAnsi="宋体" w:eastAsia="黑体" w:cs="黑体"/>
          <w:bCs/>
          <w:color w:val="auto"/>
          <w:sz w:val="32"/>
          <w:szCs w:val="32"/>
          <w:highlight w:val="none"/>
          <w:lang w:bidi="ar"/>
        </w:rPr>
        <w:t>对投标人进行资格审查。</w:t>
      </w:r>
      <w:r>
        <w:rPr>
          <w:rFonts w:hint="eastAsia" w:ascii="仿宋_GB2312" w:hAnsi="仿宋_GB2312" w:eastAsia="仿宋_GB2312" w:cs="仿宋_GB2312"/>
          <w:color w:val="auto"/>
          <w:sz w:val="32"/>
          <w:szCs w:val="32"/>
          <w:highlight w:val="none"/>
        </w:rPr>
        <w:t xml:space="preserve"> </w:t>
      </w:r>
    </w:p>
    <w:p w14:paraId="0D1B3C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bidi="ar"/>
        </w:rPr>
        <w:t>二、本工程资审合格条件：</w:t>
      </w:r>
      <w:r>
        <w:rPr>
          <w:rFonts w:hint="eastAsia" w:ascii="仿宋_GB2312" w:hAnsi="仿宋_GB2312" w:eastAsia="仿宋_GB2312" w:cs="仿宋_GB2312"/>
          <w:color w:val="auto"/>
          <w:sz w:val="32"/>
          <w:szCs w:val="32"/>
          <w:highlight w:val="none"/>
        </w:rPr>
        <w:t xml:space="preserve"> </w:t>
      </w:r>
    </w:p>
    <w:p w14:paraId="13F5B6E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1．具有独立签订合同的能力； </w:t>
      </w:r>
    </w:p>
    <w:p w14:paraId="0FE5ED9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2．未处于被责令停业、投标资格被取消状态； </w:t>
      </w:r>
    </w:p>
    <w:p w14:paraId="5AFC770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3．企业没有因骗取中标或者严重违约以及发生重大工程质量、安全生产事故等违法违规问题，被有关部门暂停投标资格并在暂停期内的；</w:t>
      </w:r>
    </w:p>
    <w:p w14:paraId="3AA2824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4．投标文件中的资格审查资料没有失真或者弄虚作假；</w:t>
      </w:r>
    </w:p>
    <w:p w14:paraId="26E9921A">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5．企业的资质类别、等级和项目负责人注册专业、资格等级符合国家有关规定；</w:t>
      </w:r>
    </w:p>
    <w:p w14:paraId="10CF02CD">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6．投标项目负责人必须为投标企业的正式在职职工，具备建设工程质量检测人员岗位合格证；</w:t>
      </w:r>
    </w:p>
    <w:p w14:paraId="1FAE111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7．外地检测单位须办理备案登记手续，提供“常州市《外地进常检测单位信用管理登记表》”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rPr>
        <w:t xml:space="preserve"> </w:t>
      </w:r>
    </w:p>
    <w:p w14:paraId="2B36D78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．本次招标</w:t>
      </w:r>
      <w:r>
        <w:rPr>
          <w:rFonts w:hint="eastAsia" w:ascii="仿宋_GB2312" w:hAnsi="仿宋_GB2312" w:eastAsia="仿宋_GB2312" w:cs="仿宋_GB2312"/>
          <w:b/>
          <w:bCs/>
          <w:color w:val="auto"/>
          <w:sz w:val="32"/>
          <w:szCs w:val="32"/>
          <w:highlight w:val="none"/>
          <w:u w:val="single"/>
        </w:rPr>
        <w:t>不接受（</w:t>
      </w:r>
      <w:r>
        <w:rPr>
          <w:rFonts w:hint="eastAsia" w:ascii="仿宋_GB2312" w:hAnsi="仿宋_GB2312" w:eastAsia="仿宋_GB2312" w:cs="仿宋_GB2312"/>
          <w:color w:val="auto"/>
          <w:sz w:val="32"/>
          <w:szCs w:val="32"/>
          <w:highlight w:val="none"/>
        </w:rPr>
        <w:t>接受/不接受）联合体投标</w:t>
      </w:r>
      <w:r>
        <w:rPr>
          <w:rFonts w:hint="eastAsia" w:ascii="仿宋_GB2312" w:hAnsi="仿宋_GB2312" w:eastAsia="仿宋_GB2312" w:cs="仿宋_GB2312"/>
          <w:color w:val="auto"/>
          <w:sz w:val="32"/>
          <w:szCs w:val="32"/>
          <w:highlight w:val="none"/>
          <w:lang w:eastAsia="zh-CN"/>
        </w:rPr>
        <w:t>；</w:t>
      </w:r>
    </w:p>
    <w:p w14:paraId="4EB12F95">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rPr>
        <w:t xml:space="preserve">．投标人不得存在下列情形之一： </w:t>
      </w:r>
    </w:p>
    <w:p w14:paraId="6BED8A9B">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（1）为招标人不具有独立法人资格的附属机构（单位）； </w:t>
      </w:r>
    </w:p>
    <w:p w14:paraId="184AF83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（2）为本招标项目的监理人、代建人、项目管理人，以及为本招标项目提供招标代理、设计服务的； </w:t>
      </w:r>
    </w:p>
    <w:p w14:paraId="048B958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（3）与本招标项目的监理人、代建人、招标代理机构同为一个法定代表人的，或者相互控股、参股的； </w:t>
      </w:r>
    </w:p>
    <w:p w14:paraId="429B9FE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（4）与招标人存在利害关系可能影响招标公正性的； </w:t>
      </w:r>
    </w:p>
    <w:p w14:paraId="76E93D9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（5）单位负责人为同一人或者存在控股、管理关系的不同单位； </w:t>
      </w:r>
    </w:p>
    <w:p w14:paraId="472D9579">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（6）处于被责令停业、财产被接管、冻结和破产状态，以及投标资格被取消或者被暂停且在暂停期内； </w:t>
      </w:r>
    </w:p>
    <w:p w14:paraId="16BEC6C3">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（7）因拖欠工人工资或者因发生质量安全事故被有关部门限制在招标项目所在地承接工程的； </w:t>
      </w:r>
    </w:p>
    <w:p w14:paraId="16FA374F">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（8）</w:t>
      </w:r>
      <w:r>
        <w:rPr>
          <w:rFonts w:hint="eastAsia" w:ascii="仿宋_GB2312" w:hAnsi="仿宋_GB2312" w:eastAsia="仿宋_GB2312" w:cs="仿宋_GB2312"/>
          <w:color w:val="auto"/>
          <w:kern w:val="0"/>
          <w:sz w:val="32"/>
          <w:szCs w:val="32"/>
          <w:highlight w:val="none"/>
          <w:lang w:val="en-US" w:eastAsia="zh-CN"/>
        </w:rPr>
        <w:t>投标人近3年（自投标截止日期往前推算）内有行贿犯罪行为且被记录，或者法定代表人、项目负责人有行贿犯罪记录且自记录之日起未超过5年（自投标截止日期往前推算）的</w:t>
      </w:r>
      <w:r>
        <w:rPr>
          <w:rFonts w:hint="eastAsia" w:ascii="仿宋_GB2312" w:hAnsi="仿宋_GB2312" w:eastAsia="仿宋_GB2312" w:cs="仿宋_GB2312"/>
          <w:color w:val="auto"/>
          <w:kern w:val="0"/>
          <w:sz w:val="32"/>
          <w:szCs w:val="32"/>
          <w:highlight w:val="none"/>
        </w:rPr>
        <w:t>。</w:t>
      </w:r>
    </w:p>
    <w:p w14:paraId="1DE95587">
      <w:pPr>
        <w:keepNext w:val="0"/>
        <w:keepLines w:val="0"/>
        <w:pageBreakBefore w:val="0"/>
        <w:kinsoku/>
        <w:wordWrap/>
        <w:overflowPunct/>
        <w:topLinePunct w:val="0"/>
        <w:autoSpaceDE w:val="0"/>
        <w:autoSpaceDN w:val="0"/>
        <w:bidi w:val="0"/>
        <w:adjustRightInd w:val="0"/>
        <w:spacing w:line="560" w:lineRule="exact"/>
        <w:ind w:left="0" w:leftChars="0" w:right="0" w:rightChars="0"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rPr>
        <w:t>．符合法律、法规规定的其他条件。</w:t>
      </w:r>
    </w:p>
    <w:p w14:paraId="61EA3C39">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val="en-US" w:eastAsia="zh-CN" w:bidi="ar"/>
        </w:rPr>
        <w:t>三、由招标人委托的评标委员会实施对投标人的资格审查。</w:t>
      </w:r>
    </w:p>
    <w:p w14:paraId="016F9C32">
      <w:pPr>
        <w:keepNext w:val="0"/>
        <w:keepLines w:val="0"/>
        <w:pageBreakBefore w:val="0"/>
        <w:widowControl w:val="0"/>
        <w:kinsoku/>
        <w:wordWrap/>
        <w:overflowPunct/>
        <w:topLinePunct w:val="0"/>
        <w:autoSpaceDE w:val="0"/>
        <w:autoSpaceDN/>
        <w:bidi w:val="0"/>
        <w:adjustRightInd w:val="0"/>
        <w:snapToGrid w:val="0"/>
        <w:spacing w:line="560" w:lineRule="exact"/>
        <w:ind w:left="0" w:leftChars="0" w:right="0" w:rightChars="0" w:firstLine="640" w:firstLineChars="200"/>
        <w:jc w:val="left"/>
        <w:textAlignment w:val="auto"/>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t>四、资格审查提交资料：</w:t>
      </w:r>
    </w:p>
    <w:p w14:paraId="0EF72D8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投标</w:t>
      </w:r>
      <w:r>
        <w:rPr>
          <w:rFonts w:hint="eastAsia" w:ascii="仿宋_GB2312" w:hAnsi="仿宋_GB2312" w:eastAsia="仿宋_GB2312" w:cs="仿宋_GB2312"/>
          <w:color w:val="000000"/>
          <w:sz w:val="32"/>
          <w:szCs w:val="32"/>
          <w:highlight w:val="none"/>
          <w:lang w:val="en-US" w:eastAsia="zh-CN"/>
        </w:rPr>
        <w:t>项目负责人</w:t>
      </w:r>
      <w:r>
        <w:rPr>
          <w:rFonts w:hint="eastAsia" w:ascii="仿宋_GB2312" w:hAnsi="仿宋_GB2312" w:eastAsia="仿宋_GB2312" w:cs="仿宋_GB2312"/>
          <w:color w:val="000000"/>
          <w:sz w:val="32"/>
          <w:szCs w:val="32"/>
          <w:highlight w:val="none"/>
        </w:rPr>
        <w:t>建设工程质量检测人员岗位合格证；</w:t>
      </w:r>
    </w:p>
    <w:p w14:paraId="76DD5330">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企业营业执照（副本）；企业资质等级证书（副本）；</w:t>
      </w:r>
    </w:p>
    <w:p w14:paraId="009932E8">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提供投标</w:t>
      </w:r>
      <w:r>
        <w:rPr>
          <w:rFonts w:hint="eastAsia" w:ascii="仿宋_GB2312" w:hAnsi="仿宋_GB2312" w:eastAsia="仿宋_GB2312" w:cs="仿宋_GB2312"/>
          <w:color w:val="000000"/>
          <w:sz w:val="32"/>
          <w:szCs w:val="32"/>
          <w:highlight w:val="none"/>
          <w:lang w:val="en-US" w:eastAsia="zh-CN"/>
        </w:rPr>
        <w:t>项目负责人</w:t>
      </w:r>
      <w:r>
        <w:rPr>
          <w:rFonts w:hint="eastAsia" w:ascii="仿宋_GB2312" w:hAnsi="仿宋_GB2312" w:eastAsia="仿宋_GB2312" w:cs="仿宋_GB2312"/>
          <w:color w:val="000000"/>
          <w:sz w:val="32"/>
          <w:szCs w:val="32"/>
          <w:highlight w:val="none"/>
        </w:rPr>
        <w:t>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color w:val="000000"/>
          <w:sz w:val="32"/>
          <w:szCs w:val="32"/>
          <w:highlight w:val="none"/>
          <w:lang w:eastAsia="zh-CN"/>
        </w:rPr>
        <w:t>2024年1</w:t>
      </w: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月至202</w:t>
      </w:r>
      <w:r>
        <w:rPr>
          <w:rFonts w:hint="eastAsia" w:ascii="仿宋_GB2312" w:hAnsi="仿宋_GB2312" w:eastAsia="仿宋_GB2312" w:cs="仿宋_GB2312"/>
          <w:b/>
          <w:bCs/>
          <w:color w:val="000000"/>
          <w:sz w:val="32"/>
          <w:szCs w:val="32"/>
          <w:highlight w:val="none"/>
          <w:lang w:val="en-US" w:eastAsia="zh-CN"/>
        </w:rPr>
        <w:t>5</w:t>
      </w:r>
      <w:r>
        <w:rPr>
          <w:rFonts w:hint="eastAsia" w:ascii="仿宋_GB2312" w:hAnsi="仿宋_GB2312" w:eastAsia="仿宋_GB2312" w:cs="仿宋_GB2312"/>
          <w:b/>
          <w:bCs/>
          <w:color w:val="000000"/>
          <w:sz w:val="32"/>
          <w:szCs w:val="32"/>
          <w:highlight w:val="none"/>
          <w:lang w:eastAsia="zh-CN"/>
        </w:rPr>
        <w:t>年</w:t>
      </w: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月</w:t>
      </w:r>
      <w:r>
        <w:rPr>
          <w:rFonts w:hint="eastAsia" w:ascii="仿宋_GB2312" w:hAnsi="仿宋_GB2312" w:eastAsia="仿宋_GB2312" w:cs="仿宋_GB2312"/>
          <w:color w:val="000000"/>
          <w:sz w:val="32"/>
          <w:szCs w:val="32"/>
          <w:highlight w:val="none"/>
        </w:rPr>
        <w:t>连续三个月</w:t>
      </w:r>
      <w:r>
        <w:rPr>
          <w:rFonts w:hint="eastAsia" w:ascii="仿宋_GB2312" w:hAnsi="仿宋_GB2312" w:eastAsia="仿宋_GB2312" w:cs="仿宋_GB2312"/>
          <w:b/>
          <w:bCs/>
          <w:color w:val="000000"/>
          <w:sz w:val="32"/>
          <w:szCs w:val="32"/>
          <w:highlight w:val="none"/>
        </w:rPr>
        <w:t>（如为退休返聘人员须提供退休证明及返聘合同）</w:t>
      </w:r>
      <w:r>
        <w:rPr>
          <w:rFonts w:hint="eastAsia" w:ascii="仿宋_GB2312" w:hAnsi="仿宋_GB2312" w:eastAsia="仿宋_GB2312" w:cs="仿宋_GB2312"/>
          <w:color w:val="000000"/>
          <w:sz w:val="32"/>
          <w:szCs w:val="32"/>
          <w:highlight w:val="none"/>
        </w:rPr>
        <w:t>。</w:t>
      </w:r>
    </w:p>
    <w:p w14:paraId="0152CE57">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color w:val="000000"/>
          <w:sz w:val="32"/>
          <w:szCs w:val="32"/>
          <w:highlight w:val="none"/>
          <w:lang w:eastAsia="zh-CN"/>
        </w:rPr>
        <w:t>2024年1</w:t>
      </w: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月至202</w:t>
      </w:r>
      <w:r>
        <w:rPr>
          <w:rFonts w:hint="eastAsia" w:ascii="仿宋_GB2312" w:hAnsi="仿宋_GB2312" w:eastAsia="仿宋_GB2312" w:cs="仿宋_GB2312"/>
          <w:b/>
          <w:bCs/>
          <w:color w:val="000000"/>
          <w:sz w:val="32"/>
          <w:szCs w:val="32"/>
          <w:highlight w:val="none"/>
          <w:lang w:val="en-US" w:eastAsia="zh-CN"/>
        </w:rPr>
        <w:t>5</w:t>
      </w:r>
      <w:r>
        <w:rPr>
          <w:rFonts w:hint="eastAsia" w:ascii="仿宋_GB2312" w:hAnsi="仿宋_GB2312" w:eastAsia="仿宋_GB2312" w:cs="仿宋_GB2312"/>
          <w:b/>
          <w:bCs/>
          <w:color w:val="000000"/>
          <w:sz w:val="32"/>
          <w:szCs w:val="32"/>
          <w:highlight w:val="none"/>
          <w:lang w:eastAsia="zh-CN"/>
        </w:rPr>
        <w:t>年</w:t>
      </w:r>
      <w:r>
        <w:rPr>
          <w:rFonts w:hint="eastAsia" w:ascii="仿宋_GB2312" w:hAnsi="仿宋_GB2312" w:eastAsia="仿宋_GB2312" w:cs="仿宋_GB2312"/>
          <w:b/>
          <w:bCs/>
          <w:color w:val="000000"/>
          <w:sz w:val="32"/>
          <w:szCs w:val="32"/>
          <w:highlight w:val="none"/>
          <w:lang w:val="en-US" w:eastAsia="zh-CN"/>
        </w:rPr>
        <w:t>1</w:t>
      </w:r>
      <w:r>
        <w:rPr>
          <w:rFonts w:hint="eastAsia" w:ascii="仿宋_GB2312" w:hAnsi="仿宋_GB2312" w:eastAsia="仿宋_GB2312" w:cs="仿宋_GB2312"/>
          <w:b/>
          <w:bCs/>
          <w:color w:val="000000"/>
          <w:sz w:val="32"/>
          <w:szCs w:val="32"/>
          <w:highlight w:val="none"/>
          <w:lang w:eastAsia="zh-CN"/>
        </w:rPr>
        <w:t>月</w:t>
      </w:r>
      <w:r>
        <w:rPr>
          <w:rFonts w:hint="eastAsia" w:ascii="仿宋_GB2312" w:hAnsi="仿宋_GB2312" w:eastAsia="仿宋_GB2312" w:cs="仿宋_GB2312"/>
          <w:color w:val="000000"/>
          <w:sz w:val="32"/>
          <w:szCs w:val="32"/>
          <w:highlight w:val="none"/>
        </w:rPr>
        <w:t>连续三个月</w:t>
      </w:r>
      <w:r>
        <w:rPr>
          <w:rFonts w:hint="eastAsia" w:ascii="仿宋_GB2312" w:hAnsi="仿宋_GB2312" w:eastAsia="仿宋_GB2312" w:cs="仿宋_GB2312"/>
          <w:b/>
          <w:bCs/>
          <w:color w:val="000000"/>
          <w:sz w:val="32"/>
          <w:szCs w:val="32"/>
          <w:highlight w:val="none"/>
        </w:rPr>
        <w:t>（如为退休返聘人员须提供退休证明及返聘合同）</w:t>
      </w:r>
      <w:r>
        <w:rPr>
          <w:rFonts w:hint="eastAsia" w:ascii="仿宋_GB2312" w:hAnsi="仿宋_GB2312" w:eastAsia="仿宋_GB2312" w:cs="仿宋_GB2312"/>
          <w:color w:val="000000"/>
          <w:sz w:val="32"/>
          <w:szCs w:val="32"/>
          <w:highlight w:val="none"/>
        </w:rPr>
        <w:t>。</w:t>
      </w:r>
    </w:p>
    <w:p w14:paraId="62A9F432">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授权委托人本人第二代居民身份证。</w:t>
      </w:r>
    </w:p>
    <w:p w14:paraId="16E2ADDA">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投标人的法定代表人或被委托人必须携带法定代表人资格书（加盖公章、格式详见</w:t>
      </w:r>
      <w:r>
        <w:rPr>
          <w:rFonts w:hint="eastAsia" w:ascii="仿宋_GB2312" w:hAnsi="仿宋_GB2312" w:eastAsia="仿宋_GB2312" w:cs="仿宋_GB2312"/>
          <w:color w:val="000000"/>
          <w:sz w:val="32"/>
          <w:szCs w:val="32"/>
          <w:highlight w:val="none"/>
          <w:lang w:eastAsia="zh-CN"/>
        </w:rPr>
        <w:t>附件三</w:t>
      </w:r>
      <w:r>
        <w:rPr>
          <w:rFonts w:hint="eastAsia" w:ascii="仿宋_GB2312" w:hAnsi="仿宋_GB2312" w:eastAsia="仿宋_GB2312" w:cs="仿宋_GB2312"/>
          <w:color w:val="000000"/>
          <w:sz w:val="32"/>
          <w:szCs w:val="32"/>
          <w:highlight w:val="none"/>
        </w:rPr>
        <w:t>）、法定代表人授权委托书（加盖公章、法人签章、格式详见</w:t>
      </w:r>
      <w:r>
        <w:rPr>
          <w:rFonts w:hint="eastAsia" w:ascii="仿宋_GB2312" w:hAnsi="仿宋_GB2312" w:eastAsia="仿宋_GB2312" w:cs="仿宋_GB2312"/>
          <w:color w:val="000000"/>
          <w:sz w:val="32"/>
          <w:szCs w:val="32"/>
          <w:highlight w:val="none"/>
          <w:lang w:eastAsia="zh-CN"/>
        </w:rPr>
        <w:t>附件三</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w:t>
      </w:r>
    </w:p>
    <w:p w14:paraId="3F1679F9">
      <w:pPr>
        <w:pStyle w:val="2"/>
        <w:keepNext w:val="0"/>
        <w:keepLines w:val="0"/>
        <w:pageBreakBefore w:val="0"/>
        <w:kinsoku/>
        <w:wordWrap/>
        <w:overflowPunct/>
        <w:topLinePunct w:val="0"/>
        <w:bidi w:val="0"/>
        <w:spacing w:after="0" w:line="560" w:lineRule="exact"/>
        <w:ind w:left="0" w:leftChars="0" w:right="0" w:rightChars="0"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4.7投标保证金缴款回单。</w:t>
      </w:r>
    </w:p>
    <w:p w14:paraId="681A59F1">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eastAsia="zh-CN"/>
        </w:rPr>
        <w:t>投标人信用承诺书</w:t>
      </w:r>
      <w:r>
        <w:rPr>
          <w:rFonts w:hint="eastAsia" w:ascii="仿宋_GB2312" w:hAnsi="仿宋_GB2312" w:eastAsia="仿宋_GB2312" w:cs="仿宋_GB2312"/>
          <w:color w:val="000000"/>
          <w:sz w:val="32"/>
          <w:szCs w:val="32"/>
          <w:highlight w:val="none"/>
        </w:rPr>
        <w:t>（详见</w:t>
      </w:r>
      <w:r>
        <w:rPr>
          <w:rFonts w:hint="eastAsia" w:ascii="仿宋_GB2312" w:hAnsi="仿宋_GB2312" w:eastAsia="仿宋_GB2312" w:cs="仿宋_GB2312"/>
          <w:color w:val="000000"/>
          <w:sz w:val="32"/>
          <w:szCs w:val="32"/>
          <w:highlight w:val="none"/>
          <w:lang w:eastAsia="zh-CN"/>
        </w:rPr>
        <w:t>附件四</w:t>
      </w:r>
      <w:r>
        <w:rPr>
          <w:rFonts w:hint="eastAsia" w:ascii="仿宋_GB2312" w:hAnsi="仿宋_GB2312" w:eastAsia="仿宋_GB2312" w:cs="仿宋_GB2312"/>
          <w:color w:val="000000"/>
          <w:sz w:val="32"/>
          <w:szCs w:val="32"/>
          <w:highlight w:val="none"/>
        </w:rPr>
        <w:t>）。</w:t>
      </w:r>
    </w:p>
    <w:p w14:paraId="047E8EEF">
      <w:pPr>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特别提醒：</w:t>
      </w:r>
    </w:p>
    <w:p w14:paraId="54965617">
      <w:pPr>
        <w:pStyle w:val="25"/>
        <w:keepNext w:val="0"/>
        <w:keepLines w:val="0"/>
        <w:pageBreakBefore w:val="0"/>
        <w:widowControl/>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6C87CE6F">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253A6071">
      <w:pPr>
        <w:keepNext w:val="0"/>
        <w:keepLines w:val="0"/>
        <w:pageBreakBefore w:val="0"/>
        <w:widowControl/>
        <w:tabs>
          <w:tab w:val="left" w:pos="8820"/>
        </w:tabs>
        <w:kinsoku/>
        <w:wordWrap/>
        <w:overflowPunct/>
        <w:topLinePunct w:val="0"/>
        <w:autoSpaceDE/>
        <w:autoSpaceDN/>
        <w:bidi w:val="0"/>
        <w:spacing w:line="560" w:lineRule="exact"/>
        <w:ind w:left="0" w:leftChars="0" w:right="0" w:rightChars="0" w:firstLine="643" w:firstLineChars="200"/>
        <w:textAlignment w:val="auto"/>
        <w:rPr>
          <w:rFonts w:hint="eastAsia" w:ascii="仿宋_GB2312" w:hAnsi="仿宋_GB2312" w:eastAsia="仿宋_GB2312" w:cs="仿宋_GB2312"/>
          <w:b/>
          <w:bCs/>
          <w:color w:val="000000"/>
          <w:kern w:val="0"/>
          <w:sz w:val="32"/>
          <w:szCs w:val="32"/>
          <w:highlight w:val="none"/>
          <w:lang w:val="en-US" w:eastAsia="zh-CN" w:bidi="ar-SA"/>
        </w:rPr>
      </w:pPr>
      <w:r>
        <w:rPr>
          <w:rFonts w:hint="eastAsia" w:ascii="仿宋_GB2312" w:hAnsi="仿宋_GB2312" w:eastAsia="仿宋_GB2312" w:cs="仿宋_GB2312"/>
          <w:b/>
          <w:bCs/>
          <w:color w:val="000000"/>
          <w:kern w:val="0"/>
          <w:sz w:val="32"/>
          <w:szCs w:val="32"/>
          <w:highlight w:val="none"/>
          <w:lang w:val="en-US" w:eastAsia="zh-CN" w:bidi="ar-SA"/>
        </w:rPr>
        <w:t xml:space="preserve">③在规定时间内未能按上述要求提供以上资料的作资审不合格处理。 </w:t>
      </w:r>
    </w:p>
    <w:p w14:paraId="18B82735">
      <w:pPr>
        <w:keepNext w:val="0"/>
        <w:keepLines w:val="0"/>
        <w:pageBreakBefore w:val="0"/>
        <w:numPr>
          <w:ilvl w:val="0"/>
          <w:numId w:val="0"/>
        </w:numPr>
        <w:kinsoku/>
        <w:wordWrap/>
        <w:overflowPunct/>
        <w:topLinePunct w:val="0"/>
        <w:bidi w:val="0"/>
        <w:adjustRightInd w:val="0"/>
        <w:spacing w:line="560" w:lineRule="exact"/>
        <w:ind w:left="0" w:leftChars="0" w:right="0" w:rightChars="0" w:firstLine="640" w:firstLineChars="200"/>
        <w:jc w:val="left"/>
        <w:textAlignment w:val="baseline"/>
        <w:rPr>
          <w:rFonts w:hint="eastAsia" w:ascii="仿宋_GB2312" w:hAnsi="仿宋_GB2312" w:eastAsia="仿宋_GB2312" w:cs="仿宋_GB2312"/>
          <w:color w:val="auto"/>
          <w:sz w:val="32"/>
          <w:szCs w:val="32"/>
          <w:highlight w:val="none"/>
        </w:rPr>
      </w:pPr>
      <w:r>
        <w:rPr>
          <w:rFonts w:hint="eastAsia" w:ascii="黑体" w:hAnsi="宋体" w:eastAsia="黑体" w:cs="黑体"/>
          <w:bCs/>
          <w:color w:val="auto"/>
          <w:sz w:val="32"/>
          <w:szCs w:val="32"/>
          <w:highlight w:val="none"/>
          <w:lang w:val="en-US" w:eastAsia="zh-CN" w:bidi="ar"/>
        </w:rPr>
        <w:t>五、开标（包括资格后审）时间、地点：</w:t>
      </w:r>
      <w:r>
        <w:rPr>
          <w:rFonts w:hint="eastAsia" w:ascii="仿宋_GB2312" w:hAnsi="仿宋_GB2312" w:eastAsia="仿宋_GB2312" w:cs="仿宋_GB2312"/>
          <w:color w:val="auto"/>
          <w:sz w:val="32"/>
          <w:szCs w:val="32"/>
          <w:highlight w:val="none"/>
        </w:rPr>
        <w:t>详见招标文件投标人须知。</w:t>
      </w:r>
    </w:p>
    <w:p w14:paraId="73EF53CF">
      <w:pPr>
        <w:pStyle w:val="2"/>
        <w:ind w:firstLine="640" w:firstLineChars="200"/>
        <w:rPr>
          <w:rFonts w:hint="eastAsia" w:ascii="黑体" w:hAnsi="宋体" w:eastAsia="黑体" w:cs="黑体"/>
          <w:bCs/>
          <w:color w:val="auto"/>
          <w:kern w:val="2"/>
          <w:sz w:val="32"/>
          <w:szCs w:val="32"/>
          <w:highlight w:val="none"/>
          <w:lang w:val="en-US" w:eastAsia="zh-CN" w:bidi="ar"/>
        </w:rPr>
      </w:pPr>
      <w:r>
        <w:rPr>
          <w:rFonts w:hint="eastAsia" w:ascii="黑体" w:hAnsi="宋体" w:eastAsia="黑体" w:cs="黑体"/>
          <w:bCs/>
          <w:color w:val="auto"/>
          <w:kern w:val="2"/>
          <w:sz w:val="32"/>
          <w:szCs w:val="32"/>
          <w:highlight w:val="none"/>
          <w:lang w:val="en-US" w:eastAsia="zh-CN" w:bidi="ar"/>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593252F7">
      <w:pPr>
        <w:pStyle w:val="2"/>
        <w:ind w:firstLine="640" w:firstLineChars="200"/>
        <w:rPr>
          <w:rFonts w:hint="eastAsia" w:ascii="仿宋_GB2312" w:hAnsi="仿宋_GB2312" w:eastAsia="仿宋_GB2312" w:cs="仿宋_GB2312"/>
          <w:color w:val="000000"/>
          <w:kern w:val="2"/>
          <w:sz w:val="32"/>
          <w:szCs w:val="32"/>
          <w:highlight w:val="none"/>
          <w:lang w:val="en-US" w:eastAsia="zh-CN" w:bidi="ar-SA"/>
        </w:rPr>
      </w:pPr>
    </w:p>
    <w:p w14:paraId="7A886476">
      <w:pPr>
        <w:pStyle w:val="2"/>
        <w:numPr>
          <w:ilvl w:val="0"/>
          <w:numId w:val="0"/>
        </w:numPr>
        <w:ind w:right="-2" w:rightChars="-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备注：</w:t>
      </w:r>
    </w:p>
    <w:p w14:paraId="0982F9E3">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信息公布、招标文件（工程量清单、图纸）的下载、招标控制价的下载、招投标答疑：“</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w:t>
      </w:r>
    </w:p>
    <w:p w14:paraId="57172FD9">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 xml:space="preserve">本工程所有的资审资料，都必须在有效期内。 </w:t>
      </w:r>
    </w:p>
    <w:p w14:paraId="1FCE30B0">
      <w:pPr>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本工程不满3家投标将重新组织招标。</w:t>
      </w:r>
    </w:p>
    <w:p w14:paraId="5EAC9625">
      <w:pPr>
        <w:bidi w:val="0"/>
        <w:jc w:val="left"/>
        <w:rPr>
          <w:rFonts w:hint="eastAsia" w:ascii="仿宋_GB2312" w:hAnsi="仿宋_GB2312" w:eastAsia="黑体"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br w:type="page"/>
      </w: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2</w:t>
      </w:r>
    </w:p>
    <w:p w14:paraId="6394CD07">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评 标 细 则</w:t>
      </w:r>
    </w:p>
    <w:p w14:paraId="49886382">
      <w:pPr>
        <w:pStyle w:val="9"/>
        <w:keepNext w:val="0"/>
        <w:keepLines w:val="0"/>
        <w:pageBreakBefore w:val="0"/>
        <w:shd w:val="clear" w:color="auto" w:fill="FFFFFF"/>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本着公平、公正、公开的原则对各投标单位投标文件中的商务标等方面进行评分。具体办法如下：（共计100分） </w:t>
      </w:r>
    </w:p>
    <w:p w14:paraId="6069D49B">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第一步：投标文件能够满足招标文件的实质性要求； </w:t>
      </w:r>
    </w:p>
    <w:p w14:paraId="79AB3135">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第二步：符合性清标，商务标符合招标文件的实质性要求； </w:t>
      </w:r>
    </w:p>
    <w:p w14:paraId="6E0FC3A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第三步：投标报价得分。</w:t>
      </w:r>
    </w:p>
    <w:p w14:paraId="14055262">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一、投标报价（100 分） </w:t>
      </w:r>
    </w:p>
    <w:p w14:paraId="45A3B5CF">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1、确定有效投标报价。 </w:t>
      </w:r>
    </w:p>
    <w:p w14:paraId="06EDC5B6">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凡符合招标文件、招标答疑纪要等有关招标实质性要求，且在招标控制价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总价和综合单价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 xml:space="preserve">及以下的投标文件均为有效投标文件，未能实质性响应上述有关招标要求的投标文件为无效投标文件。 </w:t>
      </w:r>
    </w:p>
    <w:p w14:paraId="4312F42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2、打分 </w:t>
      </w:r>
    </w:p>
    <w:p w14:paraId="1BAC367A">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以有效投标文件的最低评标价为评标基准价，评标价等于评标基准价的得满分；偏离评标基准价的，评标价相对评标基准价每高1%，扣0.3分，偏离不足1%的，按照插入法计算得分，得分保留二位小数。  </w:t>
      </w:r>
    </w:p>
    <w:p w14:paraId="74D61360">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定标办法</w:t>
      </w:r>
    </w:p>
    <w:p w14:paraId="30DAC129">
      <w:pPr>
        <w:pStyle w:val="9"/>
        <w:keepNext w:val="0"/>
        <w:keepLines w:val="0"/>
        <w:pageBreakBefore w:val="0"/>
        <w:kinsoku/>
        <w:wordWrap/>
        <w:overflowPunct/>
        <w:topLinePunct w:val="0"/>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（1）以上得分最高者为第一中标候选人；若得分相同，则选择其中投标报价低者为中标候选人；若得分相同，投标报价也相同，当场按签到顺序抽签确定中标候选人。</w:t>
      </w:r>
    </w:p>
    <w:p w14:paraId="55068B99">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64427C8D">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注意事项：</w:t>
      </w:r>
    </w:p>
    <w:p w14:paraId="79D3CC7C">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１．</w:t>
      </w:r>
      <w:r>
        <w:rPr>
          <w:rFonts w:hint="eastAsia" w:ascii="仿宋_GB2312" w:hAnsi="仿宋_GB2312" w:eastAsia="仿宋_GB2312" w:cs="仿宋_GB2312"/>
          <w:color w:val="auto"/>
          <w:sz w:val="32"/>
          <w:szCs w:val="32"/>
          <w:highlight w:val="none"/>
        </w:rPr>
        <w:t xml:space="preserve">一旦发现中标候选单位的投标建造师已有在建或已另有工程中标的，则取消其中标候选人资格，同时按相关法律法规处罚。 </w:t>
      </w:r>
    </w:p>
    <w:p w14:paraId="1188C8A9">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２．</w:t>
      </w:r>
      <w:r>
        <w:rPr>
          <w:rFonts w:hint="eastAsia" w:ascii="仿宋_GB2312" w:hAnsi="仿宋_GB2312" w:eastAsia="仿宋_GB2312" w:cs="仿宋_GB2312"/>
          <w:color w:val="auto"/>
          <w:sz w:val="32"/>
          <w:szCs w:val="32"/>
          <w:highlight w:val="none"/>
        </w:rPr>
        <w:t xml:space="preserve">一旦发现中标单位存在非法转包、转让、挂靠等行为的， 将依法进行处理 ，给招标人造成损失的，依法承担赔偿责任。 </w:t>
      </w:r>
    </w:p>
    <w:p w14:paraId="3E09B397">
      <w:pPr>
        <w:keepNext w:val="0"/>
        <w:keepLines w:val="0"/>
        <w:pageBreakBefore w:val="0"/>
        <w:widowControl w:val="0"/>
        <w:kinsoku/>
        <w:wordWrap/>
        <w:overflowPunct/>
        <w:topLinePunct w:val="0"/>
        <w:autoSpaceDE w:val="0"/>
        <w:autoSpaceDN w:val="0"/>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３．</w:t>
      </w:r>
      <w:r>
        <w:rPr>
          <w:rFonts w:hint="eastAsia" w:ascii="仿宋_GB2312" w:hAnsi="仿宋_GB2312" w:eastAsia="仿宋_GB2312" w:cs="仿宋_GB2312"/>
          <w:color w:val="auto"/>
          <w:sz w:val="32"/>
          <w:szCs w:val="32"/>
          <w:highlight w:val="none"/>
        </w:rPr>
        <w:t>本工程招标公告中的评标细则与招标文件中的评标细则不一致时，以招标公告中的评标细则为准。</w:t>
      </w:r>
    </w:p>
    <w:p w14:paraId="34BFA767">
      <w:pPr>
        <w:keepNext w:val="0"/>
        <w:keepLines w:val="0"/>
        <w:pageBreakBefore w:val="0"/>
        <w:widowControl w:val="0"/>
        <w:tabs>
          <w:tab w:val="left" w:pos="540"/>
          <w:tab w:val="left" w:pos="720"/>
          <w:tab w:val="left" w:pos="900"/>
          <w:tab w:val="left" w:pos="1080"/>
        </w:tabs>
        <w:kinsoku/>
        <w:wordWrap/>
        <w:overflowPunct/>
        <w:topLinePunct w:val="0"/>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b/>
          <w:color w:val="auto"/>
          <w:sz w:val="32"/>
          <w:szCs w:val="32"/>
          <w:highlight w:val="none"/>
        </w:rPr>
        <w:sectPr>
          <w:headerReference r:id="rId3" w:type="default"/>
          <w:footerReference r:id="rId4" w:type="default"/>
          <w:footerReference r:id="rId5" w:type="even"/>
          <w:pgSz w:w="11906" w:h="16838"/>
          <w:pgMar w:top="1134" w:right="1134" w:bottom="1134" w:left="1134" w:header="851" w:footer="992" w:gutter="0"/>
          <w:cols w:space="720" w:num="1"/>
          <w:titlePg/>
          <w:docGrid w:type="lines" w:linePitch="312" w:charSpace="0"/>
        </w:sectPr>
      </w:pPr>
    </w:p>
    <w:p w14:paraId="67E3E2B8">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3</w:t>
      </w:r>
    </w:p>
    <w:p w14:paraId="3EECCC27">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highlight w:val="none"/>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单位名称：</w:t>
      </w:r>
    </w:p>
    <w:p w14:paraId="0B5A705C">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w:t>
      </w:r>
    </w:p>
    <w:p w14:paraId="34B42C37">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姓名：             性别：          年龄：          职务：</w:t>
      </w:r>
    </w:p>
    <w:p w14:paraId="7DD4B2CB">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的法定代表人。为施工、竣工和保修</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的工程，签署上述工程的报名材料、资审材料、投标文件、进行合同谈判、签署合同和处理与之有关的一切事务。</w:t>
      </w:r>
    </w:p>
    <w:p w14:paraId="05EF9F01">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14:paraId="2909BFD2">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113FF05B">
      <w:pPr>
        <w:pStyle w:val="6"/>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年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59264;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63AE49B2">
      <w:pPr>
        <w:keepNext w:val="0"/>
        <w:keepLines w:val="0"/>
        <w:pageBreakBefore w:val="0"/>
        <w:tabs>
          <w:tab w:val="left" w:pos="0"/>
        </w:tabs>
        <w:kinsoku/>
        <w:wordWrap/>
        <w:overflowPunct/>
        <w:topLinePunct w:val="0"/>
        <w:bidi w:val="0"/>
        <w:spacing w:line="560" w:lineRule="exact"/>
        <w:ind w:left="0" w:leftChars="0" w:right="0" w:rightChars="0" w:firstLine="643" w:firstLineChars="200"/>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本授权委托书声明：本人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（姓名）系</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（投标人名称）的法定代表人，现授权委托</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（单位名称）的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（姓名）为我公司代理人，参加</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（招标人）的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342265</wp:posOffset>
                </wp:positionH>
                <wp:positionV relativeFrom="paragraph">
                  <wp:posOffset>196850</wp:posOffset>
                </wp:positionV>
                <wp:extent cx="4933950" cy="2330450"/>
                <wp:effectExtent l="4445" t="4445" r="14605" b="1206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0288;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highlight w:val="none"/>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644F7BA6">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jc w:val="left"/>
        <w:textAlignment w:val="auto"/>
        <w:rPr>
          <w:rFonts w:hint="eastAsia" w:ascii="黑体" w:hAnsi="宋体" w:eastAsia="黑体" w:cs="黑体"/>
          <w:bCs/>
          <w:color w:val="auto"/>
          <w:sz w:val="32"/>
          <w:szCs w:val="32"/>
          <w:highlight w:val="none"/>
          <w:lang w:val="en-US" w:eastAsia="zh-CN" w:bidi="ar"/>
        </w:rPr>
      </w:pPr>
      <w:r>
        <w:rPr>
          <w:rFonts w:hint="eastAsia" w:ascii="黑体" w:hAnsi="宋体" w:eastAsia="黑体" w:cs="黑体"/>
          <w:bCs/>
          <w:color w:val="auto"/>
          <w:sz w:val="32"/>
          <w:szCs w:val="32"/>
          <w:highlight w:val="none"/>
          <w:lang w:bidi="ar"/>
        </w:rPr>
        <w:t>附件</w:t>
      </w:r>
      <w:r>
        <w:rPr>
          <w:rFonts w:hint="eastAsia" w:ascii="黑体" w:hAnsi="宋体" w:eastAsia="黑体" w:cs="黑体"/>
          <w:bCs/>
          <w:color w:val="auto"/>
          <w:sz w:val="32"/>
          <w:szCs w:val="32"/>
          <w:highlight w:val="none"/>
          <w:lang w:val="en-US" w:eastAsia="zh-CN" w:bidi="ar"/>
        </w:rPr>
        <w:t>4</w:t>
      </w:r>
    </w:p>
    <w:p w14:paraId="6F3FD4EA">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投标人信用承诺书</w:t>
      </w:r>
    </w:p>
    <w:p w14:paraId="05FA9390">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本单位及法定代表人，清楚知晓并参与本项目的招投标活动，并作出承诺如下：</w:t>
      </w:r>
    </w:p>
    <w:p w14:paraId="16DF6A9D">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一、遵循公开、公平、公正和诚实信用的原则，依法依规参与本项目招投标活动。</w:t>
      </w:r>
    </w:p>
    <w:p w14:paraId="78300E9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二、严格按照本次招标文件中的投标人资格要求提供相应投标资料，并在</w:t>
      </w:r>
      <w:r>
        <w:rPr>
          <w:rFonts w:hint="eastAsia" w:ascii="仿宋_GB2312" w:hAnsi="仿宋_GB2312" w:eastAsia="仿宋_GB2312" w:cs="仿宋_GB2312"/>
          <w:color w:val="auto"/>
          <w:sz w:val="32"/>
          <w:szCs w:val="32"/>
          <w:highlight w:val="none"/>
          <w:lang w:eastAsia="zh-CN"/>
        </w:rPr>
        <w:t>E交易平台</w:t>
      </w:r>
      <w:r>
        <w:rPr>
          <w:rFonts w:hint="eastAsia" w:ascii="仿宋_GB2312" w:hAnsi="仿宋_GB2312" w:eastAsia="仿宋_GB2312" w:cs="仿宋_GB2312"/>
          <w:color w:val="auto"/>
          <w:sz w:val="32"/>
          <w:szCs w:val="32"/>
          <w:highlight w:val="none"/>
        </w:rPr>
        <w:t>中录入的所有企业信息和上传的企业资料都是真实、有效、准确且合法的，没有弄虚作假的情形。</w:t>
      </w:r>
    </w:p>
    <w:p w14:paraId="6A5C51A1">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三、在参与本项目招标投标活动中，不存在任何围标串标活动，也不存在以他人名义投标的行为。</w:t>
      </w:r>
    </w:p>
    <w:p w14:paraId="01A5960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、在参与本项目招投标活动中，若投标人或项目负责人为失信被执行人的，自愿放弃本次投标资格。</w:t>
      </w:r>
    </w:p>
    <w:p w14:paraId="40E00A19">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、正确履行法律法规规定的投标人权利和义务，遵纪守法，清正廉洁，不徇私枉法，服从建设等行政主管部门监管，接受社会监督。</w:t>
      </w:r>
    </w:p>
    <w:p w14:paraId="30CEA936">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2505E318">
      <w:pPr>
        <w:keepNext w:val="0"/>
        <w:keepLines w:val="0"/>
        <w:pageBreakBefore w:val="0"/>
        <w:kinsoku/>
        <w:wordWrap/>
        <w:overflowPunct/>
        <w:topLinePunct w:val="0"/>
        <w:bidi w:val="0"/>
        <w:snapToGrid w:val="0"/>
        <w:spacing w:line="560" w:lineRule="exact"/>
        <w:ind w:left="0" w:leftChars="0" w:right="0" w:rightChars="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本承诺书一经签订即作为中标合同的组成部分，对本单位参与本项目招投标活动的行为具有法律约束力。 </w:t>
      </w:r>
    </w:p>
    <w:p w14:paraId="329CC087">
      <w:pPr>
        <w:keepNext w:val="0"/>
        <w:keepLines w:val="0"/>
        <w:pageBreakBefore w:val="0"/>
        <w:kinsoku/>
        <w:wordWrap/>
        <w:overflowPunct/>
        <w:topLinePunct w:val="0"/>
        <w:bidi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投标人（盖章）：</w:t>
      </w:r>
    </w:p>
    <w:p w14:paraId="4206B067">
      <w:pPr>
        <w:keepNext w:val="0"/>
        <w:keepLines w:val="0"/>
        <w:pageBreakBefore w:val="0"/>
        <w:kinsoku/>
        <w:wordWrap/>
        <w:overflowPunct/>
        <w:topLinePunct w:val="0"/>
        <w:bidi w:val="0"/>
        <w:snapToGrid w:val="0"/>
        <w:spacing w:line="560" w:lineRule="exact"/>
        <w:ind w:left="0" w:leftChars="0" w:right="0" w:rightChars="0" w:firstLine="640" w:firstLineChars="200"/>
        <w:jc w:val="righ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法定代表人（签字或盖章）：    </w:t>
      </w:r>
    </w:p>
    <w:p w14:paraId="3262F171">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453CD32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FE6A1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C474D6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00AEB73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1805E7D6">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704AE435">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highlight w:val="none"/>
        </w:rPr>
      </w:pPr>
    </w:p>
    <w:p w14:paraId="5A9AAEBB">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rPr>
      </w:pPr>
    </w:p>
    <w:p w14:paraId="2047592D">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055284A">
      <w:pPr>
        <w:keepNext w:val="0"/>
        <w:keepLines w:val="0"/>
        <w:pageBreakBefore w:val="0"/>
        <w:kinsoku/>
        <w:wordWrap/>
        <w:overflowPunct/>
        <w:topLinePunct w:val="0"/>
        <w:autoSpaceDE w:val="0"/>
        <w:bidi w:val="0"/>
        <w:spacing w:line="560" w:lineRule="exact"/>
        <w:ind w:left="0" w:leftChars="0" w:right="0" w:rightChars="0" w:firstLine="640" w:firstLineChars="200"/>
        <w:jc w:val="left"/>
        <w:textAlignment w:val="auto"/>
        <w:rPr>
          <w:rFonts w:hint="eastAsia" w:ascii="仿宋_GB2312" w:hAnsi="仿宋_GB2312" w:eastAsia="仿宋_GB2312" w:cs="仿宋_GB2312"/>
          <w:bCs/>
          <w:color w:val="auto"/>
          <w:sz w:val="32"/>
          <w:szCs w:val="32"/>
          <w:highlight w:val="none"/>
          <w:lang w:bidi="ar"/>
        </w:rPr>
      </w:pPr>
    </w:p>
    <w:p w14:paraId="7AF596E8">
      <w:pPr>
        <w:keepNext w:val="0"/>
        <w:keepLines w:val="0"/>
        <w:pageBreakBefore w:val="0"/>
        <w:kinsoku/>
        <w:wordWrap/>
        <w:overflowPunct/>
        <w:topLinePunct w:val="0"/>
        <w:autoSpaceDE w:val="0"/>
        <w:autoSpaceDN w:val="0"/>
        <w:bidi w:val="0"/>
        <w:spacing w:line="560" w:lineRule="exact"/>
        <w:ind w:left="0" w:leftChars="0" w:right="0" w:rightChars="0" w:firstLine="624" w:firstLineChars="200"/>
        <w:textAlignment w:val="auto"/>
        <w:rPr>
          <w:rFonts w:hint="eastAsia" w:ascii="仿宋_GB2312" w:hAnsi="仿宋_GB2312" w:eastAsia="仿宋_GB2312" w:cs="仿宋_GB2312"/>
          <w:color w:val="auto"/>
          <w:spacing w:val="-4"/>
          <w:sz w:val="32"/>
          <w:szCs w:val="32"/>
          <w:highlight w:val="none"/>
          <w:lang w:val="en-US" w:eastAsia="zh-CN"/>
        </w:rPr>
      </w:pPr>
    </w:p>
    <w:sectPr>
      <w:footerReference r:id="rId6" w:type="default"/>
      <w:pgSz w:w="11906" w:h="16838"/>
      <w:pgMar w:top="1928" w:right="1361" w:bottom="2154" w:left="147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E52E">
    <w:pPr>
      <w:pStyle w:val="7"/>
      <w:framePr w:wrap="around" w:vAnchor="text" w:hAnchor="margin" w:xAlign="center" w:y="2"/>
      <w:rPr>
        <w:rStyle w:val="13"/>
      </w:rPr>
    </w:pPr>
    <w:r>
      <w:fldChar w:fldCharType="begin"/>
    </w:r>
    <w:r>
      <w:rPr>
        <w:rStyle w:val="13"/>
      </w:rPr>
      <w:instrText xml:space="preserve">PAGE  </w:instrText>
    </w:r>
    <w:r>
      <w:fldChar w:fldCharType="separate"/>
    </w:r>
    <w:r>
      <w:rPr>
        <w:rStyle w:val="13"/>
      </w:rPr>
      <w:t>2</w:t>
    </w:r>
    <w:r>
      <w:fldChar w:fldCharType="end"/>
    </w:r>
  </w:p>
  <w:p w14:paraId="1E8D8E9A">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CFFF9">
    <w:pPr>
      <w:pStyle w:val="7"/>
      <w:framePr w:wrap="around" w:vAnchor="text" w:hAnchor="margin" w:xAlign="center" w:y="2"/>
      <w:rPr>
        <w:rStyle w:val="13"/>
      </w:rPr>
    </w:pPr>
    <w:r>
      <w:fldChar w:fldCharType="begin"/>
    </w:r>
    <w:r>
      <w:rPr>
        <w:rStyle w:val="13"/>
      </w:rPr>
      <w:instrText xml:space="preserve">PAGE  </w:instrText>
    </w:r>
    <w:r>
      <w:fldChar w:fldCharType="end"/>
    </w:r>
  </w:p>
  <w:p w14:paraId="0E894B1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A79E1">
    <w:pPr>
      <w:pStyle w:val="7"/>
      <w:ind w:firstLine="360"/>
    </w:pPr>
    <w:r>
      <mc:AlternateContent>
        <mc:Choice Requires="wps">
          <w:drawing>
            <wp:anchor distT="0" distB="0" distL="114300" distR="114300" simplePos="0" relativeHeight="251659264" behindDoc="0" locked="0" layoutInCell="1" allowOverlap="1">
              <wp:simplePos x="0" y="0"/>
              <wp:positionH relativeFrom="margin">
                <wp:posOffset>2546985</wp:posOffset>
              </wp:positionH>
              <wp:positionV relativeFrom="paragraph">
                <wp:posOffset>-130810</wp:posOffset>
              </wp:positionV>
              <wp:extent cx="602615" cy="281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2615" cy="281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7BD48">
                          <w:pPr>
                            <w:pStyle w:val="7"/>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5pt;margin-top:-10.3pt;height:22.2pt;width:47.45pt;mso-position-horizontal-relative:margin;z-index:251659264;mso-width-relative:page;mso-height-relative:page;" filled="f" stroked="f" coordsize="21600,21600" o:gfxdata="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0kdzZ2QAAAAoBAAAPAAAAAAAAAAEAIAAAACIAAABkcnMvZG93bnJldi54bWxQ&#10;SwECFAAUAAAACACHTuJAvS1t1C8CAABVBAAADgAAAAAAAAABACAAAAAoAQAAZHJzL2Uyb0RvYy54&#10;bWxQSwUGAAAAAAYABgBZAQAAyQUAAAAA&#10;">
              <v:fill on="f" focussize="0,0"/>
              <v:stroke on="f" weight="0.5pt"/>
              <v:imagedata o:title=""/>
              <o:lock v:ext="edit" aspectratio="f"/>
              <v:textbox inset="0mm,0mm,0mm,0mm">
                <w:txbxContent>
                  <w:p w14:paraId="3E57BD48">
                    <w:pPr>
                      <w:pStyle w:val="7"/>
                      <w:jc w:val="center"/>
                      <w:rPr>
                        <w:sz w:val="28"/>
                      </w:rPr>
                    </w:pPr>
                    <w:r>
                      <w:rPr>
                        <w:sz w:val="28"/>
                      </w:rPr>
                      <w:fldChar w:fldCharType="begin"/>
                    </w:r>
                    <w:r>
                      <w:rPr>
                        <w:sz w:val="28"/>
                      </w:rPr>
                      <w:instrText xml:space="preserve"> PAGE  \* MERGEFORMAT </w:instrText>
                    </w:r>
                    <w:r>
                      <w:rPr>
                        <w:sz w:val="28"/>
                      </w:rPr>
                      <w:fldChar w:fldCharType="separate"/>
                    </w:r>
                    <w:r>
                      <w:rPr>
                        <w:sz w:val="28"/>
                      </w:rPr>
                      <w:t>1</w:t>
                    </w:r>
                    <w:r>
                      <w:rPr>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7CA5D">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DJhOGQyNjk0MWY4MjFkYWRjODc3ZmY5YzM2OGQifQ=="/>
  </w:docVars>
  <w:rsids>
    <w:rsidRoot w:val="4E7A625A"/>
    <w:rsid w:val="00A01A0A"/>
    <w:rsid w:val="00B51FAF"/>
    <w:rsid w:val="00C220B7"/>
    <w:rsid w:val="00F0589F"/>
    <w:rsid w:val="013851DA"/>
    <w:rsid w:val="01722330"/>
    <w:rsid w:val="018E14F6"/>
    <w:rsid w:val="01BE1198"/>
    <w:rsid w:val="029137FA"/>
    <w:rsid w:val="03647853"/>
    <w:rsid w:val="04F51273"/>
    <w:rsid w:val="054144F3"/>
    <w:rsid w:val="05CB4E38"/>
    <w:rsid w:val="06033F82"/>
    <w:rsid w:val="06236B88"/>
    <w:rsid w:val="06690735"/>
    <w:rsid w:val="068E3768"/>
    <w:rsid w:val="06940536"/>
    <w:rsid w:val="073C3880"/>
    <w:rsid w:val="08AD2EF4"/>
    <w:rsid w:val="08CC4A1B"/>
    <w:rsid w:val="090048DC"/>
    <w:rsid w:val="0A305844"/>
    <w:rsid w:val="0AC63F81"/>
    <w:rsid w:val="0BBE4019"/>
    <w:rsid w:val="0C10591B"/>
    <w:rsid w:val="0C7B72F6"/>
    <w:rsid w:val="0E96630C"/>
    <w:rsid w:val="0F362BEE"/>
    <w:rsid w:val="10495085"/>
    <w:rsid w:val="105E7254"/>
    <w:rsid w:val="10623011"/>
    <w:rsid w:val="113B44EC"/>
    <w:rsid w:val="11B81FE1"/>
    <w:rsid w:val="12396644"/>
    <w:rsid w:val="13B33406"/>
    <w:rsid w:val="1407618A"/>
    <w:rsid w:val="140A17A1"/>
    <w:rsid w:val="141E6E98"/>
    <w:rsid w:val="157C2289"/>
    <w:rsid w:val="1586742B"/>
    <w:rsid w:val="161964C6"/>
    <w:rsid w:val="168D7598"/>
    <w:rsid w:val="17251F02"/>
    <w:rsid w:val="191507FE"/>
    <w:rsid w:val="19694374"/>
    <w:rsid w:val="1B213295"/>
    <w:rsid w:val="1B4A3ACE"/>
    <w:rsid w:val="1B4C2CD0"/>
    <w:rsid w:val="1B565763"/>
    <w:rsid w:val="1C391C39"/>
    <w:rsid w:val="1C3D736A"/>
    <w:rsid w:val="1CB117C2"/>
    <w:rsid w:val="1D777799"/>
    <w:rsid w:val="1D7A554B"/>
    <w:rsid w:val="1DD65CC8"/>
    <w:rsid w:val="1E56319D"/>
    <w:rsid w:val="1F163E84"/>
    <w:rsid w:val="1F325180"/>
    <w:rsid w:val="1F8343DB"/>
    <w:rsid w:val="20396400"/>
    <w:rsid w:val="20480747"/>
    <w:rsid w:val="2164555B"/>
    <w:rsid w:val="218B0B78"/>
    <w:rsid w:val="219C367C"/>
    <w:rsid w:val="21DD7533"/>
    <w:rsid w:val="21FD729B"/>
    <w:rsid w:val="220B1557"/>
    <w:rsid w:val="22993263"/>
    <w:rsid w:val="24A7216D"/>
    <w:rsid w:val="24AA7A3F"/>
    <w:rsid w:val="24BB4C9A"/>
    <w:rsid w:val="25CA2B30"/>
    <w:rsid w:val="26337D28"/>
    <w:rsid w:val="269F1681"/>
    <w:rsid w:val="26B618CC"/>
    <w:rsid w:val="27DE2FC0"/>
    <w:rsid w:val="28CA01D8"/>
    <w:rsid w:val="2A614A98"/>
    <w:rsid w:val="2C244FA1"/>
    <w:rsid w:val="2C6142AE"/>
    <w:rsid w:val="2CCF4C96"/>
    <w:rsid w:val="2E417D09"/>
    <w:rsid w:val="2EA3406A"/>
    <w:rsid w:val="2F124E51"/>
    <w:rsid w:val="2F4733FE"/>
    <w:rsid w:val="2F913390"/>
    <w:rsid w:val="2FBD0A5E"/>
    <w:rsid w:val="2FE619F1"/>
    <w:rsid w:val="30731155"/>
    <w:rsid w:val="33081F33"/>
    <w:rsid w:val="33D32CCC"/>
    <w:rsid w:val="34FD1935"/>
    <w:rsid w:val="384977AD"/>
    <w:rsid w:val="3CFD4441"/>
    <w:rsid w:val="3DDE0DD4"/>
    <w:rsid w:val="3DF8713D"/>
    <w:rsid w:val="3E0A4B97"/>
    <w:rsid w:val="3EA9688B"/>
    <w:rsid w:val="3EBA0082"/>
    <w:rsid w:val="3EFD02AE"/>
    <w:rsid w:val="3F6F2FB1"/>
    <w:rsid w:val="3FE24949"/>
    <w:rsid w:val="40774C14"/>
    <w:rsid w:val="410200B3"/>
    <w:rsid w:val="425158A3"/>
    <w:rsid w:val="42AC759A"/>
    <w:rsid w:val="42C002CF"/>
    <w:rsid w:val="44FA347A"/>
    <w:rsid w:val="45290F50"/>
    <w:rsid w:val="452B1BAF"/>
    <w:rsid w:val="45812155"/>
    <w:rsid w:val="48193586"/>
    <w:rsid w:val="484D176C"/>
    <w:rsid w:val="48F32012"/>
    <w:rsid w:val="4A7B65EB"/>
    <w:rsid w:val="4B751DCD"/>
    <w:rsid w:val="4D1865A3"/>
    <w:rsid w:val="4E3E6DEE"/>
    <w:rsid w:val="4E7A625A"/>
    <w:rsid w:val="4EDD74E8"/>
    <w:rsid w:val="4F020368"/>
    <w:rsid w:val="4F80608F"/>
    <w:rsid w:val="4FC43323"/>
    <w:rsid w:val="503572C0"/>
    <w:rsid w:val="511757F2"/>
    <w:rsid w:val="511D4F82"/>
    <w:rsid w:val="51B3364F"/>
    <w:rsid w:val="546E4F02"/>
    <w:rsid w:val="55850EFA"/>
    <w:rsid w:val="55AD03B6"/>
    <w:rsid w:val="566B3D9C"/>
    <w:rsid w:val="57DA1D5C"/>
    <w:rsid w:val="57DD440B"/>
    <w:rsid w:val="57F24E68"/>
    <w:rsid w:val="58BB30A2"/>
    <w:rsid w:val="58EF4377"/>
    <w:rsid w:val="58F447C2"/>
    <w:rsid w:val="594E12AA"/>
    <w:rsid w:val="59537B91"/>
    <w:rsid w:val="5966217F"/>
    <w:rsid w:val="59C15A6E"/>
    <w:rsid w:val="59F2097D"/>
    <w:rsid w:val="5A186745"/>
    <w:rsid w:val="5AB3021C"/>
    <w:rsid w:val="5B432946"/>
    <w:rsid w:val="5BD73D3B"/>
    <w:rsid w:val="5C1473E0"/>
    <w:rsid w:val="5E137A36"/>
    <w:rsid w:val="5E5553C7"/>
    <w:rsid w:val="607C3927"/>
    <w:rsid w:val="612B684E"/>
    <w:rsid w:val="61527712"/>
    <w:rsid w:val="63176E75"/>
    <w:rsid w:val="632D5376"/>
    <w:rsid w:val="637A5646"/>
    <w:rsid w:val="639A01CB"/>
    <w:rsid w:val="63F4603A"/>
    <w:rsid w:val="63FA4B54"/>
    <w:rsid w:val="64093F70"/>
    <w:rsid w:val="651346D9"/>
    <w:rsid w:val="65923B91"/>
    <w:rsid w:val="66017F6E"/>
    <w:rsid w:val="66D90E30"/>
    <w:rsid w:val="68110444"/>
    <w:rsid w:val="68352BB8"/>
    <w:rsid w:val="68AB6990"/>
    <w:rsid w:val="69173724"/>
    <w:rsid w:val="6AA40BD1"/>
    <w:rsid w:val="6BEB5FCA"/>
    <w:rsid w:val="6BFA3EFD"/>
    <w:rsid w:val="6C0C5C58"/>
    <w:rsid w:val="6E0F2678"/>
    <w:rsid w:val="6E2C2368"/>
    <w:rsid w:val="6F257305"/>
    <w:rsid w:val="70162D6E"/>
    <w:rsid w:val="704045D3"/>
    <w:rsid w:val="70E76A1A"/>
    <w:rsid w:val="71726A12"/>
    <w:rsid w:val="72223297"/>
    <w:rsid w:val="73B75D5F"/>
    <w:rsid w:val="73E0463F"/>
    <w:rsid w:val="74231ACE"/>
    <w:rsid w:val="748553D3"/>
    <w:rsid w:val="76527987"/>
    <w:rsid w:val="773E295A"/>
    <w:rsid w:val="77B57F4F"/>
    <w:rsid w:val="77D15D7E"/>
    <w:rsid w:val="78091B5E"/>
    <w:rsid w:val="783B658D"/>
    <w:rsid w:val="78AD248D"/>
    <w:rsid w:val="7A4C17D5"/>
    <w:rsid w:val="7C865339"/>
    <w:rsid w:val="7C907F65"/>
    <w:rsid w:val="7C98391B"/>
    <w:rsid w:val="7D64046A"/>
    <w:rsid w:val="7D8A04D8"/>
    <w:rsid w:val="7DC26768"/>
    <w:rsid w:val="7E5D61B0"/>
    <w:rsid w:val="7EB70070"/>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autoRedefine/>
    <w:qFormat/>
    <w:uiPriority w:val="0"/>
    <w:pPr>
      <w:spacing w:after="100" w:line="440" w:lineRule="exact"/>
      <w:ind w:right="-2" w:rightChars="-1"/>
    </w:pPr>
    <w:rPr>
      <w:rFonts w:ascii="宋体" w:hAnsi="宋体"/>
      <w:sz w:val="28"/>
    </w:rPr>
  </w:style>
  <w:style w:type="paragraph" w:styleId="4">
    <w:name w:val="Body Text Indent"/>
    <w:basedOn w:val="1"/>
    <w:next w:val="5"/>
    <w:autoRedefine/>
    <w:qFormat/>
    <w:uiPriority w:val="0"/>
    <w:pPr>
      <w:spacing w:line="360" w:lineRule="auto"/>
      <w:ind w:firstLine="570"/>
    </w:pPr>
    <w:rPr>
      <w:sz w:val="24"/>
    </w:rPr>
  </w:style>
  <w:style w:type="paragraph" w:styleId="5">
    <w:name w:val="Body Text First Indent 2"/>
    <w:basedOn w:val="1"/>
    <w:next w:val="1"/>
    <w:autoRedefine/>
    <w:qFormat/>
    <w:uiPriority w:val="99"/>
    <w:pPr>
      <w:spacing w:after="120"/>
      <w:ind w:left="420" w:leftChars="200" w:firstLine="420"/>
    </w:pPr>
    <w:rPr>
      <w:color w:val="000000"/>
      <w:sz w:val="20"/>
    </w:rPr>
  </w:style>
  <w:style w:type="paragraph" w:styleId="6">
    <w:name w:val="Plain Text"/>
    <w:basedOn w:val="1"/>
    <w:qFormat/>
    <w:uiPriority w:val="0"/>
    <w:rPr>
      <w:rFonts w:ascii="宋体" w:hAnsi="Courier New"/>
      <w:szCs w:val="2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autoRedefine/>
    <w:qFormat/>
    <w:uiPriority w:val="22"/>
    <w:rPr>
      <w:b/>
      <w:bCs/>
    </w:rPr>
  </w:style>
  <w:style w:type="character" w:styleId="13">
    <w:name w:val="page number"/>
    <w:qFormat/>
    <w:uiPriority w:val="0"/>
  </w:style>
  <w:style w:type="character" w:styleId="14">
    <w:name w:val="FollowedHyperlink"/>
    <w:basedOn w:val="11"/>
    <w:qFormat/>
    <w:uiPriority w:val="0"/>
    <w:rPr>
      <w:color w:val="80008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autoRedefine/>
    <w:qFormat/>
    <w:uiPriority w:val="0"/>
    <w:rPr>
      <w:color w:val="0000FF"/>
      <w:u w:val="single"/>
    </w:rPr>
  </w:style>
  <w:style w:type="character" w:styleId="21">
    <w:name w:val="HTML Code"/>
    <w:basedOn w:val="11"/>
    <w:qFormat/>
    <w:uiPriority w:val="0"/>
    <w:rPr>
      <w:rFonts w:hint="default"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hint="default" w:ascii="monospace" w:hAnsi="monospace" w:eastAsia="monospace" w:cs="monospace"/>
      <w:sz w:val="20"/>
    </w:rPr>
  </w:style>
  <w:style w:type="character" w:styleId="24">
    <w:name w:val="HTML Sample"/>
    <w:basedOn w:val="11"/>
    <w:qFormat/>
    <w:uiPriority w:val="0"/>
    <w:rPr>
      <w:rFonts w:ascii="monospace" w:hAnsi="monospace" w:eastAsia="monospace" w:cs="monospace"/>
    </w:rPr>
  </w:style>
  <w:style w:type="paragraph" w:customStyle="1" w:styleId="25">
    <w:name w:val="p0"/>
    <w:basedOn w:val="1"/>
    <w:qFormat/>
    <w:uiPriority w:val="0"/>
    <w:pPr>
      <w:widowControl/>
    </w:pPr>
    <w:rPr>
      <w:rFonts w:ascii="Calibri" w:hAnsi="Calibri" w:cs="宋体"/>
      <w:kern w:val="0"/>
      <w:szCs w:val="21"/>
    </w:rPr>
  </w:style>
  <w:style w:type="character" w:customStyle="1" w:styleId="26">
    <w:name w:val="hour_am"/>
    <w:basedOn w:val="11"/>
    <w:qFormat/>
    <w:uiPriority w:val="0"/>
  </w:style>
  <w:style w:type="character" w:customStyle="1" w:styleId="27">
    <w:name w:val="old"/>
    <w:basedOn w:val="11"/>
    <w:qFormat/>
    <w:uiPriority w:val="0"/>
    <w:rPr>
      <w:color w:val="999999"/>
    </w:rPr>
  </w:style>
  <w:style w:type="character" w:customStyle="1" w:styleId="28">
    <w:name w:val="hover"/>
    <w:basedOn w:val="11"/>
    <w:qFormat/>
    <w:uiPriority w:val="0"/>
    <w:rPr>
      <w:shd w:val="clear" w:fill="EEEEEE"/>
    </w:rPr>
  </w:style>
  <w:style w:type="character" w:customStyle="1" w:styleId="29">
    <w:name w:val="glyphicon"/>
    <w:basedOn w:val="11"/>
    <w:qFormat/>
    <w:uiPriority w:val="0"/>
  </w:style>
  <w:style w:type="character" w:customStyle="1" w:styleId="30">
    <w:name w:val="hour_pm"/>
    <w:basedOn w:val="11"/>
    <w:qFormat/>
    <w:uiPriority w:val="0"/>
  </w:style>
  <w:style w:type="character" w:customStyle="1" w:styleId="31">
    <w:name w:val="layui-layer-tabnow"/>
    <w:basedOn w:val="11"/>
    <w:qFormat/>
    <w:uiPriority w:val="0"/>
    <w:rPr>
      <w:bdr w:val="single" w:color="CCCCCC" w:sz="6" w:space="0"/>
      <w:shd w:val="clear" w:fill="FFFFFF"/>
    </w:rPr>
  </w:style>
  <w:style w:type="character" w:customStyle="1" w:styleId="32">
    <w:name w:val="first-child"/>
    <w:basedOn w:val="11"/>
    <w:qFormat/>
    <w:uiPriority w:val="0"/>
  </w:style>
  <w:style w:type="character" w:customStyle="1" w:styleId="33">
    <w:name w:val="hover2"/>
    <w:basedOn w:val="11"/>
    <w:qFormat/>
    <w:uiPriority w:val="0"/>
    <w:rPr>
      <w:shd w:val="clear" w:fill="EEEEE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4633</Words>
  <Characters>4808</Characters>
  <Lines>19</Lines>
  <Paragraphs>5</Paragraphs>
  <TotalTime>7</TotalTime>
  <ScaleCrop>false</ScaleCrop>
  <LinksUpToDate>false</LinksUpToDate>
  <CharactersWithSpaces>5080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2024-01-31T19:09:00Z</dcterms:created>
  <dc:creator>糖果</dc:creator>
  <cp:lastModifiedBy>刘潍</cp:lastModifiedBy>
  <dcterms:modified xsi:type="dcterms:W3CDTF">2025-02-26T00:44:20Z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F6222EB1BB064D1EA28CB8CA75D92C0B_13</vt:lpwstr>
  </property>
  <property fmtid="{D5CDD505-2E9C-101B-9397-08002B2CF9AE}" pid="4" name="KSOTemplateDocerSaveRecord">
    <vt:lpwstr>eyJoZGlkIjoiMTk5ZTE3MzAzZDMyNmQ3YzE5NzdiMDEyMjMzYzc3ODgiLCJ1c2VySWQiOiIzNzkyODY0MjUifQ==</vt:lpwstr>
  </property>
</Properties>
</file>